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69E55963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F50DA1">
              <w:rPr>
                <w:rFonts w:ascii="Century Gothic" w:hAnsi="Century Gothic"/>
                <w:b/>
              </w:rPr>
              <w:t>2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B7373A7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50DA1">
              <w:rPr>
                <w:rFonts w:ascii="Century Gothic" w:hAnsi="Century Gothic"/>
                <w:b/>
              </w:rPr>
              <w:t>1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6A0095EE" w14:textId="36391018" w:rsidR="00247CB3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30808" w:history="1">
            <w:r w:rsidR="00247CB3" w:rsidRPr="00AA42CE">
              <w:rPr>
                <w:rStyle w:val="Collegamentoipertestuale"/>
                <w:noProof/>
              </w:rPr>
              <w:t>Scopo di questo documento</w:t>
            </w:r>
            <w:r w:rsidR="00247CB3">
              <w:rPr>
                <w:noProof/>
                <w:webHidden/>
              </w:rPr>
              <w:tab/>
            </w:r>
            <w:r w:rsidR="00247CB3">
              <w:rPr>
                <w:noProof/>
                <w:webHidden/>
              </w:rPr>
              <w:fldChar w:fldCharType="begin"/>
            </w:r>
            <w:r w:rsidR="00247CB3">
              <w:rPr>
                <w:noProof/>
                <w:webHidden/>
              </w:rPr>
              <w:instrText xml:space="preserve"> PAGEREF _Toc107930808 \h </w:instrText>
            </w:r>
            <w:r w:rsidR="00247CB3">
              <w:rPr>
                <w:noProof/>
                <w:webHidden/>
              </w:rPr>
            </w:r>
            <w:r w:rsidR="00247CB3">
              <w:rPr>
                <w:noProof/>
                <w:webHidden/>
              </w:rPr>
              <w:fldChar w:fldCharType="separate"/>
            </w:r>
            <w:r w:rsidR="00247CB3">
              <w:rPr>
                <w:noProof/>
                <w:webHidden/>
              </w:rPr>
              <w:t>3</w:t>
            </w:r>
            <w:r w:rsidR="00247CB3">
              <w:rPr>
                <w:noProof/>
                <w:webHidden/>
              </w:rPr>
              <w:fldChar w:fldCharType="end"/>
            </w:r>
          </w:hyperlink>
        </w:p>
        <w:p w14:paraId="3384C957" w14:textId="738097F6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09" w:history="1">
            <w:r w:rsidRPr="00AA42CE">
              <w:rPr>
                <w:rStyle w:val="Collegamentoipertestuale"/>
                <w:noProof/>
              </w:rPr>
              <w:t>Situazione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EE71" w14:textId="21A54A9E" w:rsidR="00247CB3" w:rsidRDefault="00247CB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0" w:history="1">
            <w:r w:rsidRPr="00AA42CE">
              <w:rPr>
                <w:rStyle w:val="Collegamentoipertestuale"/>
                <w:noProof/>
              </w:rPr>
              <w:t>Sheet 1 – dati riepilogativi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24BD" w14:textId="6D366609" w:rsidR="00247CB3" w:rsidRDefault="00247CB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1" w:history="1">
            <w:r w:rsidRPr="00AA42CE">
              <w:rPr>
                <w:rStyle w:val="Collegamentoipertestuale"/>
                <w:noProof/>
              </w:rPr>
              <w:t>Sheet 2 – Stati di Avanzamento lavori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4FA3" w14:textId="3E751629" w:rsidR="00247CB3" w:rsidRDefault="00247CB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2" w:history="1">
            <w:r w:rsidRPr="00AA42CE">
              <w:rPr>
                <w:rStyle w:val="Collegamentoipertestuale"/>
                <w:noProof/>
              </w:rPr>
              <w:t>Sheet 3 –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E60D" w14:textId="366B40B3" w:rsidR="00247CB3" w:rsidRDefault="00247CB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3" w:history="1">
            <w:r w:rsidRPr="00AA42CE">
              <w:rPr>
                <w:rStyle w:val="Collegamentoipertestuale"/>
                <w:noProof/>
              </w:rPr>
              <w:t>Sheet 4 – Dati codificati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3F49" w14:textId="5A1048D0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4" w:history="1">
            <w:r w:rsidRPr="00AA42CE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C70E" w14:textId="03CBCCD5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5" w:history="1">
            <w:r w:rsidRPr="00AA42CE">
              <w:rPr>
                <w:rStyle w:val="Collegamentoipertestuale"/>
                <w:noProof/>
              </w:rPr>
              <w:t>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67BD" w14:textId="1F7F7ED9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6" w:history="1">
            <w:r w:rsidRPr="00AA42CE">
              <w:rPr>
                <w:rStyle w:val="Collegamentoipertestuale"/>
                <w:noProof/>
              </w:rPr>
              <w:t>Requisiti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76AE" w14:textId="7A0EBB06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7" w:history="1">
            <w:r w:rsidRPr="00AA42CE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D3D1" w14:textId="42E8B682" w:rsidR="00247CB3" w:rsidRDefault="00247CB3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7930818" w:history="1">
            <w:r w:rsidRPr="00AA42CE">
              <w:rPr>
                <w:rStyle w:val="Collegamentoipertestuale"/>
                <w:noProof/>
              </w:rPr>
              <w:t>Piano Documentale da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CCE" w14:textId="488323C8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F50DA1" w:rsidRPr="009B0658" w14:paraId="2DA6F51D" w14:textId="77777777" w:rsidTr="009B0658">
        <w:tc>
          <w:tcPr>
            <w:tcW w:w="3209" w:type="dxa"/>
          </w:tcPr>
          <w:p w14:paraId="385DFDAD" w14:textId="70A9A0AE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08D99A69" w14:textId="36863164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1F056957" w14:textId="55219EAC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  <w:tr w:rsidR="00F50DA1" w:rsidRPr="009B0658" w14:paraId="3D2F49F0" w14:textId="77777777" w:rsidTr="009B0658">
        <w:tc>
          <w:tcPr>
            <w:tcW w:w="3209" w:type="dxa"/>
          </w:tcPr>
          <w:p w14:paraId="5BB8FF8E" w14:textId="1F6C16C1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21/06/2022</w:t>
            </w:r>
          </w:p>
        </w:tc>
        <w:tc>
          <w:tcPr>
            <w:tcW w:w="3209" w:type="dxa"/>
          </w:tcPr>
          <w:p w14:paraId="6330C15A" w14:textId="65E5C80F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3210" w:type="dxa"/>
          </w:tcPr>
          <w:p w14:paraId="60768092" w14:textId="5C839D3A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Revisione, corretti tutti capitoli 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1D543E8A" w:rsidR="004E3F87" w:rsidRDefault="00E00EA2" w:rsidP="00C41F01">
      <w:pPr>
        <w:pStyle w:val="Titolo1"/>
        <w:jc w:val="both"/>
      </w:pPr>
      <w:r>
        <w:rPr>
          <w:color w:val="1F4E79" w:themeColor="accent1" w:themeShade="8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bookmarkStart w:id="1" w:name="_Toc107930808"/>
      <w:r w:rsidR="002E4B33" w:rsidRPr="002E4B33">
        <w:t>Scopo di questo documento</w:t>
      </w:r>
      <w:bookmarkEnd w:id="0"/>
      <w:bookmarkEnd w:id="1"/>
    </w:p>
    <w:p w14:paraId="69A5FBC2" w14:textId="47B4E2DF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del database</w:t>
      </w:r>
      <w:r w:rsidR="00341816">
        <w:t xml:space="preserve"> e dei </w:t>
      </w:r>
      <w:r w:rsidR="00556EFF">
        <w:t>deliverables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7930809"/>
      <w:r w:rsidRPr="00C95C61">
        <w:t>Situazione attuale</w:t>
      </w:r>
      <w:bookmarkEnd w:id="2"/>
      <w:bookmarkEnd w:id="3"/>
    </w:p>
    <w:p w14:paraId="51C9629F" w14:textId="01704EBF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</w:t>
      </w:r>
      <w:r w:rsidR="00232EB1" w:rsidRPr="00B175DA">
        <w:t>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7930810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r w:rsidR="006D505E">
        <w:t>Material</w:t>
      </w:r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7930811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2B3608A7" w:rsidR="00C22A46" w:rsidRDefault="0077566E" w:rsidP="0077566E">
      <w:pPr>
        <w:jc w:val="both"/>
      </w:pPr>
      <w:r w:rsidRPr="00B175DA">
        <w:t>L’azienda</w:t>
      </w:r>
      <w:r>
        <w:t>,</w:t>
      </w:r>
      <w:r w:rsidR="00F91DA7" w:rsidRPr="00B175DA">
        <w:t xml:space="preserve"> registra per ogni</w:t>
      </w:r>
      <w:r w:rsidR="004E15AF">
        <w:t xml:space="preserve"> ordine </w:t>
      </w:r>
      <w:r w:rsidR="006673D5">
        <w:t xml:space="preserve">presente </w:t>
      </w:r>
      <w:r w:rsidR="004E15AF">
        <w:t xml:space="preserve">nella Sheet numero 1, gli stati di </w:t>
      </w:r>
      <w:r w:rsidR="00E00EA2">
        <w:t>avanzamento, l’importo</w:t>
      </w:r>
      <w:r w:rsidR="00C22A46">
        <w:t xml:space="preserve">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7930812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7930813"/>
      <w:r>
        <w:lastRenderedPageBreak/>
        <w:t>Sheet 4 – Dati codificati</w:t>
      </w:r>
      <w:bookmarkEnd w:id="7"/>
      <w:r>
        <w:t xml:space="preserve">  </w:t>
      </w:r>
    </w:p>
    <w:p w14:paraId="43924E5A" w14:textId="74AE64AD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</w:t>
      </w:r>
      <w:proofErr w:type="gramStart"/>
      <w:r w:rsidR="00CB011E">
        <w:t>nelle combo</w:t>
      </w:r>
      <w:proofErr w:type="gramEnd"/>
      <w:r w:rsidR="00CB011E">
        <w:t xml:space="preserve">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61593DAD" w14:textId="72664392" w:rsidR="00247CB3" w:rsidRDefault="00247CB3" w:rsidP="004D25B1">
      <w:pPr>
        <w:jc w:val="both"/>
      </w:pPr>
      <w:r>
        <w:t xml:space="preserve">La richiesta utente è quella di non memorizzare in tabelle i dati codificati ma di mantenerli in cache dell’applicazione. </w:t>
      </w:r>
    </w:p>
    <w:p w14:paraId="4222FD2C" w14:textId="77777777" w:rsidR="004D7FB1" w:rsidRDefault="004D7FB1" w:rsidP="004D25B1">
      <w:pPr>
        <w:jc w:val="both"/>
      </w:pPr>
      <w:proofErr w:type="gramStart"/>
      <w:r>
        <w:t>Le combo</w:t>
      </w:r>
      <w:proofErr w:type="gramEnd"/>
      <w:r>
        <w:t xml:space="preserve">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7930814"/>
      <w:r w:rsidRPr="002D6B53">
        <w:t>Obiettivi del progetto</w:t>
      </w:r>
      <w:bookmarkEnd w:id="8"/>
      <w:bookmarkEnd w:id="9"/>
    </w:p>
    <w:p w14:paraId="17524C16" w14:textId="337E0162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r w:rsidR="00776971" w:rsidRPr="00776971">
        <w:t>reingegnerizzazione</w:t>
      </w:r>
      <w:r w:rsidR="00776971">
        <w:t xml:space="preserve"> di un processo che attualmente </w:t>
      </w:r>
      <w:r w:rsidR="00D55320">
        <w:t>viene</w:t>
      </w:r>
      <w:r w:rsidR="00776971">
        <w:t xml:space="preserve"> portato a termine utilizzando un foglio </w:t>
      </w:r>
      <w:proofErr w:type="gramStart"/>
      <w:r w:rsidR="00776971">
        <w:t>Excel,  questa</w:t>
      </w:r>
      <w:proofErr w:type="gramEnd"/>
      <w:r w:rsidR="00776971">
        <w:t xml:space="preserve"> </w:t>
      </w:r>
      <w:r w:rsidR="00776971" w:rsidRPr="00776971">
        <w:t>reingegnerizzazione</w:t>
      </w:r>
      <w:r w:rsidR="00776971">
        <w:t xml:space="preserve"> la si effettua creando una </w:t>
      </w:r>
      <w:r w:rsidRPr="00A83EF2">
        <w:t xml:space="preserve"> Web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366F9">
        <w:t>,</w:t>
      </w:r>
      <w:r w:rsidR="00776971">
        <w:t xml:space="preserve">con </w:t>
      </w:r>
      <w:r w:rsidR="007366F9">
        <w:t>i</w:t>
      </w:r>
      <w:r w:rsidR="00776971">
        <w:t xml:space="preserve"> browser </w:t>
      </w:r>
      <w:r w:rsidR="007366F9">
        <w:t xml:space="preserve">di maggiore utilizzo,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7930815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7930816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lastRenderedPageBreak/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t xml:space="preserve">Per l’installazione della web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7930817"/>
      <w:r w:rsidRPr="002D6B53">
        <w:t>Requisiti Funzionali</w:t>
      </w:r>
      <w:bookmarkEnd w:id="14"/>
      <w:bookmarkEnd w:id="15"/>
    </w:p>
    <w:p w14:paraId="3B280990" w14:textId="6A24E057" w:rsidR="00581428" w:rsidRDefault="001E2DC7" w:rsidP="00617BDB">
      <w:r>
        <w:t>I requisiti funzionali saranno</w:t>
      </w:r>
      <w:r w:rsidR="00581428">
        <w:t>:</w:t>
      </w:r>
      <w:r w:rsidR="005973D8">
        <w:t xml:space="preserve"> </w:t>
      </w:r>
    </w:p>
    <w:p w14:paraId="4976EEAE" w14:textId="4829AFED" w:rsidR="007E7740" w:rsidRDefault="007E7740" w:rsidP="007E7740">
      <w:pPr>
        <w:ind w:firstLine="405"/>
      </w:pPr>
      <w:r>
        <w:t>RF01- Gestire le modalità di accesso al sistema;</w:t>
      </w:r>
    </w:p>
    <w:p w14:paraId="7108CCF7" w14:textId="57772EF0" w:rsidR="007E7740" w:rsidRDefault="007E7740" w:rsidP="007E7740">
      <w:pPr>
        <w:ind w:firstLine="405"/>
      </w:pPr>
      <w:r>
        <w:t xml:space="preserve">RF02- Gestire </w:t>
      </w:r>
      <w:r w:rsidRPr="00A83EF2">
        <w:t xml:space="preserve">ordini e </w:t>
      </w:r>
      <w:r>
        <w:t>dettaglio commesse (</w:t>
      </w:r>
      <w:proofErr w:type="spellStart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1 </w:t>
      </w:r>
      <w:proofErr w:type="spellStart"/>
      <w:r>
        <w:t>dell’excel</w:t>
      </w:r>
      <w:proofErr w:type="spellEnd"/>
      <w:proofErr w:type="gramStart"/>
      <w:r>
        <w:t xml:space="preserve">) </w:t>
      </w:r>
      <w:r w:rsidRPr="00A83EF2">
        <w:t>;</w:t>
      </w:r>
      <w:proofErr w:type="gramEnd"/>
    </w:p>
    <w:p w14:paraId="7AEAC96C" w14:textId="26C5302A" w:rsidR="007E7740" w:rsidRDefault="007E7740" w:rsidP="007E7740">
      <w:pPr>
        <w:pStyle w:val="Paragrafoelenco"/>
        <w:numPr>
          <w:ilvl w:val="0"/>
          <w:numId w:val="18"/>
        </w:numPr>
      </w:pPr>
      <w:r>
        <w:t>Ricerca (con o senza filtri)</w:t>
      </w:r>
    </w:p>
    <w:p w14:paraId="528FB27F" w14:textId="71378B60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47DA81BC" w14:textId="696668A2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0A81824D" w14:textId="315A29A1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621808B7" w14:textId="3CF7BD89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7AA55DFA" w14:textId="53ED9E33" w:rsidR="007E7740" w:rsidRDefault="007E7740" w:rsidP="007E7740">
      <w:pPr>
        <w:ind w:firstLine="405"/>
      </w:pPr>
      <w:r>
        <w:t xml:space="preserve">RF03 - Gestire gli Stati di </w:t>
      </w:r>
      <w:proofErr w:type="gramStart"/>
      <w:r>
        <w:t>Avanzamento  (</w:t>
      </w:r>
      <w:proofErr w:type="spellStart"/>
      <w:proofErr w:type="gramEnd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2 </w:t>
      </w:r>
      <w:proofErr w:type="spellStart"/>
      <w:r>
        <w:t>dell’excel</w:t>
      </w:r>
      <w:proofErr w:type="spellEnd"/>
      <w:r>
        <w:t>);</w:t>
      </w:r>
    </w:p>
    <w:p w14:paraId="6330E1B6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654FE559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451E6631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3A433DFE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40AE0B18" w14:textId="1DE1F750" w:rsidR="007E7740" w:rsidRDefault="007E7740" w:rsidP="007E7740">
      <w:pPr>
        <w:pStyle w:val="Paragrafoelenco"/>
        <w:numPr>
          <w:ilvl w:val="0"/>
          <w:numId w:val="18"/>
        </w:numPr>
      </w:pPr>
      <w:r>
        <w:t xml:space="preserve">Modificare lo stato (con l’aiuto di colori differenti) </w:t>
      </w:r>
    </w:p>
    <w:p w14:paraId="6A1D8C2C" w14:textId="6660C4D3" w:rsidR="00D55320" w:rsidRDefault="00D55320" w:rsidP="007E7740">
      <w:pPr>
        <w:ind w:left="405"/>
      </w:pPr>
      <w:r>
        <w:t>RF0</w:t>
      </w:r>
      <w:r w:rsidR="007E7740">
        <w:t>4 –</w:t>
      </w:r>
      <w:r>
        <w:t xml:space="preserve"> </w:t>
      </w:r>
      <w:r w:rsidR="007E7740">
        <w:t xml:space="preserve">Visualizzare tramite pagina dedicata la </w:t>
      </w:r>
      <w:r w:rsidR="008315D6" w:rsidRPr="00A83EF2">
        <w:t xml:space="preserve">visione </w:t>
      </w:r>
      <w:r w:rsidR="007366F9">
        <w:t>complessiva</w:t>
      </w:r>
      <w:r w:rsidR="008315D6" w:rsidRPr="00A83EF2">
        <w:t xml:space="preserve"> degli ordini e delle commesse in servizio;</w:t>
      </w:r>
    </w:p>
    <w:p w14:paraId="346A27A1" w14:textId="7284BADD" w:rsidR="00FF3BF3" w:rsidRPr="00B175DA" w:rsidRDefault="00FF3BF3" w:rsidP="00ED2D1C">
      <w:pPr>
        <w:jc w:val="both"/>
      </w:pPr>
      <w:bookmarkStart w:id="16" w:name="_Toc106112212"/>
    </w:p>
    <w:p w14:paraId="2B0502FA" w14:textId="77777777" w:rsidR="00617BDB" w:rsidRDefault="00617BDB" w:rsidP="00617BDB">
      <w:pPr>
        <w:pStyle w:val="Titolo1"/>
      </w:pPr>
      <w:bookmarkStart w:id="17" w:name="_Toc107930818"/>
      <w:r w:rsidRPr="00617BDB">
        <w:t>Piano Documentale da produrre</w:t>
      </w:r>
      <w:bookmarkEnd w:id="16"/>
      <w:bookmarkEnd w:id="17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6B8DF4F1" w:rsidR="00F16E60" w:rsidRDefault="00F16E60" w:rsidP="00FB6820">
            <w:r>
              <w:t>ASL-</w:t>
            </w:r>
            <w:r w:rsidR="00FB6820">
              <w:t>NAV</w:t>
            </w:r>
          </w:p>
        </w:tc>
        <w:tc>
          <w:tcPr>
            <w:tcW w:w="3821" w:type="dxa"/>
          </w:tcPr>
          <w:p w14:paraId="631F78BC" w14:textId="0388F53E" w:rsidR="00F16E60" w:rsidRDefault="00FB6820" w:rsidP="00F16E60">
            <w:r>
              <w:t>Navigazione della WA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>
      <w:bookmarkStart w:id="18" w:name="_GoBack"/>
      <w:bookmarkEnd w:id="18"/>
    </w:p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644A6" w14:textId="77777777" w:rsidR="0055446F" w:rsidRDefault="0055446F" w:rsidP="00617BDB">
      <w:pPr>
        <w:spacing w:after="0" w:line="240" w:lineRule="auto"/>
      </w:pPr>
      <w:r>
        <w:separator/>
      </w:r>
    </w:p>
  </w:endnote>
  <w:endnote w:type="continuationSeparator" w:id="0">
    <w:p w14:paraId="27C50153" w14:textId="77777777" w:rsidR="0055446F" w:rsidRDefault="0055446F" w:rsidP="00617BDB">
      <w:pPr>
        <w:spacing w:after="0" w:line="240" w:lineRule="auto"/>
      </w:pPr>
      <w:r>
        <w:continuationSeparator/>
      </w:r>
    </w:p>
  </w:endnote>
  <w:endnote w:type="continuationNotice" w:id="1">
    <w:p w14:paraId="1C83E864" w14:textId="77777777" w:rsidR="0055446F" w:rsidRDefault="005544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9E973" w14:textId="4502224F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</w:t>
    </w:r>
    <w:r w:rsidR="00F50DA1">
      <w:t>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462D4" w14:textId="77777777" w:rsidR="0055446F" w:rsidRDefault="0055446F" w:rsidP="00617BDB">
      <w:pPr>
        <w:spacing w:after="0" w:line="240" w:lineRule="auto"/>
      </w:pPr>
      <w:r>
        <w:separator/>
      </w:r>
    </w:p>
  </w:footnote>
  <w:footnote w:type="continuationSeparator" w:id="0">
    <w:p w14:paraId="235D8704" w14:textId="77777777" w:rsidR="0055446F" w:rsidRDefault="0055446F" w:rsidP="00617BDB">
      <w:pPr>
        <w:spacing w:after="0" w:line="240" w:lineRule="auto"/>
      </w:pPr>
      <w:r>
        <w:continuationSeparator/>
      </w:r>
    </w:p>
  </w:footnote>
  <w:footnote w:type="continuationNotice" w:id="1">
    <w:p w14:paraId="77CAD90E" w14:textId="77777777" w:rsidR="0055446F" w:rsidRDefault="005544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0D16"/>
    <w:multiLevelType w:val="hybridMultilevel"/>
    <w:tmpl w:val="67048E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5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28"/>
    <w:rsid w:val="00005200"/>
    <w:rsid w:val="00026281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47CB3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2664"/>
    <w:rsid w:val="004D7FB1"/>
    <w:rsid w:val="004E15AF"/>
    <w:rsid w:val="004E3F87"/>
    <w:rsid w:val="004F0E05"/>
    <w:rsid w:val="004F6268"/>
    <w:rsid w:val="00515120"/>
    <w:rsid w:val="005512B2"/>
    <w:rsid w:val="0055446F"/>
    <w:rsid w:val="00556EFF"/>
    <w:rsid w:val="00560876"/>
    <w:rsid w:val="00563A3A"/>
    <w:rsid w:val="0057266E"/>
    <w:rsid w:val="00580392"/>
    <w:rsid w:val="00581428"/>
    <w:rsid w:val="00585D5C"/>
    <w:rsid w:val="00596635"/>
    <w:rsid w:val="005973D8"/>
    <w:rsid w:val="005B489C"/>
    <w:rsid w:val="005C16A1"/>
    <w:rsid w:val="005C2FBD"/>
    <w:rsid w:val="005F6C39"/>
    <w:rsid w:val="00611B02"/>
    <w:rsid w:val="0061241D"/>
    <w:rsid w:val="00617BDB"/>
    <w:rsid w:val="006366E4"/>
    <w:rsid w:val="00636777"/>
    <w:rsid w:val="00653304"/>
    <w:rsid w:val="006567A3"/>
    <w:rsid w:val="006673D5"/>
    <w:rsid w:val="00674128"/>
    <w:rsid w:val="0068668D"/>
    <w:rsid w:val="006B2CD6"/>
    <w:rsid w:val="006D120D"/>
    <w:rsid w:val="006D505E"/>
    <w:rsid w:val="006D5435"/>
    <w:rsid w:val="00703CCA"/>
    <w:rsid w:val="00703DE5"/>
    <w:rsid w:val="007366F9"/>
    <w:rsid w:val="00747B8A"/>
    <w:rsid w:val="0075089E"/>
    <w:rsid w:val="00752925"/>
    <w:rsid w:val="0077566E"/>
    <w:rsid w:val="007761A7"/>
    <w:rsid w:val="00776971"/>
    <w:rsid w:val="007D2F02"/>
    <w:rsid w:val="007E3B6A"/>
    <w:rsid w:val="007E68C3"/>
    <w:rsid w:val="007E7740"/>
    <w:rsid w:val="00804E46"/>
    <w:rsid w:val="008131BD"/>
    <w:rsid w:val="00824994"/>
    <w:rsid w:val="008315D6"/>
    <w:rsid w:val="00833153"/>
    <w:rsid w:val="00834B7B"/>
    <w:rsid w:val="00850E74"/>
    <w:rsid w:val="0085476B"/>
    <w:rsid w:val="00855346"/>
    <w:rsid w:val="0086792A"/>
    <w:rsid w:val="008805A7"/>
    <w:rsid w:val="008906A1"/>
    <w:rsid w:val="008D4370"/>
    <w:rsid w:val="008E2250"/>
    <w:rsid w:val="00900B2E"/>
    <w:rsid w:val="00924A03"/>
    <w:rsid w:val="00931DF6"/>
    <w:rsid w:val="009473E9"/>
    <w:rsid w:val="009608AD"/>
    <w:rsid w:val="00982128"/>
    <w:rsid w:val="00983549"/>
    <w:rsid w:val="00987468"/>
    <w:rsid w:val="009B0658"/>
    <w:rsid w:val="00A07BB4"/>
    <w:rsid w:val="00A14DA7"/>
    <w:rsid w:val="00A15C6C"/>
    <w:rsid w:val="00A15EA6"/>
    <w:rsid w:val="00A27C5A"/>
    <w:rsid w:val="00A45F56"/>
    <w:rsid w:val="00A6055A"/>
    <w:rsid w:val="00A83EF2"/>
    <w:rsid w:val="00A909D8"/>
    <w:rsid w:val="00AA693E"/>
    <w:rsid w:val="00AD62D1"/>
    <w:rsid w:val="00AF2016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BF7506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55320"/>
    <w:rsid w:val="00D75211"/>
    <w:rsid w:val="00D8006D"/>
    <w:rsid w:val="00D81D2D"/>
    <w:rsid w:val="00DD2C76"/>
    <w:rsid w:val="00DE7CEE"/>
    <w:rsid w:val="00E00EA2"/>
    <w:rsid w:val="00E00F32"/>
    <w:rsid w:val="00E07E49"/>
    <w:rsid w:val="00E1522A"/>
    <w:rsid w:val="00E1668F"/>
    <w:rsid w:val="00E268BA"/>
    <w:rsid w:val="00E32466"/>
    <w:rsid w:val="00E45292"/>
    <w:rsid w:val="00E52776"/>
    <w:rsid w:val="00ED2D1C"/>
    <w:rsid w:val="00ED4EDF"/>
    <w:rsid w:val="00F04CF0"/>
    <w:rsid w:val="00F16E60"/>
    <w:rsid w:val="00F203FB"/>
    <w:rsid w:val="00F208DD"/>
    <w:rsid w:val="00F33064"/>
    <w:rsid w:val="00F50DA1"/>
    <w:rsid w:val="00F91DA7"/>
    <w:rsid w:val="00FB6820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6DF2-95F1-4B11-BD38-DBC91589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FABIO INGRAO</cp:lastModifiedBy>
  <cp:revision>2</cp:revision>
  <dcterms:created xsi:type="dcterms:W3CDTF">2022-07-05T14:30:00Z</dcterms:created>
  <dcterms:modified xsi:type="dcterms:W3CDTF">2022-07-05T14:30:00Z</dcterms:modified>
</cp:coreProperties>
</file>