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57364" w14:textId="77777777" w:rsidR="003310A5" w:rsidRDefault="003310A5">
      <w:pPr>
        <w:spacing w:after="3200"/>
      </w:pPr>
    </w:p>
    <w:p w14:paraId="1AD88232" w14:textId="77777777" w:rsidR="003310A5" w:rsidRDefault="00000000">
      <w:pPr>
        <w:spacing w:after="240"/>
        <w:jc w:val="center"/>
      </w:pPr>
      <w:r>
        <w:rPr>
          <w:b/>
          <w:bCs/>
          <w:color w:val="1F3864"/>
          <w:sz w:val="52"/>
          <w:szCs w:val="52"/>
        </w:rPr>
        <w:t>AI SYSTEMS EVALUATION FRAMEWORK</w:t>
      </w:r>
    </w:p>
    <w:p w14:paraId="7F077AD9" w14:textId="77777777" w:rsidR="003310A5" w:rsidRDefault="00000000">
      <w:pPr>
        <w:spacing w:after="120"/>
        <w:jc w:val="center"/>
      </w:pPr>
      <w:r>
        <w:rPr>
          <w:color w:val="2E75B6"/>
          <w:sz w:val="36"/>
          <w:szCs w:val="36"/>
        </w:rPr>
        <w:t>Insurance Submission-to-Claim Lifecycle</w:t>
      </w:r>
    </w:p>
    <w:p w14:paraId="5D00C9FF" w14:textId="77777777" w:rsidR="003310A5" w:rsidRDefault="00000000">
      <w:pPr>
        <w:spacing w:after="600"/>
        <w:jc w:val="center"/>
      </w:pPr>
      <w:r>
        <w:rPr>
          <w:color w:val="2E75B6"/>
          <w:sz w:val="32"/>
          <w:szCs w:val="32"/>
        </w:rPr>
        <w:t>General Liability / NY Labor Law Stress Test</w:t>
      </w:r>
    </w:p>
    <w:p w14:paraId="02521C86" w14:textId="77777777" w:rsidR="003310A5" w:rsidRDefault="003310A5">
      <w:pPr>
        <w:pBdr>
          <w:bottom w:val="single" w:sz="8" w:space="1" w:color="1F3864"/>
        </w:pBdr>
        <w:spacing w:after="480"/>
      </w:pPr>
    </w:p>
    <w:p w14:paraId="231CEED6" w14:textId="77777777" w:rsidR="003310A5" w:rsidRDefault="00000000">
      <w:pPr>
        <w:spacing w:after="120"/>
        <w:jc w:val="center"/>
      </w:pPr>
      <w:r>
        <w:rPr>
          <w:b/>
          <w:bCs/>
          <w:color w:val="1F3864"/>
          <w:sz w:val="28"/>
          <w:szCs w:val="28"/>
        </w:rPr>
        <w:t>LLM + RAG vs. Neuro-Symbolic AI</w:t>
      </w:r>
    </w:p>
    <w:p w14:paraId="28035D64" w14:textId="77777777" w:rsidR="003310A5" w:rsidRDefault="00000000">
      <w:pPr>
        <w:spacing w:after="1600"/>
        <w:jc w:val="center"/>
      </w:pPr>
      <w:r>
        <w:rPr>
          <w:i/>
          <w:iCs/>
          <w:color w:val="444444"/>
          <w:sz w:val="24"/>
          <w:szCs w:val="24"/>
        </w:rPr>
        <w:t>A Structured Performance Comparison Framework</w:t>
      </w:r>
    </w:p>
    <w:p w14:paraId="2422810C" w14:textId="77777777" w:rsidR="003310A5" w:rsidRDefault="00000000">
      <w:pPr>
        <w:spacing w:after="80"/>
        <w:jc w:val="center"/>
      </w:pPr>
      <w:r>
        <w:rPr>
          <w:color w:val="666666"/>
        </w:rPr>
        <w:t>Prepared by Growth Protocol</w:t>
      </w:r>
    </w:p>
    <w:p w14:paraId="5ABD7A48" w14:textId="77777777" w:rsidR="003310A5" w:rsidRDefault="00000000">
      <w:pPr>
        <w:spacing w:after="80"/>
        <w:jc w:val="center"/>
      </w:pPr>
      <w:r>
        <w:rPr>
          <w:color w:val="666666"/>
        </w:rPr>
        <w:t xml:space="preserve">June </w:t>
      </w:r>
      <w:proofErr w:type="gramStart"/>
      <w:r>
        <w:rPr>
          <w:color w:val="666666"/>
        </w:rPr>
        <w:t>2026  |</w:t>
      </w:r>
      <w:proofErr w:type="gramEnd"/>
      <w:r>
        <w:rPr>
          <w:color w:val="666666"/>
        </w:rPr>
        <w:t xml:space="preserve">  Version 1.1</w:t>
      </w:r>
    </w:p>
    <w:p w14:paraId="3208FC97" w14:textId="77777777" w:rsidR="003310A5" w:rsidRDefault="00000000">
      <w:pPr>
        <w:jc w:val="center"/>
      </w:pPr>
      <w:r>
        <w:rPr>
          <w:i/>
          <w:iCs/>
          <w:color w:val="999999"/>
          <w:sz w:val="18"/>
          <w:szCs w:val="18"/>
        </w:rPr>
        <w:t xml:space="preserve">Proprietary and </w:t>
      </w:r>
      <w:proofErr w:type="gramStart"/>
      <w:r>
        <w:rPr>
          <w:i/>
          <w:iCs/>
          <w:color w:val="999999"/>
          <w:sz w:val="18"/>
          <w:szCs w:val="18"/>
        </w:rPr>
        <w:t>Confidential  |</w:t>
      </w:r>
      <w:proofErr w:type="gramEnd"/>
      <w:r>
        <w:rPr>
          <w:i/>
          <w:iCs/>
          <w:color w:val="999999"/>
          <w:sz w:val="18"/>
          <w:szCs w:val="18"/>
        </w:rPr>
        <w:t xml:space="preserve">  For Discussion Purposes Only</w:t>
      </w:r>
    </w:p>
    <w:p w14:paraId="1DCEFDEE" w14:textId="77777777" w:rsidR="003310A5" w:rsidRDefault="003310A5">
      <w:pPr>
        <w:sectPr w:rsidR="003310A5">
          <w:pgSz w:w="12240" w:h="15840"/>
          <w:pgMar w:top="1440" w:right="1440" w:bottom="1440" w:left="1440" w:header="708" w:footer="708" w:gutter="0"/>
          <w:cols w:space="720"/>
          <w:docGrid w:linePitch="360"/>
        </w:sectPr>
      </w:pPr>
    </w:p>
    <w:p w14:paraId="272F4BBF" w14:textId="77777777" w:rsidR="003310A5" w:rsidRDefault="00000000">
      <w:pPr>
        <w:pStyle w:val="Heading1"/>
        <w:pageBreakBefore/>
        <w:pBdr>
          <w:bottom w:val="single" w:sz="8" w:space="4" w:color="1F3864"/>
        </w:pBdr>
      </w:pPr>
      <w:r>
        <w:lastRenderedPageBreak/>
        <w:t>1. Executive Summary</w:t>
      </w:r>
    </w:p>
    <w:p w14:paraId="5C79948F" w14:textId="77777777" w:rsidR="003310A5" w:rsidRDefault="00000000">
      <w:pPr>
        <w:spacing w:after="120"/>
      </w:pPr>
      <w:r>
        <w:rPr>
          <w:color w:val="000000"/>
        </w:rPr>
        <w:t>This framework presents a realistic, multi-layered General Liability scenario designed to evaluate and compare the performance of two AI system architectures — Large Language Model + Retrieval-Augmented Generation (LLM+RAG) and Neuro-Symbolic AI (NSAI) — across the full insurance lifecycle: submission review, policy issuance, and claims coverage analysis.</w:t>
      </w:r>
    </w:p>
    <w:p w14:paraId="3F45184D" w14:textId="77777777" w:rsidR="003310A5" w:rsidRDefault="003310A5">
      <w:pPr>
        <w:spacing w:after="120"/>
      </w:pPr>
    </w:p>
    <w:p w14:paraId="58C22075" w14:textId="77777777" w:rsidR="003310A5" w:rsidRDefault="00000000">
      <w:pPr>
        <w:spacing w:after="120"/>
      </w:pPr>
      <w:r>
        <w:rPr>
          <w:color w:val="000000"/>
        </w:rPr>
        <w:t>The scenario is deliberately constructed with compounding failure modes embedded at the application, underwriting, and policy-issuance stages. These failures surface at the claim stage, creating a chain of interacting coverage questions that require both legal reasoning precision and rule-interaction recognition to resolve correctly.</w:t>
      </w:r>
    </w:p>
    <w:p w14:paraId="2A640438" w14:textId="77777777" w:rsidR="003310A5" w:rsidRDefault="003310A5">
      <w:pPr>
        <w:spacing w:after="120"/>
      </w:pPr>
    </w:p>
    <w:p w14:paraId="5A029868" w14:textId="77777777" w:rsidR="003310A5" w:rsidRDefault="00000000">
      <w:pPr>
        <w:spacing w:after="120"/>
      </w:pPr>
      <w:r>
        <w:rPr>
          <w:color w:val="000000"/>
        </w:rPr>
        <w:t>The scenario centers on a New Jersey-based General Contractor (GC) with New York operations, exposed to New York Labor Law Section 240/241 absolute liability via an undisclosed subcontractor whose own insurance contains a height exclusion that voids coverage — leaving the GC's insurer to absorb a $3M+ catastrophic injury loss, while simultaneously facing a potential coverage defense based on material misrepresentations in the original application.</w:t>
      </w:r>
    </w:p>
    <w:p w14:paraId="309DB33C" w14:textId="77777777" w:rsidR="003310A5" w:rsidRDefault="003310A5">
      <w:pPr>
        <w:spacing w:after="120"/>
      </w:pPr>
    </w:p>
    <w:p w14:paraId="2CF1DC64" w14:textId="77777777" w:rsidR="003310A5" w:rsidRDefault="00000000">
      <w:pPr>
        <w:pStyle w:val="Heading2"/>
      </w:pPr>
      <w:r>
        <w:t>Framework Components</w:t>
      </w:r>
    </w:p>
    <w:p w14:paraId="55A0A8C4" w14:textId="77777777" w:rsidR="003310A5" w:rsidRDefault="00000000">
      <w:pPr>
        <w:pStyle w:val="ListParagraph"/>
        <w:numPr>
          <w:ilvl w:val="0"/>
          <w:numId w:val="2"/>
        </w:numPr>
        <w:spacing w:after="80"/>
      </w:pPr>
      <w:r>
        <w:rPr>
          <w:color w:val="000000"/>
        </w:rPr>
        <w:t>Realistic scenario narrative with embedded underwriting and coverage traps</w:t>
      </w:r>
    </w:p>
    <w:p w14:paraId="0F774923" w14:textId="77777777" w:rsidR="003310A5" w:rsidRDefault="00000000">
      <w:pPr>
        <w:pStyle w:val="ListParagraph"/>
        <w:numPr>
          <w:ilvl w:val="0"/>
          <w:numId w:val="2"/>
        </w:numPr>
        <w:spacing w:after="80"/>
      </w:pPr>
      <w:r>
        <w:rPr>
          <w:color w:val="000000"/>
        </w:rPr>
        <w:t>Failure inventory cataloging eight discrete failure modes with technical grounding</w:t>
      </w:r>
    </w:p>
    <w:p w14:paraId="6E3D86B3" w14:textId="77777777" w:rsidR="003310A5" w:rsidRDefault="00000000">
      <w:pPr>
        <w:pStyle w:val="ListParagraph"/>
        <w:numPr>
          <w:ilvl w:val="0"/>
          <w:numId w:val="2"/>
        </w:numPr>
        <w:spacing w:after="80"/>
      </w:pPr>
      <w:r>
        <w:rPr>
          <w:color w:val="000000"/>
        </w:rPr>
        <w:t>Seven-query test set with full verbatim prompts and expected outputs</w:t>
      </w:r>
    </w:p>
    <w:p w14:paraId="496569B4" w14:textId="77777777" w:rsidR="003310A5" w:rsidRDefault="00000000">
      <w:pPr>
        <w:pStyle w:val="ListParagraph"/>
        <w:numPr>
          <w:ilvl w:val="0"/>
          <w:numId w:val="2"/>
        </w:numPr>
        <w:spacing w:after="80"/>
      </w:pPr>
      <w:r>
        <w:rPr>
          <w:color w:val="000000"/>
        </w:rPr>
        <w:t>Grading rubric with four scoring dimensions, 700-point maximum, and six auto-fail triggers</w:t>
      </w:r>
    </w:p>
    <w:p w14:paraId="5294EECA" w14:textId="77777777" w:rsidR="003310A5" w:rsidRDefault="00000000">
      <w:pPr>
        <w:pStyle w:val="ListParagraph"/>
        <w:numPr>
          <w:ilvl w:val="0"/>
          <w:numId w:val="2"/>
        </w:numPr>
        <w:spacing w:after="80"/>
      </w:pPr>
      <w:r>
        <w:rPr>
          <w:color w:val="000000"/>
        </w:rPr>
        <w:t>Scored calibration examples for each rubric dimension</w:t>
      </w:r>
    </w:p>
    <w:p w14:paraId="36999167" w14:textId="77777777" w:rsidR="003310A5" w:rsidRDefault="00000000">
      <w:pPr>
        <w:pStyle w:val="ListParagraph"/>
        <w:numPr>
          <w:ilvl w:val="0"/>
          <w:numId w:val="2"/>
        </w:numPr>
        <w:spacing w:after="80"/>
      </w:pPr>
      <w:r>
        <w:rPr>
          <w:color w:val="000000"/>
        </w:rPr>
        <w:t>Comparative failure mode analysis with net assessment for each architecture type</w:t>
      </w:r>
    </w:p>
    <w:p w14:paraId="3C6BE3FA" w14:textId="77777777" w:rsidR="003310A5" w:rsidRDefault="00000000">
      <w:pPr>
        <w:pStyle w:val="ListParagraph"/>
        <w:numPr>
          <w:ilvl w:val="0"/>
          <w:numId w:val="2"/>
        </w:numPr>
        <w:spacing w:after="80"/>
      </w:pPr>
      <w:r>
        <w:rPr>
          <w:color w:val="000000"/>
        </w:rPr>
        <w:t>Statutory and regulatory reference appendix including key case law</w:t>
      </w:r>
    </w:p>
    <w:p w14:paraId="1215B335" w14:textId="77777777" w:rsidR="003310A5" w:rsidRDefault="003310A5">
      <w:pPr>
        <w:spacing w:after="120"/>
      </w:pPr>
    </w:p>
    <w:p w14:paraId="6588B35F" w14:textId="77777777" w:rsidR="003310A5" w:rsidRDefault="00000000">
      <w:pPr>
        <w:pStyle w:val="Heading2"/>
      </w:pPr>
      <w:r>
        <w:t>Key Scenario Facts</w:t>
      </w:r>
    </w:p>
    <w:p w14:paraId="4856296A" w14:textId="77777777" w:rsidR="003310A5" w:rsidRDefault="00000000">
      <w:pPr>
        <w:pStyle w:val="ListParagraph"/>
        <w:numPr>
          <w:ilvl w:val="0"/>
          <w:numId w:val="2"/>
        </w:numPr>
        <w:spacing w:after="80"/>
      </w:pPr>
      <w:r>
        <w:rPr>
          <w:color w:val="000000"/>
        </w:rPr>
        <w:t>Insured: Meridian Construction Group, LLC — Newark, NJ-based general contractor</w:t>
      </w:r>
    </w:p>
    <w:p w14:paraId="2C7FA28C" w14:textId="77777777" w:rsidR="003310A5" w:rsidRDefault="00000000">
      <w:pPr>
        <w:pStyle w:val="ListParagraph"/>
        <w:numPr>
          <w:ilvl w:val="0"/>
          <w:numId w:val="2"/>
        </w:numPr>
        <w:spacing w:after="80"/>
      </w:pPr>
      <w:r>
        <w:rPr>
          <w:color w:val="000000"/>
        </w:rPr>
        <w:t>Carrier: Thornfield Insurance Company (Meridian's CGL insurer)</w:t>
      </w:r>
    </w:p>
    <w:p w14:paraId="378BA2EF" w14:textId="77777777" w:rsidR="003310A5" w:rsidRDefault="00000000">
      <w:pPr>
        <w:pStyle w:val="ListParagraph"/>
        <w:numPr>
          <w:ilvl w:val="0"/>
          <w:numId w:val="2"/>
        </w:numPr>
        <w:spacing w:after="80"/>
      </w:pPr>
      <w:r>
        <w:rPr>
          <w:color w:val="000000"/>
        </w:rPr>
        <w:t>Subcontractor: Alpine Specialty Coatings, Inc. — not disclosed on Meridian's application</w:t>
      </w:r>
    </w:p>
    <w:p w14:paraId="02F68F02" w14:textId="77777777" w:rsidR="003310A5" w:rsidRDefault="00000000">
      <w:pPr>
        <w:pStyle w:val="ListParagraph"/>
        <w:numPr>
          <w:ilvl w:val="0"/>
          <w:numId w:val="2"/>
        </w:numPr>
        <w:spacing w:after="80"/>
      </w:pPr>
      <w:r>
        <w:rPr>
          <w:color w:val="000000"/>
        </w:rPr>
        <w:t>Loss: Worker fall from swing-stage scaffold at 85 feet on the Bronx-Whitestone Bridge, Queens, NY</w:t>
      </w:r>
    </w:p>
    <w:p w14:paraId="47D8ED95" w14:textId="77777777" w:rsidR="003310A5" w:rsidRDefault="00000000">
      <w:pPr>
        <w:pStyle w:val="ListParagraph"/>
        <w:numPr>
          <w:ilvl w:val="0"/>
          <w:numId w:val="2"/>
        </w:numPr>
        <w:spacing w:after="80"/>
      </w:pPr>
      <w:r>
        <w:rPr>
          <w:color w:val="000000"/>
        </w:rPr>
        <w:t>Claim: NY Labor Law §240(1) and §241(6) absolute liability against Meridian as GC</w:t>
      </w:r>
    </w:p>
    <w:p w14:paraId="681F4D43" w14:textId="77777777" w:rsidR="003310A5" w:rsidRDefault="00000000">
      <w:pPr>
        <w:pStyle w:val="ListParagraph"/>
        <w:numPr>
          <w:ilvl w:val="0"/>
          <w:numId w:val="2"/>
        </w:numPr>
        <w:spacing w:after="80"/>
      </w:pPr>
      <w:r>
        <w:rPr>
          <w:color w:val="000000"/>
        </w:rPr>
        <w:lastRenderedPageBreak/>
        <w:t>Coverage failure chain: Sub's insurer disclaims (height exclusion) → transfer of risk collapses → loss lands on Thornfield</w:t>
      </w:r>
    </w:p>
    <w:p w14:paraId="13E3F5E9" w14:textId="77777777" w:rsidR="003310A5" w:rsidRDefault="00000000">
      <w:pPr>
        <w:pStyle w:val="ListParagraph"/>
        <w:numPr>
          <w:ilvl w:val="0"/>
          <w:numId w:val="2"/>
        </w:numPr>
        <w:spacing w:after="80"/>
      </w:pPr>
      <w:r>
        <w:rPr>
          <w:color w:val="000000"/>
        </w:rPr>
        <w:t>Compounding issue: Meridian's application contains material misrepresentations regarding NY Labor Law exposure</w:t>
      </w:r>
    </w:p>
    <w:p w14:paraId="2B5D94B5" w14:textId="77777777" w:rsidR="003310A5" w:rsidRDefault="003310A5">
      <w:pPr>
        <w:spacing w:after="120"/>
      </w:pPr>
    </w:p>
    <w:p w14:paraId="401EABE9" w14:textId="77777777" w:rsidR="003310A5" w:rsidRDefault="00000000">
      <w:pPr>
        <w:pStyle w:val="Heading1"/>
        <w:pageBreakBefore/>
        <w:pBdr>
          <w:bottom w:val="single" w:sz="8" w:space="4" w:color="1F3864"/>
        </w:pBdr>
      </w:pPr>
      <w:r>
        <w:lastRenderedPageBreak/>
        <w:t>2. Scenario Narrative</w:t>
      </w:r>
    </w:p>
    <w:p w14:paraId="73B5E069" w14:textId="77777777" w:rsidR="003310A5" w:rsidRDefault="00000000">
      <w:pPr>
        <w:pStyle w:val="Heading2"/>
      </w:pPr>
      <w:proofErr w:type="gramStart"/>
      <w:r>
        <w:t>2.1  The</w:t>
      </w:r>
      <w:proofErr w:type="gramEnd"/>
      <w:r>
        <w:t xml:space="preserve"> Insured</w:t>
      </w:r>
    </w:p>
    <w:p w14:paraId="236F0306" w14:textId="77777777" w:rsidR="003310A5" w:rsidRDefault="00000000">
      <w:pPr>
        <w:spacing w:after="120"/>
      </w:pPr>
      <w:r>
        <w:rPr>
          <w:color w:val="000000"/>
        </w:rPr>
        <w:t>Meridian Construction Group, LLC is a mid-sized general contractor headquartered in Newark, New Jersey, with a project management office in Manhattan. Meridian primarily performs commercial renovation work in New Jersey and New York, with annual revenues of approximately $12 million. Meridian holds a Commercial General Liability policy issued by Thornfield Insurance Company, a specialty commercial lines carrier.</w:t>
      </w:r>
    </w:p>
    <w:p w14:paraId="74D3BFCA" w14:textId="77777777" w:rsidR="003310A5" w:rsidRDefault="003310A5">
      <w:pPr>
        <w:spacing w:after="120"/>
      </w:pPr>
    </w:p>
    <w:p w14:paraId="7A719493" w14:textId="77777777" w:rsidR="003310A5" w:rsidRDefault="00000000">
      <w:pPr>
        <w:pStyle w:val="Heading2"/>
      </w:pPr>
      <w:proofErr w:type="gramStart"/>
      <w:r>
        <w:t>2.2  The</w:t>
      </w:r>
      <w:proofErr w:type="gramEnd"/>
      <w:r>
        <w:t xml:space="preserve"> Application and Policy</w:t>
      </w:r>
    </w:p>
    <w:p w14:paraId="725DD6B1" w14:textId="77777777" w:rsidR="003310A5" w:rsidRDefault="00000000">
      <w:pPr>
        <w:spacing w:after="120"/>
      </w:pPr>
      <w:r>
        <w:rPr>
          <w:color w:val="000000"/>
        </w:rPr>
        <w:t xml:space="preserve">Meridian's insurance broker, Northgate Specialty Brokers, submitted a CGL application to Thornfield on March 1, </w:t>
      </w:r>
      <w:proofErr w:type="gramStart"/>
      <w:r>
        <w:rPr>
          <w:color w:val="000000"/>
        </w:rPr>
        <w:t>2025</w:t>
      </w:r>
      <w:proofErr w:type="gramEnd"/>
      <w:r>
        <w:rPr>
          <w:color w:val="000000"/>
        </w:rPr>
        <w:t xml:space="preserve"> for the annual policy period April 1, </w:t>
      </w:r>
      <w:proofErr w:type="gramStart"/>
      <w:r>
        <w:rPr>
          <w:color w:val="000000"/>
        </w:rPr>
        <w:t>2025</w:t>
      </w:r>
      <w:proofErr w:type="gramEnd"/>
      <w:r>
        <w:rPr>
          <w:color w:val="000000"/>
        </w:rPr>
        <w:t xml:space="preserve"> to April 1, 2026. The application described Meridian's operations as "general contractor — commercial interior renovations and tenant fit-out work, New Jersey and New York metro." The application contained the following representations:</w:t>
      </w:r>
    </w:p>
    <w:p w14:paraId="150237EB" w14:textId="77777777" w:rsidR="003310A5" w:rsidRDefault="003310A5">
      <w:pPr>
        <w:spacing w:after="120"/>
      </w:pPr>
    </w:p>
    <w:p w14:paraId="1127F057" w14:textId="77777777" w:rsidR="003310A5" w:rsidRDefault="00000000">
      <w:pPr>
        <w:pStyle w:val="ListParagraph"/>
        <w:numPr>
          <w:ilvl w:val="0"/>
          <w:numId w:val="2"/>
        </w:numPr>
        <w:spacing w:after="80"/>
      </w:pPr>
      <w:r>
        <w:rPr>
          <w:color w:val="000000"/>
        </w:rPr>
        <w:t>Primary state of operations: New Jersey</w:t>
      </w:r>
    </w:p>
    <w:p w14:paraId="443BF566" w14:textId="77777777" w:rsidR="003310A5" w:rsidRDefault="00000000">
      <w:pPr>
        <w:pStyle w:val="ListParagraph"/>
        <w:numPr>
          <w:ilvl w:val="0"/>
          <w:numId w:val="2"/>
        </w:numPr>
        <w:spacing w:after="80"/>
      </w:pPr>
      <w:r>
        <w:rPr>
          <w:color w:val="000000"/>
        </w:rPr>
        <w:t>Secondary state: New York (interior commercial work only)</w:t>
      </w:r>
    </w:p>
    <w:p w14:paraId="4B4221F2" w14:textId="77777777" w:rsidR="003310A5" w:rsidRDefault="00000000">
      <w:pPr>
        <w:pStyle w:val="ListParagraph"/>
        <w:numPr>
          <w:ilvl w:val="0"/>
          <w:numId w:val="2"/>
        </w:numPr>
        <w:spacing w:after="80"/>
      </w:pPr>
      <w:r>
        <w:rPr>
          <w:color w:val="000000"/>
        </w:rPr>
        <w:t>Annual revenues: $12.2M; subcontractor cost as percentage of revenues: 55%</w:t>
      </w:r>
    </w:p>
    <w:p w14:paraId="431D1D3A" w14:textId="77777777" w:rsidR="003310A5" w:rsidRDefault="00000000">
      <w:pPr>
        <w:pStyle w:val="ListParagraph"/>
        <w:numPr>
          <w:ilvl w:val="0"/>
          <w:numId w:val="2"/>
        </w:numPr>
        <w:spacing w:after="80"/>
      </w:pPr>
      <w:r>
        <w:rPr>
          <w:color w:val="000000"/>
        </w:rPr>
        <w:t>Subcontractor schedule: Listed four subcontractors (drywall, electrical, HVAC, plumbing). Alpine Specialty Coatings, Inc. was not listed.</w:t>
      </w:r>
    </w:p>
    <w:p w14:paraId="4EF70B84" w14:textId="77777777" w:rsidR="003310A5" w:rsidRDefault="00000000">
      <w:pPr>
        <w:pStyle w:val="ListParagraph"/>
        <w:numPr>
          <w:ilvl w:val="0"/>
          <w:numId w:val="2"/>
        </w:numPr>
        <w:spacing w:after="80"/>
      </w:pPr>
      <w:r>
        <w:rPr>
          <w:color w:val="000000"/>
        </w:rPr>
        <w:t>Supplemental NY Labor Law questionnaire: Meridian answered "No" to the question: "Does the applicant perform or supervise work on bridges, tunnels, elevated highways, or other infrastructure assets?"</w:t>
      </w:r>
    </w:p>
    <w:p w14:paraId="7681B1CC" w14:textId="77777777" w:rsidR="003310A5" w:rsidRDefault="00000000">
      <w:pPr>
        <w:pStyle w:val="ListParagraph"/>
        <w:numPr>
          <w:ilvl w:val="0"/>
          <w:numId w:val="2"/>
        </w:numPr>
        <w:spacing w:after="80"/>
      </w:pPr>
      <w:r>
        <w:rPr>
          <w:color w:val="000000"/>
        </w:rPr>
        <w:t>No subcontractor insurance certificates were attached to the application.</w:t>
      </w:r>
    </w:p>
    <w:p w14:paraId="688EE00F" w14:textId="77777777" w:rsidR="003310A5" w:rsidRDefault="003310A5">
      <w:pPr>
        <w:spacing w:after="120"/>
      </w:pPr>
    </w:p>
    <w:p w14:paraId="4C369084" w14:textId="77777777" w:rsidR="003310A5" w:rsidRDefault="00000000">
      <w:pPr>
        <w:spacing w:after="120"/>
      </w:pPr>
      <w:r>
        <w:rPr>
          <w:color w:val="000000"/>
        </w:rPr>
        <w:t xml:space="preserve">The policy was issued April 1, </w:t>
      </w:r>
      <w:proofErr w:type="gramStart"/>
      <w:r>
        <w:rPr>
          <w:color w:val="000000"/>
        </w:rPr>
        <w:t>2025</w:t>
      </w:r>
      <w:proofErr w:type="gramEnd"/>
      <w:r>
        <w:rPr>
          <w:color w:val="000000"/>
        </w:rPr>
        <w:t xml:space="preserve"> with the following terms:</w:t>
      </w:r>
    </w:p>
    <w:p w14:paraId="6452F576" w14:textId="77777777" w:rsidR="003310A5" w:rsidRDefault="003310A5">
      <w:pPr>
        <w:spacing w:after="120"/>
      </w:pPr>
    </w:p>
    <w:p w14:paraId="5D9FA414" w14:textId="77777777" w:rsidR="003310A5" w:rsidRDefault="00000000">
      <w:pPr>
        <w:pStyle w:val="ListParagraph"/>
        <w:numPr>
          <w:ilvl w:val="0"/>
          <w:numId w:val="2"/>
        </w:numPr>
        <w:spacing w:after="80"/>
      </w:pPr>
      <w:r>
        <w:rPr>
          <w:color w:val="000000"/>
        </w:rPr>
        <w:t>Limits: $1,000,000 per occurrence / $2,000,000 aggregate</w:t>
      </w:r>
    </w:p>
    <w:p w14:paraId="506688E7" w14:textId="77777777" w:rsidR="003310A5" w:rsidRDefault="00000000">
      <w:pPr>
        <w:pStyle w:val="ListParagraph"/>
        <w:numPr>
          <w:ilvl w:val="0"/>
          <w:numId w:val="2"/>
        </w:numPr>
        <w:spacing w:after="80"/>
      </w:pPr>
      <w:r>
        <w:rPr>
          <w:color w:val="000000"/>
        </w:rPr>
        <w:t>Products/completed operations sublimit: $500,000</w:t>
      </w:r>
    </w:p>
    <w:p w14:paraId="089EE681" w14:textId="77777777" w:rsidR="003310A5" w:rsidRDefault="00000000">
      <w:pPr>
        <w:pStyle w:val="ListParagraph"/>
        <w:numPr>
          <w:ilvl w:val="0"/>
          <w:numId w:val="2"/>
        </w:numPr>
        <w:spacing w:after="80"/>
      </w:pPr>
      <w:r>
        <w:rPr>
          <w:color w:val="000000"/>
        </w:rPr>
        <w:t>Coverage includes contractual liability</w:t>
      </w:r>
    </w:p>
    <w:p w14:paraId="52FD9B82" w14:textId="77777777" w:rsidR="003310A5" w:rsidRDefault="00000000">
      <w:pPr>
        <w:pStyle w:val="ListParagraph"/>
        <w:numPr>
          <w:ilvl w:val="0"/>
          <w:numId w:val="2"/>
        </w:numPr>
        <w:spacing w:after="80"/>
      </w:pPr>
      <w:r>
        <w:rPr>
          <w:color w:val="000000"/>
        </w:rPr>
        <w:t>ISO class code: 91580 (Contractors — Subcontracted Work — Buildings, NEC)</w:t>
      </w:r>
    </w:p>
    <w:p w14:paraId="6643B05A" w14:textId="77777777" w:rsidR="003310A5" w:rsidRDefault="00000000">
      <w:pPr>
        <w:pStyle w:val="ListParagraph"/>
        <w:numPr>
          <w:ilvl w:val="0"/>
          <w:numId w:val="2"/>
        </w:numPr>
        <w:spacing w:after="80"/>
      </w:pPr>
      <w:r>
        <w:rPr>
          <w:color w:val="000000"/>
        </w:rPr>
        <w:t>Additional insured endorsement: blanket form covering contractually required additional insureds</w:t>
      </w:r>
    </w:p>
    <w:p w14:paraId="4DD15CA3" w14:textId="77777777" w:rsidR="003310A5" w:rsidRDefault="003310A5">
      <w:pPr>
        <w:spacing w:after="120"/>
      </w:pPr>
    </w:p>
    <w:p w14:paraId="122353BA" w14:textId="77777777" w:rsidR="00103D15" w:rsidRDefault="00103D15">
      <w:pPr>
        <w:rPr>
          <w:b/>
          <w:bCs/>
          <w:color w:val="2E75B6"/>
          <w:sz w:val="28"/>
          <w:szCs w:val="28"/>
        </w:rPr>
      </w:pPr>
      <w:r>
        <w:br w:type="page"/>
      </w:r>
    </w:p>
    <w:p w14:paraId="73DBC14A" w14:textId="25FDBC08" w:rsidR="003310A5" w:rsidRDefault="00000000">
      <w:pPr>
        <w:pStyle w:val="Heading2"/>
      </w:pPr>
      <w:proofErr w:type="gramStart"/>
      <w:r>
        <w:lastRenderedPageBreak/>
        <w:t>2.3  The</w:t>
      </w:r>
      <w:proofErr w:type="gramEnd"/>
      <w:r>
        <w:t xml:space="preserve"> Subcontractor</w:t>
      </w:r>
    </w:p>
    <w:p w14:paraId="5093192F" w14:textId="77777777" w:rsidR="003310A5" w:rsidRDefault="00000000">
      <w:pPr>
        <w:spacing w:after="120"/>
      </w:pPr>
      <w:r>
        <w:rPr>
          <w:color w:val="000000"/>
        </w:rPr>
        <w:t>Alpine Specialty Coatings, Inc. is a painting contractor based in Elizabeth, New Jersey. Alpine was engaged by Meridian under a written subcontract to perform exterior surface preparation and repainting on a section of the Bronx-Whitestone Bridge, pursuant to a prime contract Meridian held with the New York Metropolitan Transportation Authority (MTA Bridges and Tunnels). The prime contract required Meridian to name the MTA as an additional insured on Meridian's own CGL policy on a primary and non-contributory basis.</w:t>
      </w:r>
    </w:p>
    <w:p w14:paraId="363A1018" w14:textId="77777777" w:rsidR="003310A5" w:rsidRDefault="003310A5">
      <w:pPr>
        <w:spacing w:after="120"/>
      </w:pPr>
    </w:p>
    <w:p w14:paraId="6C883166" w14:textId="77777777" w:rsidR="003310A5" w:rsidRDefault="00000000">
      <w:pPr>
        <w:spacing w:after="120"/>
      </w:pPr>
      <w:r>
        <w:rPr>
          <w:color w:val="000000"/>
        </w:rPr>
        <w:t>The subcontract required Alpine to:</w:t>
      </w:r>
    </w:p>
    <w:p w14:paraId="3FDBF73D" w14:textId="77777777" w:rsidR="003310A5" w:rsidRDefault="003310A5">
      <w:pPr>
        <w:spacing w:after="120"/>
      </w:pPr>
    </w:p>
    <w:p w14:paraId="74A8A943" w14:textId="77777777" w:rsidR="003310A5" w:rsidRDefault="00000000">
      <w:pPr>
        <w:pStyle w:val="ListParagraph"/>
        <w:numPr>
          <w:ilvl w:val="0"/>
          <w:numId w:val="2"/>
        </w:numPr>
        <w:spacing w:after="80"/>
      </w:pPr>
      <w:r>
        <w:rPr>
          <w:color w:val="000000"/>
        </w:rPr>
        <w:t>Carry Commercial General Liability insurance with limits no less than $1M per occurrence / $2M aggregate</w:t>
      </w:r>
    </w:p>
    <w:p w14:paraId="057261D6" w14:textId="77777777" w:rsidR="003310A5" w:rsidRDefault="00000000">
      <w:pPr>
        <w:pStyle w:val="ListParagraph"/>
        <w:numPr>
          <w:ilvl w:val="0"/>
          <w:numId w:val="2"/>
        </w:numPr>
        <w:spacing w:after="80"/>
      </w:pPr>
      <w:r>
        <w:rPr>
          <w:color w:val="000000"/>
        </w:rPr>
        <w:t>Name Meridian and the MTA as additional insureds on a primary and non-contributory basis</w:t>
      </w:r>
    </w:p>
    <w:p w14:paraId="101FF0D6" w14:textId="77777777" w:rsidR="003310A5" w:rsidRDefault="00000000">
      <w:pPr>
        <w:pStyle w:val="ListParagraph"/>
        <w:numPr>
          <w:ilvl w:val="0"/>
          <w:numId w:val="2"/>
        </w:numPr>
        <w:spacing w:after="80"/>
      </w:pPr>
      <w:r>
        <w:rPr>
          <w:color w:val="000000"/>
        </w:rPr>
        <w:t>Provide certificates of insurance to Meridian prior to mobilization</w:t>
      </w:r>
    </w:p>
    <w:p w14:paraId="34670E05" w14:textId="77777777" w:rsidR="003310A5" w:rsidRDefault="003310A5">
      <w:pPr>
        <w:spacing w:after="120"/>
      </w:pPr>
    </w:p>
    <w:p w14:paraId="7091AC35" w14:textId="77777777" w:rsidR="003310A5" w:rsidRDefault="00000000">
      <w:pPr>
        <w:spacing w:after="120"/>
      </w:pPr>
      <w:r>
        <w:rPr>
          <w:color w:val="000000"/>
        </w:rPr>
        <w:t>Alpine held a CGL policy with Coastal Specialty Insurance Company, classified under ISO class code 91340 (Painting — Interior). The policy contained the following manuscript exclusion:</w:t>
      </w:r>
    </w:p>
    <w:p w14:paraId="1F8857A8" w14:textId="77777777" w:rsidR="003310A5" w:rsidRDefault="003310A5">
      <w:pPr>
        <w:spacing w:after="120"/>
      </w:pPr>
    </w:p>
    <w:p w14:paraId="4C9778CF" w14:textId="77777777" w:rsidR="003310A5" w:rsidRDefault="00000000">
      <w:pPr>
        <w:spacing w:before="120" w:after="120"/>
        <w:ind w:left="720" w:right="720"/>
      </w:pPr>
      <w:r>
        <w:rPr>
          <w:i/>
          <w:iCs/>
          <w:color w:val="444444"/>
        </w:rPr>
        <w:t>"This policy does not apply to bodily injury, property damage, or personal and advertising injury arising from work performed at an elevation exceeding fifteen (15) feet above grade or working surface unless a Scheduled Elevation Endorsement (Form CS-2281) has been attached to this policy."</w:t>
      </w:r>
    </w:p>
    <w:p w14:paraId="6A02808D" w14:textId="77777777" w:rsidR="003310A5" w:rsidRDefault="003310A5">
      <w:pPr>
        <w:spacing w:after="120"/>
      </w:pPr>
    </w:p>
    <w:p w14:paraId="7D0A9BE0" w14:textId="77777777" w:rsidR="003310A5" w:rsidRDefault="00000000">
      <w:pPr>
        <w:spacing w:after="120"/>
      </w:pPr>
      <w:r>
        <w:rPr>
          <w:color w:val="000000"/>
        </w:rPr>
        <w:t>No Scheduled Elevation Endorsement was attached to Alpine's policy. Alpine provided a standard ACORD 25 Certificate of Insurance to Meridian showing $1M/$2M limits. Meridian did not request or review Alpine's actual policy or endorsements. Meridian's broker, Northgate Specialty Brokers, did not audit Alpine's certificate against the subcontract requirements.</w:t>
      </w:r>
    </w:p>
    <w:p w14:paraId="1B0AEDD8" w14:textId="77777777" w:rsidR="003310A5" w:rsidRDefault="003310A5">
      <w:pPr>
        <w:spacing w:after="120"/>
      </w:pPr>
    </w:p>
    <w:p w14:paraId="0D53288D" w14:textId="77777777" w:rsidR="003310A5" w:rsidRDefault="00000000">
      <w:pPr>
        <w:pStyle w:val="Heading2"/>
      </w:pPr>
      <w:proofErr w:type="gramStart"/>
      <w:r>
        <w:t>2.4  The</w:t>
      </w:r>
      <w:proofErr w:type="gramEnd"/>
      <w:r>
        <w:t xml:space="preserve"> Loss Event</w:t>
      </w:r>
    </w:p>
    <w:p w14:paraId="4A475BB9" w14:textId="77777777" w:rsidR="003310A5" w:rsidRDefault="00000000">
      <w:pPr>
        <w:spacing w:after="120"/>
      </w:pPr>
      <w:r>
        <w:rPr>
          <w:color w:val="000000"/>
        </w:rPr>
        <w:t>On October 15, 2025, Alpine employee Marco Delgado was performing surface preparation work from a swing-stage scaffold suspended approximately 85 feet above the roadway on the Bronx-Whitestone Bridge. The scaffold rigging failed. Delgado fell and suffered catastrophic spinal cord injuries resulting in permanent paraplegia.</w:t>
      </w:r>
    </w:p>
    <w:p w14:paraId="2E96B262" w14:textId="77777777" w:rsidR="003310A5" w:rsidRDefault="003310A5">
      <w:pPr>
        <w:spacing w:after="120"/>
      </w:pPr>
    </w:p>
    <w:p w14:paraId="66461BD6" w14:textId="77777777" w:rsidR="003310A5" w:rsidRDefault="00000000">
      <w:pPr>
        <w:spacing w:after="120"/>
      </w:pPr>
      <w:r>
        <w:rPr>
          <w:color w:val="000000"/>
        </w:rPr>
        <w:t>Delgado filed suit in New York Supreme Court, Queens County on December 10, 2025, asserting claims against:</w:t>
      </w:r>
    </w:p>
    <w:p w14:paraId="2AA6D076" w14:textId="77777777" w:rsidR="003310A5" w:rsidRDefault="003310A5">
      <w:pPr>
        <w:spacing w:after="120"/>
      </w:pPr>
    </w:p>
    <w:p w14:paraId="5C981209" w14:textId="77777777" w:rsidR="003310A5" w:rsidRDefault="00000000">
      <w:pPr>
        <w:pStyle w:val="ListParagraph"/>
        <w:numPr>
          <w:ilvl w:val="0"/>
          <w:numId w:val="2"/>
        </w:numPr>
        <w:spacing w:after="80"/>
      </w:pPr>
      <w:r>
        <w:rPr>
          <w:color w:val="000000"/>
        </w:rPr>
        <w:lastRenderedPageBreak/>
        <w:t>Meridian Construction Group, LLC — New York Labor Law §240(1), §241(6), and common law negligence</w:t>
      </w:r>
    </w:p>
    <w:p w14:paraId="50F8D4EF" w14:textId="77777777" w:rsidR="003310A5" w:rsidRDefault="00000000">
      <w:pPr>
        <w:pStyle w:val="ListParagraph"/>
        <w:numPr>
          <w:ilvl w:val="0"/>
          <w:numId w:val="2"/>
        </w:numPr>
        <w:spacing w:after="80"/>
      </w:pPr>
      <w:r>
        <w:rPr>
          <w:color w:val="000000"/>
        </w:rPr>
        <w:t>Metropolitan Transportation Authority — New York Labor Law §240(1) and §241(6)</w:t>
      </w:r>
    </w:p>
    <w:p w14:paraId="750DC3B7" w14:textId="77777777" w:rsidR="003310A5" w:rsidRDefault="003310A5">
      <w:pPr>
        <w:spacing w:after="120"/>
      </w:pPr>
    </w:p>
    <w:p w14:paraId="2C1A3D17" w14:textId="77777777" w:rsidR="003310A5" w:rsidRDefault="00000000">
      <w:pPr>
        <w:spacing w:after="120"/>
      </w:pPr>
      <w:r>
        <w:rPr>
          <w:color w:val="000000"/>
        </w:rPr>
        <w:t>Thornfield Insurance Company received a copy of the summons and complaint on January 15, 2026, triggering Thornfield's obligations under NY Insurance Law §3420(d)(2).</w:t>
      </w:r>
    </w:p>
    <w:p w14:paraId="05A66DB5" w14:textId="77777777" w:rsidR="003310A5" w:rsidRDefault="003310A5">
      <w:pPr>
        <w:spacing w:after="120"/>
      </w:pPr>
    </w:p>
    <w:p w14:paraId="5CCB5DC4" w14:textId="77777777" w:rsidR="003310A5" w:rsidRDefault="00000000">
      <w:pPr>
        <w:spacing w:after="120"/>
      </w:pPr>
      <w:r>
        <w:rPr>
          <w:color w:val="000000"/>
        </w:rPr>
        <w:t>The MTA tendered its defense and indemnification to Meridian pursuant to the prime contract's indemnification clause. Meridian tendered to Alpine pursuant to the subcontract. Coastal Specialty Insurance issued a disclaimer letter on January 8, 2026, denying coverage on the grounds that: (1) the loss arose from work at an elevation exceeding 15 feet, triggering the height exclusion; and (2) Alpine's classification as interior painting (ISO 91340) did not encompass bridge or infrastructure work.</w:t>
      </w:r>
    </w:p>
    <w:p w14:paraId="00D91E12" w14:textId="77777777" w:rsidR="003310A5" w:rsidRDefault="003310A5">
      <w:pPr>
        <w:spacing w:after="120"/>
      </w:pPr>
    </w:p>
    <w:p w14:paraId="2463414D" w14:textId="77777777" w:rsidR="003310A5" w:rsidRDefault="00000000">
      <w:pPr>
        <w:spacing w:after="120"/>
      </w:pPr>
      <w:r>
        <w:rPr>
          <w:color w:val="000000"/>
        </w:rPr>
        <w:t>The loss is now presented to Thornfield Insurance Company for coverage determination under Meridian's CGL policy.</w:t>
      </w:r>
    </w:p>
    <w:p w14:paraId="0ECCF9A0" w14:textId="77777777" w:rsidR="003310A5" w:rsidRDefault="003310A5">
      <w:pPr>
        <w:spacing w:after="120"/>
      </w:pPr>
    </w:p>
    <w:p w14:paraId="68911526" w14:textId="77777777" w:rsidR="003310A5" w:rsidRDefault="00000000">
      <w:pPr>
        <w:pStyle w:val="Heading2"/>
      </w:pPr>
      <w:proofErr w:type="gramStart"/>
      <w:r>
        <w:t>2.5  Coverage</w:t>
      </w:r>
      <w:proofErr w:type="gramEnd"/>
      <w:r>
        <w:t xml:space="preserve"> Chain</w:t>
      </w:r>
    </w:p>
    <w:p w14:paraId="20E546D5" w14:textId="77777777" w:rsidR="003310A5" w:rsidRDefault="003310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10A5" w14:paraId="70F86C25"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160" w:type="dxa"/>
              <w:left w:w="240" w:type="dxa"/>
              <w:bottom w:w="160" w:type="dxa"/>
              <w:right w:w="240" w:type="dxa"/>
            </w:tcMar>
          </w:tcPr>
          <w:p w14:paraId="16DB2A74" w14:textId="77777777" w:rsidR="003310A5" w:rsidRDefault="00000000">
            <w:pPr>
              <w:jc w:val="center"/>
            </w:pPr>
            <w:r>
              <w:rPr>
                <w:b/>
                <w:bCs/>
                <w:color w:val="FFFFFF"/>
              </w:rPr>
              <w:t>DELGADO v. MERIDIAN / MTA — COVERAGE CHAIN</w:t>
            </w:r>
          </w:p>
        </w:tc>
      </w:tr>
      <w:tr w:rsidR="003310A5" w14:paraId="3520345F"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140" w:type="dxa"/>
              <w:left w:w="240" w:type="dxa"/>
              <w:bottom w:w="140" w:type="dxa"/>
              <w:right w:w="240" w:type="dxa"/>
            </w:tcMar>
          </w:tcPr>
          <w:p w14:paraId="0559B6A4" w14:textId="77777777" w:rsidR="003310A5" w:rsidRDefault="00000000">
            <w:pPr>
              <w:spacing w:after="60"/>
            </w:pPr>
            <w:r>
              <w:rPr>
                <w:color w:val="000000"/>
                <w:sz w:val="20"/>
                <w:szCs w:val="20"/>
              </w:rPr>
              <w:t>Step 1: Delgado sues Meridian (GC) and MTA (Owner) under NY Labor Law §240(1) — absolute liability.</w:t>
            </w:r>
          </w:p>
          <w:p w14:paraId="5DC053F8" w14:textId="77777777" w:rsidR="003310A5" w:rsidRDefault="00000000">
            <w:pPr>
              <w:spacing w:after="60"/>
            </w:pPr>
            <w:r>
              <w:rPr>
                <w:color w:val="000000"/>
                <w:sz w:val="20"/>
                <w:szCs w:val="20"/>
              </w:rPr>
              <w:t>Step 2: MTA tenders defense to Meridian under prime contract indemnification clause.</w:t>
            </w:r>
          </w:p>
          <w:p w14:paraId="3662393F" w14:textId="77777777" w:rsidR="003310A5" w:rsidRDefault="00000000">
            <w:pPr>
              <w:spacing w:after="60"/>
            </w:pPr>
            <w:r>
              <w:rPr>
                <w:color w:val="000000"/>
                <w:sz w:val="20"/>
                <w:szCs w:val="20"/>
              </w:rPr>
              <w:t>Step 3: Meridian tenders to Alpine under subcontract indemnification and AI requirements.</w:t>
            </w:r>
          </w:p>
          <w:p w14:paraId="713AEBCB" w14:textId="77777777" w:rsidR="003310A5" w:rsidRDefault="00000000">
            <w:pPr>
              <w:spacing w:after="60"/>
            </w:pPr>
            <w:r>
              <w:rPr>
                <w:b/>
                <w:bCs/>
                <w:color w:val="C00000"/>
                <w:sz w:val="20"/>
                <w:szCs w:val="20"/>
              </w:rPr>
              <w:t>Step 4:  COASTAL SPECIALTY DISCLAIMS — height exclusion (&gt;15 ft) + interior painting classification mismatch.</w:t>
            </w:r>
          </w:p>
          <w:p w14:paraId="7C74B6A4" w14:textId="77777777" w:rsidR="003310A5" w:rsidRDefault="00000000">
            <w:pPr>
              <w:spacing w:after="60"/>
            </w:pPr>
            <w:r>
              <w:rPr>
                <w:color w:val="000000"/>
                <w:sz w:val="20"/>
                <w:szCs w:val="20"/>
              </w:rPr>
              <w:t>Step 5: Transfer of risk collapses. Loss presented to Thornfield under Meridian's CGL policy.</w:t>
            </w:r>
          </w:p>
          <w:p w14:paraId="248FA100" w14:textId="77777777" w:rsidR="003310A5" w:rsidRDefault="00000000">
            <w:pPr>
              <w:spacing w:after="60"/>
            </w:pPr>
            <w:r>
              <w:rPr>
                <w:b/>
                <w:bCs/>
                <w:color w:val="C00000"/>
                <w:sz w:val="20"/>
                <w:szCs w:val="20"/>
              </w:rPr>
              <w:t xml:space="preserve">Step 6:  THORNFIELD DISCOVERS — undisclosed </w:t>
            </w:r>
            <w:proofErr w:type="spellStart"/>
            <w:r>
              <w:rPr>
                <w:b/>
                <w:bCs/>
                <w:color w:val="C00000"/>
                <w:sz w:val="20"/>
                <w:szCs w:val="20"/>
              </w:rPr>
              <w:t>sub</w:t>
            </w:r>
            <w:proofErr w:type="spellEnd"/>
            <w:r>
              <w:rPr>
                <w:b/>
                <w:bCs/>
                <w:color w:val="C00000"/>
                <w:sz w:val="20"/>
                <w:szCs w:val="20"/>
              </w:rPr>
              <w:t>, false NY Labor Law questionnaire answer, $500K completed ops sublimit potentially applicable.</w:t>
            </w:r>
          </w:p>
        </w:tc>
      </w:tr>
    </w:tbl>
    <w:p w14:paraId="2F860345" w14:textId="77777777" w:rsidR="003310A5" w:rsidRDefault="003310A5">
      <w:pPr>
        <w:spacing w:after="240"/>
      </w:pPr>
    </w:p>
    <w:p w14:paraId="433830FA" w14:textId="77777777" w:rsidR="003310A5" w:rsidRDefault="00000000">
      <w:pPr>
        <w:pStyle w:val="Heading1"/>
        <w:pageBreakBefore/>
        <w:pBdr>
          <w:bottom w:val="single" w:sz="8" w:space="4" w:color="1F3864"/>
        </w:pBdr>
      </w:pPr>
      <w:r>
        <w:lastRenderedPageBreak/>
        <w:t>3. Embedded Failure Inventory</w:t>
      </w:r>
    </w:p>
    <w:p w14:paraId="5DBBC886" w14:textId="77777777" w:rsidR="003310A5" w:rsidRDefault="00000000">
      <w:pPr>
        <w:spacing w:after="120"/>
      </w:pPr>
      <w:r>
        <w:rPr>
          <w:color w:val="000000"/>
        </w:rPr>
        <w:t>The table below catalogs each underwriting and coverage trap embedded in the scenario with technical grounding. Note that Traps 1 and 3 are both misrepresentation under NY Insurance Law §3105 but are legally distinct: Trap 1 is a material omission (sub not listed); Trap 3 is an affirmative false answer (direct false statement on a supplemental questionnaire). New York courts treat affirmative false answers as stronger rescission grounds than omissions because falsity is easier to establish. Both are included because a high-performing system should identify and distinguish them.</w:t>
      </w:r>
    </w:p>
    <w:p w14:paraId="0808B77E" w14:textId="77777777" w:rsidR="003310A5" w:rsidRDefault="003310A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1274"/>
        <w:gridCol w:w="3034"/>
        <w:gridCol w:w="2169"/>
        <w:gridCol w:w="1967"/>
      </w:tblGrid>
      <w:tr w:rsidR="003310A5" w14:paraId="29B90F32" w14:textId="77777777">
        <w:tblPrEx>
          <w:tblCellMar>
            <w:top w:w="0" w:type="dxa"/>
            <w:bottom w:w="0" w:type="dxa"/>
          </w:tblCellMar>
        </w:tblPrEx>
        <w:trPr>
          <w:tblHeader/>
        </w:trPr>
        <w:tc>
          <w:tcPr>
            <w:tcW w:w="9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1740516" w14:textId="77777777" w:rsidR="003310A5" w:rsidRDefault="00000000">
            <w:pPr>
              <w:jc w:val="center"/>
            </w:pPr>
            <w:r>
              <w:rPr>
                <w:b/>
                <w:bCs/>
                <w:color w:val="FFFFFF"/>
                <w:sz w:val="20"/>
                <w:szCs w:val="20"/>
              </w:rPr>
              <w:t>Trap</w:t>
            </w:r>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AF3EC30" w14:textId="77777777" w:rsidR="003310A5" w:rsidRDefault="00000000">
            <w:pPr>
              <w:jc w:val="center"/>
            </w:pPr>
            <w:r>
              <w:rPr>
                <w:b/>
                <w:bCs/>
                <w:color w:val="FFFFFF"/>
                <w:sz w:val="20"/>
                <w:szCs w:val="20"/>
              </w:rPr>
              <w:t>Ref</w:t>
            </w:r>
          </w:p>
        </w:tc>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2AB8ED6B" w14:textId="77777777" w:rsidR="003310A5" w:rsidRDefault="00000000">
            <w:pPr>
              <w:jc w:val="center"/>
            </w:pPr>
            <w:r>
              <w:rPr>
                <w:b/>
                <w:bCs/>
                <w:color w:val="FFFFFF"/>
                <w:sz w:val="20"/>
                <w:szCs w:val="20"/>
              </w:rPr>
              <w:t>Description</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1378DEA4" w14:textId="77777777" w:rsidR="003310A5" w:rsidRDefault="00000000">
            <w:pPr>
              <w:jc w:val="center"/>
            </w:pPr>
            <w:r>
              <w:rPr>
                <w:b/>
                <w:bCs/>
                <w:color w:val="FFFFFF"/>
                <w:sz w:val="20"/>
                <w:szCs w:val="20"/>
              </w:rPr>
              <w:t>Technical Issue</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1F01F8F8" w14:textId="77777777" w:rsidR="003310A5" w:rsidRDefault="00000000">
            <w:pPr>
              <w:jc w:val="center"/>
            </w:pPr>
            <w:r>
              <w:rPr>
                <w:b/>
                <w:bCs/>
                <w:color w:val="FFFFFF"/>
                <w:sz w:val="20"/>
                <w:szCs w:val="20"/>
              </w:rPr>
              <w:t>Failure Category</w:t>
            </w:r>
          </w:p>
        </w:tc>
      </w:tr>
      <w:tr w:rsidR="003310A5" w14:paraId="60FC5853" w14:textId="77777777">
        <w:tblPrEx>
          <w:tblCellMar>
            <w:top w:w="0" w:type="dxa"/>
            <w:bottom w:w="0" w:type="dxa"/>
          </w:tblCellMar>
        </w:tblPrEx>
        <w:tc>
          <w:tcPr>
            <w:tcW w:w="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88C77B" w14:textId="77777777" w:rsidR="003310A5" w:rsidRDefault="00000000">
            <w:r>
              <w:rPr>
                <w:b/>
                <w:bCs/>
                <w:color w:val="1F3864"/>
                <w:sz w:val="20"/>
                <w:szCs w:val="20"/>
              </w:rPr>
              <w:t>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599D1E" w14:textId="77777777" w:rsidR="003310A5" w:rsidRDefault="00000000">
            <w:r>
              <w:rPr>
                <w:color w:val="000000"/>
                <w:sz w:val="20"/>
                <w:szCs w:val="20"/>
              </w:rPr>
              <w:t>§3105 (Omission)</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ED3CCC" w14:textId="77777777" w:rsidR="003310A5" w:rsidRDefault="00000000">
            <w:r>
              <w:rPr>
                <w:color w:val="000000"/>
                <w:sz w:val="20"/>
                <w:szCs w:val="20"/>
              </w:rPr>
              <w:t>Alpine Specialty Coatings was not listed on Meridian's subcontractor schedule. Thornfield never rated for Alpine's operations or evaluated the adequacy of Alpine's insurance.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424118" w14:textId="77777777" w:rsidR="003310A5" w:rsidRDefault="00000000">
            <w:r>
              <w:rPr>
                <w:color w:val="000000"/>
                <w:sz w:val="20"/>
                <w:szCs w:val="20"/>
              </w:rPr>
              <w:t>NY Ins. Law §3105: material omission. Thornfield must show (a) the omission was a false representation; (b) it was material — would a reasonable insurer's underwriting decision have been affected? Omission of a high-hazard sub performing bridge work at elevation is highly likely to meet the materiality threshold. Distinguish from Trap 3 (affirmative false answer): an omission may be harder to prove material than a direct false statement.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C7E72D" w14:textId="77777777" w:rsidR="003310A5" w:rsidRDefault="00000000">
            <w:r>
              <w:rPr>
                <w:color w:val="000000"/>
                <w:sz w:val="20"/>
                <w:szCs w:val="20"/>
              </w:rPr>
              <w:t>Application Misrepresentation — Material Omission</w:t>
            </w:r>
          </w:p>
        </w:tc>
      </w:tr>
      <w:tr w:rsidR="003310A5" w14:paraId="34A57F96" w14:textId="77777777">
        <w:tblPrEx>
          <w:tblCellMar>
            <w:top w:w="0" w:type="dxa"/>
            <w:bottom w:w="0" w:type="dxa"/>
          </w:tblCellMar>
        </w:tblPrEx>
        <w:tc>
          <w:tcPr>
            <w:tcW w:w="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D56415" w14:textId="77777777" w:rsidR="003310A5" w:rsidRDefault="00000000">
            <w:r>
              <w:rPr>
                <w:b/>
                <w:bCs/>
                <w:color w:val="1F3864"/>
                <w:sz w:val="20"/>
                <w:szCs w:val="20"/>
              </w:rPr>
              <w:t>2</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46D641A" w14:textId="77777777" w:rsidR="003310A5" w:rsidRDefault="00000000">
            <w:r>
              <w:rPr>
                <w:color w:val="000000"/>
                <w:sz w:val="20"/>
                <w:szCs w:val="20"/>
              </w:rPr>
              <w:t>ISO 91580</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3A6178F" w14:textId="77777777" w:rsidR="003310A5" w:rsidRDefault="00000000">
            <w:r>
              <w:rPr>
                <w:color w:val="000000"/>
                <w:sz w:val="20"/>
                <w:szCs w:val="20"/>
              </w:rPr>
              <w:t>Meridian's policy was issued under ISO class 91580 (Contractors — Buildings, NEC). The Bronx-Whitestone Bridge is infrastructure. Bridge work carries dramatically different risk profiles, premium rates, and underwriting eligibility.</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E281D3" w14:textId="77777777" w:rsidR="003310A5" w:rsidRDefault="00000000">
            <w:r>
              <w:rPr>
                <w:color w:val="000000"/>
                <w:sz w:val="20"/>
                <w:szCs w:val="20"/>
              </w:rPr>
              <w:t xml:space="preserve">Classification determines premium adequacy and coverage scope. Some policy forms include classification limitation language: coverage applies only to operations described in the Declarations. If such language is present, the bridge operations may fall outside the scope of </w:t>
            </w:r>
            <w:r>
              <w:rPr>
                <w:color w:val="000000"/>
                <w:sz w:val="20"/>
                <w:szCs w:val="20"/>
              </w:rPr>
              <w:lastRenderedPageBreak/>
              <w:t>covered activities entirely.</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D9B29F6" w14:textId="77777777" w:rsidR="003310A5" w:rsidRDefault="00000000">
            <w:r>
              <w:rPr>
                <w:color w:val="000000"/>
                <w:sz w:val="20"/>
                <w:szCs w:val="20"/>
              </w:rPr>
              <w:lastRenderedPageBreak/>
              <w:t>Miscoding / Classification Limitation</w:t>
            </w:r>
          </w:p>
        </w:tc>
      </w:tr>
      <w:tr w:rsidR="003310A5" w14:paraId="197C9E6C" w14:textId="77777777">
        <w:tblPrEx>
          <w:tblCellMar>
            <w:top w:w="0" w:type="dxa"/>
            <w:bottom w:w="0" w:type="dxa"/>
          </w:tblCellMar>
        </w:tblPrEx>
        <w:tc>
          <w:tcPr>
            <w:tcW w:w="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1C6054" w14:textId="77777777" w:rsidR="003310A5" w:rsidRDefault="00000000">
            <w:r>
              <w:rPr>
                <w:b/>
                <w:bCs/>
                <w:color w:val="1F3864"/>
                <w:sz w:val="20"/>
                <w:szCs w:val="20"/>
              </w:rPr>
              <w:t>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A85140" w14:textId="77777777" w:rsidR="003310A5" w:rsidRDefault="00000000">
            <w:r>
              <w:rPr>
                <w:color w:val="000000"/>
                <w:sz w:val="20"/>
                <w:szCs w:val="20"/>
              </w:rPr>
              <w:t>§3105 (Affirmative)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42032F" w14:textId="77777777" w:rsidR="003310A5" w:rsidRDefault="00000000">
            <w:r>
              <w:rPr>
                <w:color w:val="000000"/>
                <w:sz w:val="20"/>
                <w:szCs w:val="20"/>
              </w:rPr>
              <w:t>Meridian answered "No" to the supplemental question: "Does the applicant perform or supervise work on bridges, tunnels, elevated highways, or other infrastructure assets?" This is a direct, affirmative false statement — stronger grounds for rescission than the sub omission in Trap 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80CA02" w14:textId="77777777" w:rsidR="003310A5" w:rsidRDefault="00000000">
            <w:r>
              <w:rPr>
                <w:color w:val="000000"/>
                <w:sz w:val="20"/>
                <w:szCs w:val="20"/>
              </w:rPr>
              <w:t>Unlike Trap 1 (omission), an affirmative false answer to a direct underwriting question is the strongest form of §3105 misrepresentation. Thornfield need only show the answer was false and material — intent to deceive is not required. NY Labor Law §240/241 exposure is separately rated; carriers require a specific NY LL premium surcharge for bridge/infrastructure GC work. Meridian's premium was calculated without this load.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D2A7CF" w14:textId="77777777" w:rsidR="003310A5" w:rsidRDefault="00000000">
            <w:r>
              <w:rPr>
                <w:color w:val="000000"/>
                <w:sz w:val="20"/>
                <w:szCs w:val="20"/>
              </w:rPr>
              <w:t>Affirmative Misrepresentation — Supplemental Questionnaire</w:t>
            </w:r>
          </w:p>
        </w:tc>
      </w:tr>
      <w:tr w:rsidR="003310A5" w14:paraId="4E62CD3C" w14:textId="77777777">
        <w:tblPrEx>
          <w:tblCellMar>
            <w:top w:w="0" w:type="dxa"/>
            <w:bottom w:w="0" w:type="dxa"/>
          </w:tblCellMar>
        </w:tblPrEx>
        <w:tc>
          <w:tcPr>
            <w:tcW w:w="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D65020" w14:textId="77777777" w:rsidR="003310A5" w:rsidRDefault="00000000">
            <w:r>
              <w:rPr>
                <w:b/>
                <w:bCs/>
                <w:color w:val="1F3864"/>
                <w:sz w:val="20"/>
                <w:szCs w:val="20"/>
              </w:rPr>
              <w:t>4</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4CCD2FD" w14:textId="77777777" w:rsidR="003310A5" w:rsidRDefault="00000000">
            <w:r>
              <w:rPr>
                <w:color w:val="000000"/>
                <w:sz w:val="20"/>
                <w:szCs w:val="20"/>
              </w:rPr>
              <w:t>CS-2281 Exclusion</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C6F4F2" w14:textId="77777777" w:rsidR="003310A5" w:rsidRDefault="00000000">
            <w:r>
              <w:rPr>
                <w:color w:val="000000"/>
                <w:sz w:val="20"/>
                <w:szCs w:val="20"/>
              </w:rPr>
              <w:t>Alpine's CGL policy (Coastal Specialty) excludes work above 15 feet without a Scheduled Elevation Endorsement (Form CS-2281). No such endorsement was attached. Coastal disclaimed on January 8, 2026. The contractual transfer of risk has collapsed.</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AFDB3A" w14:textId="77777777" w:rsidR="003310A5" w:rsidRDefault="00000000">
            <w:r>
              <w:rPr>
                <w:color w:val="000000"/>
                <w:sz w:val="20"/>
                <w:szCs w:val="20"/>
              </w:rPr>
              <w:t>When the first-in-line coverage fails, the GC's policy becomes the primary defense and indemnity vehicle. Thornfield cannot look to Coastal for contribution or subrogation given a valid disclaimer. The transfer of risk mechanism — the GC's primary protection against sub negligence — has failed entirely.</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7A2ED1" w14:textId="77777777" w:rsidR="003310A5" w:rsidRDefault="00000000">
            <w:r>
              <w:rPr>
                <w:color w:val="000000"/>
                <w:sz w:val="20"/>
                <w:szCs w:val="20"/>
              </w:rPr>
              <w:t>Transfer of Risk Failure / Coverage Collapse</w:t>
            </w:r>
          </w:p>
        </w:tc>
      </w:tr>
      <w:tr w:rsidR="003310A5" w14:paraId="6988AA10" w14:textId="77777777">
        <w:tblPrEx>
          <w:tblCellMar>
            <w:top w:w="0" w:type="dxa"/>
            <w:bottom w:w="0" w:type="dxa"/>
          </w:tblCellMar>
        </w:tblPrEx>
        <w:tc>
          <w:tcPr>
            <w:tcW w:w="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685150" w14:textId="77777777" w:rsidR="003310A5" w:rsidRDefault="00000000">
            <w:r>
              <w:rPr>
                <w:b/>
                <w:bCs/>
                <w:color w:val="1F3864"/>
                <w:sz w:val="20"/>
                <w:szCs w:val="20"/>
              </w:rPr>
              <w:t>5</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042DBA" w14:textId="77777777" w:rsidR="003310A5" w:rsidRDefault="00000000">
            <w:r>
              <w:rPr>
                <w:color w:val="000000"/>
                <w:sz w:val="20"/>
                <w:szCs w:val="20"/>
              </w:rPr>
              <w:t>ACORD 25</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5AECDE" w14:textId="77777777" w:rsidR="003310A5" w:rsidRDefault="00000000">
            <w:r>
              <w:rPr>
                <w:color w:val="000000"/>
                <w:sz w:val="20"/>
                <w:szCs w:val="20"/>
              </w:rPr>
              <w:t xml:space="preserve">Meridian accepted an ACORD 25 certificate as confirmation of adequate coverage. The certificate cannot reflect exclusions, classification </w:t>
            </w:r>
            <w:r>
              <w:rPr>
                <w:color w:val="000000"/>
                <w:sz w:val="20"/>
                <w:szCs w:val="20"/>
              </w:rPr>
              <w:lastRenderedPageBreak/>
              <w:t>limitations, or missing endorsements.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3DF89C" w14:textId="77777777" w:rsidR="003310A5" w:rsidRDefault="00000000">
            <w:r>
              <w:rPr>
                <w:color w:val="000000"/>
                <w:sz w:val="20"/>
                <w:szCs w:val="20"/>
              </w:rPr>
              <w:lastRenderedPageBreak/>
              <w:t xml:space="preserve">The ACORD 25 states it "confers no rights upon the certificate holder" and "does not amend, extend or alter the coverage afforded." </w:t>
            </w:r>
            <w:r>
              <w:rPr>
                <w:color w:val="000000"/>
                <w:sz w:val="20"/>
                <w:szCs w:val="20"/>
              </w:rPr>
              <w:lastRenderedPageBreak/>
              <w:t>Certificate reliance without actual policy review is a systemic industry failure point — and separately a broker E&amp;O exposure for Northgate Specialty Brokers.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774B18" w14:textId="77777777" w:rsidR="003310A5" w:rsidRDefault="00000000">
            <w:r>
              <w:rPr>
                <w:color w:val="000000"/>
                <w:sz w:val="20"/>
                <w:szCs w:val="20"/>
              </w:rPr>
              <w:lastRenderedPageBreak/>
              <w:t>Certificate Reliance / Broker E&amp;O Exposure</w:t>
            </w:r>
          </w:p>
        </w:tc>
      </w:tr>
      <w:tr w:rsidR="003310A5" w14:paraId="29A35FA3" w14:textId="77777777">
        <w:tblPrEx>
          <w:tblCellMar>
            <w:top w:w="0" w:type="dxa"/>
            <w:bottom w:w="0" w:type="dxa"/>
          </w:tblCellMar>
        </w:tblPrEx>
        <w:tc>
          <w:tcPr>
            <w:tcW w:w="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AF1198E" w14:textId="77777777" w:rsidR="003310A5" w:rsidRDefault="00000000">
            <w:r>
              <w:rPr>
                <w:b/>
                <w:bCs/>
                <w:color w:val="1F3864"/>
                <w:sz w:val="20"/>
                <w:szCs w:val="20"/>
              </w:rPr>
              <w:t>6</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6E2C16" w14:textId="77777777" w:rsidR="003310A5" w:rsidRDefault="00000000">
            <w:r>
              <w:rPr>
                <w:color w:val="000000"/>
                <w:sz w:val="20"/>
                <w:szCs w:val="20"/>
              </w:rPr>
              <w:t>NY LL §240(1)</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39E171D" w14:textId="77777777" w:rsidR="003310A5" w:rsidRDefault="00000000">
            <w:r>
              <w:rPr>
                <w:color w:val="000000"/>
                <w:sz w:val="20"/>
                <w:szCs w:val="20"/>
              </w:rPr>
              <w:t xml:space="preserve">Under NY Labor Law §240(1), owners and GCs are </w:t>
            </w:r>
            <w:proofErr w:type="gramStart"/>
            <w:r>
              <w:rPr>
                <w:color w:val="000000"/>
                <w:sz w:val="20"/>
                <w:szCs w:val="20"/>
              </w:rPr>
              <w:t>absolutely liable</w:t>
            </w:r>
            <w:proofErr w:type="gramEnd"/>
            <w:r>
              <w:rPr>
                <w:color w:val="000000"/>
                <w:sz w:val="20"/>
                <w:szCs w:val="20"/>
              </w:rPr>
              <w:t xml:space="preserve"> for elevation-related injuries. The duty is non-delegable. Meridian cannot assert Alpine's negligence as a defense, nor can Meridian assert Delgado's comparative fault as a complete defense. (See Section 5.3 for auto-fail definition.)</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E9AC8C" w14:textId="77777777" w:rsidR="003310A5" w:rsidRDefault="00000000">
            <w:r>
              <w:rPr>
                <w:color w:val="000000"/>
                <w:sz w:val="20"/>
                <w:szCs w:val="20"/>
              </w:rPr>
              <w:t>This is an absolute liability statute. The sole proximate cause defense — the only available defense — requires showing: (a) an adequate safety device was provided; (b) the worker refused to use it without justification; and (c) no statutory violation occurred. This defense rarely succeeds and is the subject of extensive NY Court of Appeals authority. See Blake v. Neighborhood Housing Services of NYC, 1 N.Y.3d 280 (2003).</w:t>
            </w:r>
          </w:p>
        </w:tc>
        <w:tc>
          <w:tcPr>
            <w:tcW w:w="2000" w:type="dxa"/>
            <w:tcBorders>
              <w:top w:val="single" w:sz="4" w:space="0" w:color="C00000"/>
              <w:left w:val="single" w:sz="4" w:space="0" w:color="C00000"/>
              <w:bottom w:val="single" w:sz="4" w:space="0" w:color="C00000"/>
              <w:right w:val="single" w:sz="4" w:space="0" w:color="C00000"/>
            </w:tcBorders>
            <w:shd w:val="clear" w:color="auto" w:fill="FFE0E0"/>
            <w:tcMar>
              <w:top w:w="80" w:type="dxa"/>
              <w:left w:w="120" w:type="dxa"/>
              <w:bottom w:w="80" w:type="dxa"/>
              <w:right w:w="120" w:type="dxa"/>
            </w:tcMar>
          </w:tcPr>
          <w:p w14:paraId="298D37D3" w14:textId="77777777" w:rsidR="003310A5" w:rsidRDefault="00000000">
            <w:r>
              <w:rPr>
                <w:b/>
                <w:bCs/>
                <w:color w:val="C00000"/>
                <w:sz w:val="20"/>
                <w:szCs w:val="20"/>
              </w:rPr>
              <w:t>Absolute Liability Misapplication (AUTO-FAIL)</w:t>
            </w:r>
          </w:p>
        </w:tc>
      </w:tr>
      <w:tr w:rsidR="003310A5" w14:paraId="0A9AC69F" w14:textId="77777777">
        <w:tblPrEx>
          <w:tblCellMar>
            <w:top w:w="0" w:type="dxa"/>
            <w:bottom w:w="0" w:type="dxa"/>
          </w:tblCellMar>
        </w:tblPrEx>
        <w:tc>
          <w:tcPr>
            <w:tcW w:w="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98BCB7" w14:textId="77777777" w:rsidR="003310A5" w:rsidRDefault="00000000">
            <w:r>
              <w:rPr>
                <w:b/>
                <w:bCs/>
                <w:color w:val="1F3864"/>
                <w:sz w:val="20"/>
                <w:szCs w:val="20"/>
              </w:rPr>
              <w:t>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8CA3C7" w14:textId="77777777" w:rsidR="003310A5" w:rsidRDefault="00000000">
            <w:r>
              <w:rPr>
                <w:color w:val="000000"/>
                <w:sz w:val="20"/>
                <w:szCs w:val="20"/>
              </w:rPr>
              <w:t>Prime Contract AI</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73E755" w14:textId="77777777" w:rsidR="003310A5" w:rsidRDefault="00000000">
            <w:r>
              <w:rPr>
                <w:color w:val="000000"/>
                <w:sz w:val="20"/>
                <w:szCs w:val="20"/>
              </w:rPr>
              <w:t>The MTA prime contract required Meridian to name the MTA as an additional insured on Meridian's own CGL policy. The prime contract was never submitted to Thornfield. The MTA has now tendered its defense to Meridian, triggering a second-order AI coverage question.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7E59C9" w14:textId="77777777" w:rsidR="003310A5" w:rsidRDefault="00000000">
            <w:r>
              <w:rPr>
                <w:color w:val="000000"/>
                <w:sz w:val="20"/>
                <w:szCs w:val="20"/>
              </w:rPr>
              <w:t xml:space="preserve">Meridian's CGL policy may have a blanket AI endorsement covering contractually required AIs — or it may require the MTA to be scheduled specifically. Thornfield must determine: (a) whether the AI endorsement form extends to the MTA; (b) whether the duty to defend the MTA is triggered; and (c) how the AI defense interacts with Thornfield's potential </w:t>
            </w:r>
            <w:r>
              <w:rPr>
                <w:color w:val="000000"/>
                <w:sz w:val="20"/>
                <w:szCs w:val="20"/>
              </w:rPr>
              <w:lastRenderedPageBreak/>
              <w:t>misrepresentation defense.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472671" w14:textId="77777777" w:rsidR="003310A5" w:rsidRDefault="00000000">
            <w:r>
              <w:rPr>
                <w:color w:val="000000"/>
                <w:sz w:val="20"/>
                <w:szCs w:val="20"/>
              </w:rPr>
              <w:lastRenderedPageBreak/>
              <w:t>Additional Insured Scope / Prime Contract Not in File</w:t>
            </w:r>
          </w:p>
        </w:tc>
      </w:tr>
      <w:tr w:rsidR="003310A5" w14:paraId="269B26E7" w14:textId="77777777">
        <w:tblPrEx>
          <w:tblCellMar>
            <w:top w:w="0" w:type="dxa"/>
            <w:bottom w:w="0" w:type="dxa"/>
          </w:tblCellMar>
        </w:tblPrEx>
        <w:tc>
          <w:tcPr>
            <w:tcW w:w="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C2881E" w14:textId="77777777" w:rsidR="003310A5" w:rsidRDefault="00000000">
            <w:r>
              <w:rPr>
                <w:b/>
                <w:bCs/>
                <w:color w:val="1F3864"/>
                <w:sz w:val="20"/>
                <w:szCs w:val="20"/>
              </w:rPr>
              <w:t>8</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ECD63E" w14:textId="77777777" w:rsidR="003310A5" w:rsidRDefault="00000000">
            <w:r>
              <w:rPr>
                <w:color w:val="000000"/>
                <w:sz w:val="20"/>
                <w:szCs w:val="20"/>
              </w:rPr>
              <w:t>CG 00 01 / Sublimit</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E3DF38" w14:textId="77777777" w:rsidR="003310A5" w:rsidRDefault="00000000">
            <w:r>
              <w:rPr>
                <w:color w:val="000000"/>
                <w:sz w:val="20"/>
                <w:szCs w:val="20"/>
              </w:rPr>
              <w:t xml:space="preserve">Meridian's policy includes </w:t>
            </w:r>
            <w:proofErr w:type="gramStart"/>
            <w:r>
              <w:rPr>
                <w:color w:val="000000"/>
                <w:sz w:val="20"/>
                <w:szCs w:val="20"/>
              </w:rPr>
              <w:t>a $500,000 products/completed operations</w:t>
            </w:r>
            <w:proofErr w:type="gramEnd"/>
            <w:r>
              <w:rPr>
                <w:color w:val="000000"/>
                <w:sz w:val="20"/>
                <w:szCs w:val="20"/>
              </w:rPr>
              <w:t xml:space="preserve"> sublimit. At the time of loss (October 15, 2025), Alpine's work on the bridge was partially complete. Whether the project is characterized as "ongoing" or "completed" operations determines which limit applies — $1M or $500K.</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7F720E4" w14:textId="77777777" w:rsidR="003310A5" w:rsidRDefault="00000000">
            <w:r>
              <w:rPr>
                <w:color w:val="000000"/>
                <w:sz w:val="20"/>
                <w:szCs w:val="20"/>
              </w:rPr>
              <w:t>ISO CGL forms distinguish ongoing operations from completed operations. If the bridge section had passed final inspection but punch-list items remained, the characterization is ambiguous. A completed ops characterization reduces the available limit by 50%. The ambiguity is a coverage argument Thornfield may raise and Meridian would dispute.</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B5917C" w14:textId="77777777" w:rsidR="003310A5" w:rsidRDefault="00000000">
            <w:r>
              <w:rPr>
                <w:color w:val="000000"/>
                <w:sz w:val="20"/>
                <w:szCs w:val="20"/>
              </w:rPr>
              <w:t>Sublimit / Ongoing vs. Completed Operations Ambiguity</w:t>
            </w:r>
          </w:p>
        </w:tc>
      </w:tr>
    </w:tbl>
    <w:p w14:paraId="29303221" w14:textId="77777777" w:rsidR="003310A5" w:rsidRDefault="003310A5">
      <w:pPr>
        <w:spacing w:after="240"/>
      </w:pPr>
    </w:p>
    <w:p w14:paraId="38FFD708" w14:textId="77777777" w:rsidR="003310A5" w:rsidRDefault="00000000">
      <w:pPr>
        <w:pStyle w:val="Heading1"/>
        <w:pageBreakBefore/>
        <w:pBdr>
          <w:bottom w:val="single" w:sz="8" w:space="4" w:color="1F3864"/>
        </w:pBdr>
      </w:pPr>
      <w:r>
        <w:lastRenderedPageBreak/>
        <w:t>4. Test Query Set</w:t>
      </w:r>
    </w:p>
    <w:p w14:paraId="49E92CD7" w14:textId="77777777" w:rsidR="003310A5" w:rsidRDefault="00000000">
      <w:pPr>
        <w:spacing w:after="120"/>
      </w:pPr>
      <w:r>
        <w:rPr>
          <w:color w:val="000000"/>
        </w:rPr>
        <w:t>The following seven queries probe each AI system independently (Queries 1–6) and in full combination (Query 7). Each query entry includes the verbatim prompt text for direct use in testing, followed by the specific outputs required for full credit. All queries are scored on the same 100-point scale; Query 7 carries the same point value but more detailed scoring criteria reflecting its integration demand.</w:t>
      </w:r>
    </w:p>
    <w:p w14:paraId="116A1344" w14:textId="77777777" w:rsidR="003310A5" w:rsidRDefault="003310A5">
      <w:pPr>
        <w:spacing w:after="120"/>
      </w:pPr>
    </w:p>
    <w:p w14:paraId="2D71E568" w14:textId="77777777" w:rsidR="003310A5" w:rsidRDefault="00000000">
      <w:pPr>
        <w:pStyle w:val="Heading2"/>
      </w:pPr>
      <w:r>
        <w:t>Query 1 — Submission Review</w:t>
      </w:r>
    </w:p>
    <w:p w14:paraId="057A881F" w14:textId="77777777" w:rsidR="003310A5" w:rsidRDefault="003310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10A5" w14:paraId="0E49F5C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40" w:type="dxa"/>
              <w:bottom w:w="160" w:type="dxa"/>
              <w:right w:w="240" w:type="dxa"/>
            </w:tcMar>
          </w:tcPr>
          <w:p w14:paraId="48C4CFB9" w14:textId="77777777" w:rsidR="003310A5" w:rsidRDefault="00000000">
            <w:pPr>
              <w:spacing w:after="120"/>
            </w:pPr>
            <w:r>
              <w:rPr>
                <w:b/>
                <w:bCs/>
                <w:caps/>
                <w:color w:val="2E75B6"/>
                <w:sz w:val="18"/>
                <w:szCs w:val="18"/>
              </w:rPr>
              <w:t>TEST PROMPT — COPY VERBATIM</w:t>
            </w:r>
          </w:p>
          <w:p w14:paraId="4161CA78" w14:textId="77777777" w:rsidR="003310A5" w:rsidRDefault="00000000">
            <w:pPr>
              <w:spacing w:after="80"/>
            </w:pPr>
            <w:r>
              <w:rPr>
                <w:color w:val="333333"/>
                <w:sz w:val="20"/>
                <w:szCs w:val="20"/>
              </w:rPr>
              <w:t>You are an underwriter reviewing the attached CGL application for Meridian Construction Group, LLC, a general contractor operating in New Jersey and New York with annual revenues of approximately $12.2M. The application lists four subcontractors (drywall, electrical, HVAC, plumbing), describes operations as commercial interior renovations and tenant fit-out work, states New York as a secondary state for interior commercial work only, and answers 'No' to the question 'Does the applicant perform or supervise work on bridges, tunnels, elevated highways, or other infrastructure assets?' No subcontractor insurance certificates are attached.</w:t>
            </w:r>
          </w:p>
          <w:p w14:paraId="5FA12466" w14:textId="77777777" w:rsidR="003310A5" w:rsidRDefault="003310A5">
            <w:pPr>
              <w:spacing w:after="80"/>
            </w:pPr>
          </w:p>
          <w:p w14:paraId="43FE4FD8" w14:textId="77777777" w:rsidR="003310A5" w:rsidRDefault="00000000">
            <w:pPr>
              <w:spacing w:after="80"/>
            </w:pPr>
            <w:r>
              <w:rPr>
                <w:color w:val="333333"/>
                <w:sz w:val="20"/>
                <w:szCs w:val="20"/>
              </w:rPr>
              <w:t>Identify any gaps, red flags, or additional information requirements before binding.</w:t>
            </w:r>
          </w:p>
        </w:tc>
      </w:tr>
    </w:tbl>
    <w:p w14:paraId="46677544" w14:textId="77777777" w:rsidR="003310A5" w:rsidRDefault="003310A5">
      <w:pPr>
        <w:spacing w:after="120"/>
      </w:pPr>
    </w:p>
    <w:p w14:paraId="0A0A8999" w14:textId="77777777" w:rsidR="003310A5" w:rsidRDefault="00000000">
      <w:pPr>
        <w:pStyle w:val="Heading3"/>
      </w:pPr>
      <w:r>
        <w:t>Expected Outputs for Full Credit</w:t>
      </w:r>
    </w:p>
    <w:p w14:paraId="514D6888" w14:textId="77777777" w:rsidR="003310A5" w:rsidRDefault="00000000">
      <w:pPr>
        <w:pStyle w:val="ListParagraph"/>
        <w:numPr>
          <w:ilvl w:val="0"/>
          <w:numId w:val="2"/>
        </w:numPr>
        <w:spacing w:after="80"/>
      </w:pPr>
      <w:r>
        <w:rPr>
          <w:color w:val="000000"/>
        </w:rPr>
        <w:t>Flags the incomplete subcontractor schedule — painting is a common GC trade and its absence warrants explanation; all subs should be listed with certificates before binding</w:t>
      </w:r>
    </w:p>
    <w:p w14:paraId="21AFFADB" w14:textId="77777777" w:rsidR="003310A5" w:rsidRDefault="00000000">
      <w:pPr>
        <w:pStyle w:val="ListParagraph"/>
        <w:numPr>
          <w:ilvl w:val="0"/>
          <w:numId w:val="2"/>
        </w:numPr>
        <w:spacing w:after="80"/>
      </w:pPr>
      <w:r>
        <w:rPr>
          <w:color w:val="000000"/>
        </w:rPr>
        <w:t>Flags the NY Labor Law supplemental answer and requests clarification on the nature of all NY work — any elevated or outdoor operations in NY trigger Labor Law exposure regardless of whether the applicant considers them 'interior'</w:t>
      </w:r>
    </w:p>
    <w:p w14:paraId="7737680A" w14:textId="77777777" w:rsidR="003310A5" w:rsidRDefault="00000000">
      <w:pPr>
        <w:pStyle w:val="ListParagraph"/>
        <w:numPr>
          <w:ilvl w:val="0"/>
          <w:numId w:val="2"/>
        </w:numPr>
        <w:spacing w:after="80"/>
      </w:pPr>
      <w:r>
        <w:rPr>
          <w:color w:val="000000"/>
        </w:rPr>
        <w:t>Notes that ISO class 91580 (Buildings NEC) is inadequate if any infrastructure, bridge, or elevated public works are performed</w:t>
      </w:r>
    </w:p>
    <w:p w14:paraId="239F4896" w14:textId="77777777" w:rsidR="003310A5" w:rsidRDefault="00000000">
      <w:pPr>
        <w:pStyle w:val="ListParagraph"/>
        <w:numPr>
          <w:ilvl w:val="0"/>
          <w:numId w:val="2"/>
        </w:numPr>
        <w:spacing w:after="80"/>
      </w:pPr>
      <w:r>
        <w:rPr>
          <w:color w:val="000000"/>
        </w:rPr>
        <w:t>Requests copies of any prime contracts with public entities (MTA, PANYNJ, NYSDOT) that may impose AI and indemnity obligations on the insured</w:t>
      </w:r>
    </w:p>
    <w:p w14:paraId="30B06D32" w14:textId="77777777" w:rsidR="003310A5" w:rsidRDefault="00000000">
      <w:pPr>
        <w:pStyle w:val="ListParagraph"/>
        <w:numPr>
          <w:ilvl w:val="0"/>
          <w:numId w:val="2"/>
        </w:numPr>
        <w:spacing w:after="80"/>
      </w:pPr>
      <w:r>
        <w:rPr>
          <w:color w:val="000000"/>
        </w:rPr>
        <w:t>Recommends a NY Labor Law premium surcharge or endorsement if NY infrastructure work is confirmed</w:t>
      </w:r>
    </w:p>
    <w:p w14:paraId="7B59F4AC" w14:textId="77777777" w:rsidR="003310A5" w:rsidRDefault="003310A5">
      <w:pPr>
        <w:spacing w:after="120"/>
      </w:pPr>
    </w:p>
    <w:p w14:paraId="412D872A" w14:textId="77777777" w:rsidR="00103D15" w:rsidRDefault="00103D15">
      <w:pPr>
        <w:rPr>
          <w:b/>
          <w:bCs/>
          <w:color w:val="2E75B6"/>
          <w:sz w:val="28"/>
          <w:szCs w:val="28"/>
        </w:rPr>
      </w:pPr>
      <w:r>
        <w:br w:type="page"/>
      </w:r>
    </w:p>
    <w:p w14:paraId="450C5EB3" w14:textId="704FD1B9" w:rsidR="003310A5" w:rsidRDefault="00000000">
      <w:pPr>
        <w:pStyle w:val="Heading2"/>
      </w:pPr>
      <w:r>
        <w:lastRenderedPageBreak/>
        <w:t>Query 2 — Endorsement Requirements</w:t>
      </w:r>
    </w:p>
    <w:p w14:paraId="0699C861" w14:textId="77777777" w:rsidR="003310A5" w:rsidRDefault="003310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10A5" w14:paraId="0B29ED8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40" w:type="dxa"/>
              <w:bottom w:w="160" w:type="dxa"/>
              <w:right w:w="240" w:type="dxa"/>
            </w:tcMar>
          </w:tcPr>
          <w:p w14:paraId="54A8F26D" w14:textId="77777777" w:rsidR="003310A5" w:rsidRDefault="00000000">
            <w:pPr>
              <w:spacing w:after="120"/>
            </w:pPr>
            <w:r>
              <w:rPr>
                <w:b/>
                <w:bCs/>
                <w:caps/>
                <w:color w:val="2E75B6"/>
                <w:sz w:val="18"/>
                <w:szCs w:val="18"/>
              </w:rPr>
              <w:t>TEST PROMPT — COPY VERBATIM</w:t>
            </w:r>
          </w:p>
          <w:p w14:paraId="70691A7C" w14:textId="77777777" w:rsidR="003310A5" w:rsidRDefault="00000000">
            <w:pPr>
              <w:spacing w:after="80"/>
            </w:pPr>
            <w:r>
              <w:rPr>
                <w:color w:val="333333"/>
                <w:sz w:val="20"/>
                <w:szCs w:val="20"/>
              </w:rPr>
              <w:t>A general contractor based in New Jersey performs commercial renovation and tenant fit-out work in both New Jersey and New York. The contractor holds a CGL policy under ISO form CG 00 01. What endorsements are required or recommended before binding, given the New York operations?</w:t>
            </w:r>
          </w:p>
        </w:tc>
      </w:tr>
    </w:tbl>
    <w:p w14:paraId="628B0047" w14:textId="77777777" w:rsidR="003310A5" w:rsidRDefault="003310A5">
      <w:pPr>
        <w:spacing w:after="120"/>
      </w:pPr>
    </w:p>
    <w:p w14:paraId="09969DA1" w14:textId="77777777" w:rsidR="003310A5" w:rsidRDefault="00000000">
      <w:pPr>
        <w:pStyle w:val="Heading3"/>
      </w:pPr>
      <w:r>
        <w:t>Expected Outputs for Full Credit</w:t>
      </w:r>
    </w:p>
    <w:p w14:paraId="7229EA4C" w14:textId="77777777" w:rsidR="003310A5" w:rsidRDefault="00000000">
      <w:pPr>
        <w:pStyle w:val="ListParagraph"/>
        <w:numPr>
          <w:ilvl w:val="0"/>
          <w:numId w:val="2"/>
        </w:numPr>
        <w:spacing w:after="80"/>
      </w:pPr>
      <w:r>
        <w:rPr>
          <w:color w:val="000000"/>
        </w:rPr>
        <w:t>NY Labor Law endorsement or premium surcharge — required for any GC with NY operations where elevation work is possible</w:t>
      </w:r>
    </w:p>
    <w:p w14:paraId="4D0E6A62" w14:textId="77777777" w:rsidR="003310A5" w:rsidRDefault="00000000">
      <w:pPr>
        <w:pStyle w:val="ListParagraph"/>
        <w:numPr>
          <w:ilvl w:val="0"/>
          <w:numId w:val="2"/>
        </w:numPr>
        <w:spacing w:after="80"/>
      </w:pPr>
      <w:r>
        <w:rPr>
          <w:color w:val="000000"/>
        </w:rPr>
        <w:t>Contractual liability confirmation — ensuring the policy covers assumed liability under subcontract indemnification clauses</w:t>
      </w:r>
    </w:p>
    <w:p w14:paraId="3D140659" w14:textId="77777777" w:rsidR="003310A5" w:rsidRDefault="00000000">
      <w:pPr>
        <w:pStyle w:val="ListParagraph"/>
        <w:numPr>
          <w:ilvl w:val="0"/>
          <w:numId w:val="2"/>
        </w:numPr>
        <w:spacing w:after="80"/>
      </w:pPr>
      <w:r>
        <w:rPr>
          <w:color w:val="000000"/>
        </w:rPr>
        <w:t>Additional insured endorsements adequate to satisfy contractual requirements — scheduled (not just blanket) where contracts specify scheduled AI language</w:t>
      </w:r>
    </w:p>
    <w:p w14:paraId="44444884" w14:textId="77777777" w:rsidR="003310A5" w:rsidRDefault="00000000">
      <w:pPr>
        <w:pStyle w:val="ListParagraph"/>
        <w:numPr>
          <w:ilvl w:val="0"/>
          <w:numId w:val="2"/>
        </w:numPr>
        <w:spacing w:after="80"/>
      </w:pPr>
      <w:r>
        <w:rPr>
          <w:color w:val="000000"/>
        </w:rPr>
        <w:t>Cross-liability / separation of insureds endorsement</w:t>
      </w:r>
    </w:p>
    <w:p w14:paraId="0A9ED509" w14:textId="77777777" w:rsidR="003310A5" w:rsidRDefault="00000000">
      <w:pPr>
        <w:pStyle w:val="ListParagraph"/>
        <w:numPr>
          <w:ilvl w:val="0"/>
          <w:numId w:val="2"/>
        </w:numPr>
        <w:spacing w:after="80"/>
      </w:pPr>
      <w:r>
        <w:rPr>
          <w:color w:val="000000"/>
        </w:rPr>
        <w:t>Waiver of subrogation where required by contract</w:t>
      </w:r>
    </w:p>
    <w:p w14:paraId="0A5F6F06" w14:textId="77777777" w:rsidR="003310A5" w:rsidRDefault="003310A5">
      <w:pPr>
        <w:spacing w:after="120"/>
      </w:pPr>
    </w:p>
    <w:p w14:paraId="0A32E7DD" w14:textId="77777777" w:rsidR="003310A5" w:rsidRDefault="00000000">
      <w:pPr>
        <w:pStyle w:val="Heading2"/>
      </w:pPr>
      <w:r>
        <w:t>Query 3 — Subcontractor Insurance Adequacy</w:t>
      </w:r>
    </w:p>
    <w:p w14:paraId="5DF5C2FA" w14:textId="77777777" w:rsidR="003310A5" w:rsidRDefault="003310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10A5" w14:paraId="192F7AB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40" w:type="dxa"/>
              <w:bottom w:w="160" w:type="dxa"/>
              <w:right w:w="240" w:type="dxa"/>
            </w:tcMar>
          </w:tcPr>
          <w:p w14:paraId="3845EBC7" w14:textId="77777777" w:rsidR="003310A5" w:rsidRDefault="00000000">
            <w:pPr>
              <w:spacing w:after="120"/>
            </w:pPr>
            <w:r>
              <w:rPr>
                <w:b/>
                <w:bCs/>
                <w:caps/>
                <w:color w:val="2E75B6"/>
                <w:sz w:val="18"/>
                <w:szCs w:val="18"/>
              </w:rPr>
              <w:t>TEST PROMPT — COPY VERBATIM</w:t>
            </w:r>
          </w:p>
          <w:p w14:paraId="6D730DE7" w14:textId="77777777" w:rsidR="003310A5" w:rsidRDefault="00000000">
            <w:pPr>
              <w:spacing w:after="80"/>
            </w:pPr>
            <w:r>
              <w:rPr>
                <w:color w:val="333333"/>
                <w:sz w:val="20"/>
                <w:szCs w:val="20"/>
              </w:rPr>
              <w:t>A general contractor's subcontract requires a painting subcontractor to carry $1M/$2M CGL and name the GC as additional insured on a primary and non-contributory basis before mobilization. The subcontractor has provided an ACORD 25 Certificate of Insurance showing $1M/$2M CGL limits with the GC named as certificate holder.</w:t>
            </w:r>
          </w:p>
          <w:p w14:paraId="71E9443C" w14:textId="77777777" w:rsidR="003310A5" w:rsidRDefault="003310A5">
            <w:pPr>
              <w:spacing w:after="80"/>
            </w:pPr>
          </w:p>
          <w:p w14:paraId="1CEBB29A" w14:textId="77777777" w:rsidR="003310A5" w:rsidRDefault="00000000">
            <w:pPr>
              <w:spacing w:after="80"/>
            </w:pPr>
            <w:r>
              <w:rPr>
                <w:color w:val="333333"/>
                <w:sz w:val="20"/>
                <w:szCs w:val="20"/>
              </w:rPr>
              <w:t>Is this certificate adequate to satisfy the transfer of risk requirements in the subcontract?</w:t>
            </w:r>
          </w:p>
        </w:tc>
      </w:tr>
    </w:tbl>
    <w:p w14:paraId="4D837DDF" w14:textId="77777777" w:rsidR="003310A5" w:rsidRDefault="003310A5">
      <w:pPr>
        <w:spacing w:after="120"/>
      </w:pPr>
    </w:p>
    <w:p w14:paraId="4880A11D" w14:textId="77777777" w:rsidR="003310A5" w:rsidRDefault="00000000">
      <w:pPr>
        <w:pStyle w:val="Heading3"/>
      </w:pPr>
      <w:r>
        <w:t>Expected Outputs for Full Credit</w:t>
      </w:r>
    </w:p>
    <w:p w14:paraId="09B1ABDB" w14:textId="77777777" w:rsidR="003310A5" w:rsidRDefault="00000000">
      <w:pPr>
        <w:pStyle w:val="ListParagraph"/>
        <w:numPr>
          <w:ilvl w:val="0"/>
          <w:numId w:val="2"/>
        </w:numPr>
        <w:spacing w:after="80"/>
      </w:pPr>
      <w:r>
        <w:rPr>
          <w:color w:val="000000"/>
        </w:rPr>
        <w:t>A certificate cannot confirm policy exclusions, classification limitations, or endorsement language — actual policy and endorsement schedule review is required</w:t>
      </w:r>
    </w:p>
    <w:p w14:paraId="001AADA1" w14:textId="77777777" w:rsidR="003310A5" w:rsidRDefault="00000000">
      <w:pPr>
        <w:pStyle w:val="ListParagraph"/>
        <w:numPr>
          <w:ilvl w:val="0"/>
          <w:numId w:val="2"/>
        </w:numPr>
        <w:spacing w:after="80"/>
      </w:pPr>
      <w:r>
        <w:rPr>
          <w:color w:val="000000"/>
        </w:rPr>
        <w:t>The certificate does not confirm the AI endorsement language meets the 'primary and non-contributory' requirement — the specific AI endorsement form must be reviewed</w:t>
      </w:r>
    </w:p>
    <w:p w14:paraId="1A83AE64" w14:textId="77777777" w:rsidR="003310A5" w:rsidRDefault="00000000">
      <w:pPr>
        <w:pStyle w:val="ListParagraph"/>
        <w:numPr>
          <w:ilvl w:val="0"/>
          <w:numId w:val="2"/>
        </w:numPr>
        <w:spacing w:after="80"/>
      </w:pPr>
      <w:r>
        <w:rPr>
          <w:color w:val="000000"/>
        </w:rPr>
        <w:t>Recommends requesting the subcontractor's full policy declarations, schedule of endorsements, and the AI endorsement form</w:t>
      </w:r>
    </w:p>
    <w:p w14:paraId="48C5EEF2" w14:textId="77777777" w:rsidR="003310A5" w:rsidRDefault="00000000">
      <w:pPr>
        <w:pStyle w:val="ListParagraph"/>
        <w:numPr>
          <w:ilvl w:val="0"/>
          <w:numId w:val="2"/>
        </w:numPr>
        <w:spacing w:after="80"/>
      </w:pPr>
      <w:r>
        <w:rPr>
          <w:color w:val="000000"/>
        </w:rPr>
        <w:lastRenderedPageBreak/>
        <w:t>Flags that the subcontractor's classification (if disclosed as interior painting) is inconsistent with any bridge or elevated infrastructure work and warrants investigation</w:t>
      </w:r>
    </w:p>
    <w:p w14:paraId="6C6CA018" w14:textId="77777777" w:rsidR="003310A5" w:rsidRDefault="003310A5">
      <w:pPr>
        <w:spacing w:after="120"/>
      </w:pPr>
    </w:p>
    <w:p w14:paraId="1E46B780" w14:textId="77777777" w:rsidR="003310A5" w:rsidRDefault="00000000">
      <w:pPr>
        <w:pStyle w:val="Heading2"/>
      </w:pPr>
      <w:r>
        <w:t>Query 4 — Jurisdiction and Governing Law</w:t>
      </w:r>
    </w:p>
    <w:p w14:paraId="19FA69DE" w14:textId="77777777" w:rsidR="003310A5" w:rsidRDefault="003310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10A5" w14:paraId="170C945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40" w:type="dxa"/>
              <w:bottom w:w="160" w:type="dxa"/>
              <w:right w:w="240" w:type="dxa"/>
            </w:tcMar>
          </w:tcPr>
          <w:p w14:paraId="36BC1E40" w14:textId="77777777" w:rsidR="003310A5" w:rsidRDefault="00000000">
            <w:pPr>
              <w:spacing w:after="120"/>
            </w:pPr>
            <w:r>
              <w:rPr>
                <w:b/>
                <w:bCs/>
                <w:caps/>
                <w:color w:val="2E75B6"/>
                <w:sz w:val="18"/>
                <w:szCs w:val="18"/>
              </w:rPr>
              <w:t>TEST PROMPT — COPY VERBATIM</w:t>
            </w:r>
          </w:p>
          <w:p w14:paraId="69E1445B" w14:textId="77777777" w:rsidR="003310A5" w:rsidRDefault="00000000">
            <w:pPr>
              <w:spacing w:after="80"/>
            </w:pPr>
            <w:r>
              <w:rPr>
                <w:color w:val="333333"/>
                <w:sz w:val="20"/>
                <w:szCs w:val="20"/>
              </w:rPr>
              <w:t>A CGL policy was issued in New Jersey to a New Jersey-based general contractor. A bodily injury loss occurred on the Bronx-Whitestone Bridge in New York. The injured worker has filed suit in New York Supreme Court asserting New York Labor Law §240(1) and §241(6) claims against the GC.</w:t>
            </w:r>
          </w:p>
          <w:p w14:paraId="02083F5D" w14:textId="77777777" w:rsidR="003310A5" w:rsidRDefault="003310A5">
            <w:pPr>
              <w:spacing w:after="80"/>
            </w:pPr>
          </w:p>
          <w:p w14:paraId="11738045" w14:textId="77777777" w:rsidR="003310A5" w:rsidRDefault="00000000">
            <w:pPr>
              <w:spacing w:after="80"/>
            </w:pPr>
            <w:r>
              <w:rPr>
                <w:color w:val="333333"/>
                <w:sz w:val="20"/>
                <w:szCs w:val="20"/>
              </w:rPr>
              <w:t>Which state's law governs: (a) the liability determination; and (b) the coverage analysis?</w:t>
            </w:r>
          </w:p>
        </w:tc>
      </w:tr>
    </w:tbl>
    <w:p w14:paraId="58A46E3A" w14:textId="77777777" w:rsidR="003310A5" w:rsidRDefault="003310A5">
      <w:pPr>
        <w:spacing w:after="120"/>
      </w:pPr>
    </w:p>
    <w:p w14:paraId="37259AFC" w14:textId="77777777" w:rsidR="003310A5" w:rsidRDefault="00000000">
      <w:pPr>
        <w:pStyle w:val="Heading3"/>
      </w:pPr>
      <w:r>
        <w:t>Expected Outputs for Full Credit</w:t>
      </w:r>
    </w:p>
    <w:p w14:paraId="38B78F50" w14:textId="77777777" w:rsidR="003310A5" w:rsidRDefault="00000000">
      <w:pPr>
        <w:pStyle w:val="ListParagraph"/>
        <w:numPr>
          <w:ilvl w:val="0"/>
          <w:numId w:val="2"/>
        </w:numPr>
        <w:spacing w:after="80"/>
      </w:pPr>
      <w:r>
        <w:rPr>
          <w:color w:val="000000"/>
        </w:rPr>
        <w:t>Liability determination: New York substantive law governs. NY Labor Law §240/241 are New York statutes applicable to work performed in New York. The place of injury and the statutory basis both point to New York.</w:t>
      </w:r>
    </w:p>
    <w:p w14:paraId="7501BAC3" w14:textId="77777777" w:rsidR="003310A5" w:rsidRDefault="00000000">
      <w:pPr>
        <w:pStyle w:val="ListParagraph"/>
        <w:numPr>
          <w:ilvl w:val="0"/>
          <w:numId w:val="2"/>
        </w:numPr>
        <w:spacing w:after="80"/>
      </w:pPr>
      <w:r>
        <w:rPr>
          <w:color w:val="000000"/>
        </w:rPr>
        <w:t>Coverage analysis: New Jersey law likely governs policy interpretation as the state of issuance and the insured's domicile, but a New York court may apply New York coverage law if litigated there. Both states' laws should be analyzed.</w:t>
      </w:r>
    </w:p>
    <w:p w14:paraId="5E66CEB6" w14:textId="77777777" w:rsidR="003310A5" w:rsidRDefault="00000000">
      <w:pPr>
        <w:pStyle w:val="ListParagraph"/>
        <w:numPr>
          <w:ilvl w:val="0"/>
          <w:numId w:val="2"/>
        </w:numPr>
        <w:spacing w:after="80"/>
      </w:pPr>
      <w:r>
        <w:rPr>
          <w:color w:val="000000"/>
        </w:rPr>
        <w:t>Notes the potential for conflict-of-laws arguments and recommends retaining NY-admitted coverage counsel</w:t>
      </w:r>
    </w:p>
    <w:p w14:paraId="29151055" w14:textId="77777777" w:rsidR="003310A5" w:rsidRDefault="003310A5">
      <w:pPr>
        <w:spacing w:after="120"/>
      </w:pPr>
    </w:p>
    <w:p w14:paraId="28205C28" w14:textId="77777777" w:rsidR="003310A5" w:rsidRDefault="00000000">
      <w:pPr>
        <w:pStyle w:val="Heading2"/>
      </w:pPr>
      <w:r>
        <w:t>Query 5 — Section 240 Liability Standard</w:t>
      </w:r>
    </w:p>
    <w:p w14:paraId="7C7C24BF" w14:textId="77777777" w:rsidR="003310A5" w:rsidRDefault="003310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10A5" w14:paraId="2EC61D7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40" w:type="dxa"/>
              <w:bottom w:w="160" w:type="dxa"/>
              <w:right w:w="240" w:type="dxa"/>
            </w:tcMar>
          </w:tcPr>
          <w:p w14:paraId="419AB8C2" w14:textId="77777777" w:rsidR="003310A5" w:rsidRDefault="00000000">
            <w:pPr>
              <w:spacing w:after="120"/>
            </w:pPr>
            <w:r>
              <w:rPr>
                <w:b/>
                <w:bCs/>
                <w:caps/>
                <w:color w:val="2E75B6"/>
                <w:sz w:val="18"/>
                <w:szCs w:val="18"/>
              </w:rPr>
              <w:t>TEST PROMPT — COPY VERBATIM</w:t>
            </w:r>
          </w:p>
          <w:p w14:paraId="67AED09A" w14:textId="77777777" w:rsidR="003310A5" w:rsidRDefault="00000000">
            <w:pPr>
              <w:spacing w:after="80"/>
            </w:pPr>
            <w:r>
              <w:rPr>
                <w:color w:val="333333"/>
                <w:sz w:val="20"/>
                <w:szCs w:val="20"/>
              </w:rPr>
              <w:t>A general contractor's defense counsel has proposed the following defenses to a New York Labor Law §240(1) claim arising from a worker's fall from a scaffold:</w:t>
            </w:r>
          </w:p>
          <w:p w14:paraId="388593E4" w14:textId="77777777" w:rsidR="003310A5" w:rsidRDefault="003310A5">
            <w:pPr>
              <w:spacing w:after="80"/>
            </w:pPr>
          </w:p>
          <w:p w14:paraId="7787538A" w14:textId="77777777" w:rsidR="003310A5" w:rsidRDefault="00000000">
            <w:pPr>
              <w:spacing w:after="80"/>
            </w:pPr>
            <w:r>
              <w:rPr>
                <w:color w:val="333333"/>
                <w:sz w:val="20"/>
                <w:szCs w:val="20"/>
              </w:rPr>
              <w:t xml:space="preserve">Defense A: The injured worker was comparatively </w:t>
            </w:r>
            <w:proofErr w:type="gramStart"/>
            <w:r>
              <w:rPr>
                <w:color w:val="333333"/>
                <w:sz w:val="20"/>
                <w:szCs w:val="20"/>
              </w:rPr>
              <w:t>negligent</w:t>
            </w:r>
            <w:proofErr w:type="gramEnd"/>
            <w:r>
              <w:rPr>
                <w:color w:val="333333"/>
                <w:sz w:val="20"/>
                <w:szCs w:val="20"/>
              </w:rPr>
              <w:t xml:space="preserve"> and his own conduct contributed to the fall.</w:t>
            </w:r>
          </w:p>
          <w:p w14:paraId="1D9CBA70" w14:textId="77777777" w:rsidR="003310A5" w:rsidRDefault="00000000">
            <w:pPr>
              <w:spacing w:after="80"/>
            </w:pPr>
            <w:r>
              <w:rPr>
                <w:color w:val="333333"/>
                <w:sz w:val="20"/>
                <w:szCs w:val="20"/>
              </w:rPr>
              <w:t>Defense B: The general contractor delegated scaffold safety to its painting subcontractor, who was solely responsible for rigging the scaffold.</w:t>
            </w:r>
          </w:p>
          <w:p w14:paraId="20A92458" w14:textId="77777777" w:rsidR="003310A5" w:rsidRDefault="003310A5">
            <w:pPr>
              <w:spacing w:after="80"/>
            </w:pPr>
          </w:p>
          <w:p w14:paraId="13E40CA7" w14:textId="77777777" w:rsidR="003310A5" w:rsidRDefault="00000000">
            <w:pPr>
              <w:spacing w:after="80"/>
            </w:pPr>
            <w:r>
              <w:rPr>
                <w:color w:val="333333"/>
                <w:sz w:val="20"/>
                <w:szCs w:val="20"/>
              </w:rPr>
              <w:t>Evaluate the viability of each defense.</w:t>
            </w:r>
          </w:p>
        </w:tc>
      </w:tr>
    </w:tbl>
    <w:p w14:paraId="01660E72" w14:textId="77777777" w:rsidR="003310A5" w:rsidRDefault="003310A5">
      <w:pPr>
        <w:spacing w:after="120"/>
      </w:pPr>
    </w:p>
    <w:p w14:paraId="4344CA36" w14:textId="77777777" w:rsidR="003310A5" w:rsidRDefault="00000000">
      <w:pPr>
        <w:pStyle w:val="Heading3"/>
      </w:pPr>
      <w:r>
        <w:lastRenderedPageBreak/>
        <w:t>Expected Outputs for Full Credit</w:t>
      </w:r>
    </w:p>
    <w:p w14:paraId="410E4632" w14:textId="77777777" w:rsidR="003310A5" w:rsidRDefault="00000000">
      <w:pPr>
        <w:pStyle w:val="ListParagraph"/>
        <w:numPr>
          <w:ilvl w:val="0"/>
          <w:numId w:val="2"/>
        </w:numPr>
        <w:spacing w:after="80"/>
      </w:pPr>
      <w:r>
        <w:rPr>
          <w:color w:val="000000"/>
        </w:rPr>
        <w:t>Defense A — Comparative negligence: NOT a defense to §240(1). The statute imposes absolute liability. Worker negligence does not reduce or eliminate the GC's liability unless the worker was the sole proximate cause — a distinct and much higher standard than comparative fault.</w:t>
      </w:r>
    </w:p>
    <w:p w14:paraId="5BA7C387" w14:textId="77777777" w:rsidR="003310A5" w:rsidRDefault="00000000">
      <w:pPr>
        <w:pStyle w:val="ListParagraph"/>
        <w:numPr>
          <w:ilvl w:val="0"/>
          <w:numId w:val="2"/>
        </w:numPr>
        <w:spacing w:after="80"/>
      </w:pPr>
      <w:r>
        <w:rPr>
          <w:color w:val="000000"/>
        </w:rPr>
        <w:t>Defense B — Delegation to subcontractor: NOT a defense. The §240(1) duty is non-delegable. A GC cannot contractually transfer its absolute statutory liability to a sub, even a negligent one.</w:t>
      </w:r>
    </w:p>
    <w:p w14:paraId="4E050A4D" w14:textId="77777777" w:rsidR="003310A5" w:rsidRDefault="00000000">
      <w:pPr>
        <w:pStyle w:val="ListParagraph"/>
        <w:numPr>
          <w:ilvl w:val="0"/>
          <w:numId w:val="2"/>
        </w:numPr>
        <w:spacing w:after="80"/>
      </w:pPr>
      <w:r>
        <w:rPr>
          <w:color w:val="000000"/>
        </w:rPr>
        <w:t xml:space="preserve">The sole proximate cause defense (distinct from comparative negligence): Available in </w:t>
      </w:r>
      <w:proofErr w:type="gramStart"/>
      <w:r>
        <w:rPr>
          <w:color w:val="000000"/>
        </w:rPr>
        <w:t>theory, but</w:t>
      </w:r>
      <w:proofErr w:type="gramEnd"/>
      <w:r>
        <w:rPr>
          <w:color w:val="000000"/>
        </w:rPr>
        <w:t xml:space="preserve"> requires showing (a) an adequate safety device was provided, (b) the worker refused to use it for no good reason, and (c) no statutory violation occurred. Per Blake v. Neighborhood Housing Services of NYC, 1 N.Y.3d 280 (2003), this defense rarely succeeds.</w:t>
      </w:r>
    </w:p>
    <w:p w14:paraId="32691A45" w14:textId="77777777" w:rsidR="003310A5" w:rsidRDefault="00000000">
      <w:pPr>
        <w:pStyle w:val="ListParagraph"/>
        <w:numPr>
          <w:ilvl w:val="0"/>
          <w:numId w:val="2"/>
        </w:numPr>
        <w:spacing w:after="80"/>
      </w:pPr>
      <w:r>
        <w:rPr>
          <w:color w:val="000000"/>
        </w:rPr>
        <w:t>Recommendation: Neither proposed defense is likely to succeed. Sole proximate cause may be investigated but should not be the primary strategy.</w:t>
      </w:r>
    </w:p>
    <w:p w14:paraId="05218AEF" w14:textId="77777777" w:rsidR="003310A5" w:rsidRDefault="003310A5">
      <w:pPr>
        <w:spacing w:after="120"/>
      </w:pPr>
    </w:p>
    <w:p w14:paraId="72DB9956" w14:textId="77777777" w:rsidR="003310A5" w:rsidRDefault="00000000">
      <w:pPr>
        <w:pStyle w:val="Heading2"/>
      </w:pPr>
      <w:r>
        <w:t>Query 6 — Coverage Disclaimer Analysis</w:t>
      </w:r>
    </w:p>
    <w:p w14:paraId="6D966004" w14:textId="77777777" w:rsidR="003310A5" w:rsidRDefault="003310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10A5" w14:paraId="794D229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40" w:type="dxa"/>
              <w:bottom w:w="160" w:type="dxa"/>
              <w:right w:w="240" w:type="dxa"/>
            </w:tcMar>
          </w:tcPr>
          <w:p w14:paraId="3CEE6952" w14:textId="77777777" w:rsidR="003310A5" w:rsidRDefault="00000000">
            <w:pPr>
              <w:spacing w:after="120"/>
            </w:pPr>
            <w:r>
              <w:rPr>
                <w:b/>
                <w:bCs/>
                <w:caps/>
                <w:color w:val="2E75B6"/>
                <w:sz w:val="18"/>
                <w:szCs w:val="18"/>
              </w:rPr>
              <w:t>TEST PROMPT — COPY VERBATIM</w:t>
            </w:r>
          </w:p>
          <w:p w14:paraId="214B4FF9" w14:textId="77777777" w:rsidR="003310A5" w:rsidRDefault="00000000">
            <w:pPr>
              <w:spacing w:after="80"/>
            </w:pPr>
            <w:r>
              <w:rPr>
                <w:color w:val="333333"/>
                <w:sz w:val="20"/>
                <w:szCs w:val="20"/>
              </w:rPr>
              <w:t>Thornfield Insurance Company issued a CGL policy to Meridian Construction Group, LLC. The application omitted a painting subcontractor (Alpine Specialty Coatings) from the subcontractor schedule and answered 'No' to a supplemental question asking whether the insured performed work on bridges or other infrastructure. Thornfield has now received a bodily injury claim arising from a worker fall on the Bronx-Whitestone Bridge involving Alpine's employee.</w:t>
            </w:r>
          </w:p>
          <w:p w14:paraId="6147CD7C" w14:textId="77777777" w:rsidR="003310A5" w:rsidRDefault="003310A5">
            <w:pPr>
              <w:spacing w:after="80"/>
            </w:pPr>
          </w:p>
          <w:p w14:paraId="1AA2F992" w14:textId="77777777" w:rsidR="003310A5" w:rsidRDefault="00000000">
            <w:pPr>
              <w:spacing w:after="80"/>
            </w:pPr>
            <w:r>
              <w:rPr>
                <w:color w:val="333333"/>
                <w:sz w:val="20"/>
                <w:szCs w:val="20"/>
              </w:rPr>
              <w:t>Thornfield is considering disclaiming coverage based on material misrepresentation. Analyze the grounds for disclaimer, the risks, the distinction between disclaimer and rescission, and the strategic recommended approach.</w:t>
            </w:r>
          </w:p>
        </w:tc>
      </w:tr>
    </w:tbl>
    <w:p w14:paraId="1F35D34E" w14:textId="77777777" w:rsidR="003310A5" w:rsidRDefault="003310A5">
      <w:pPr>
        <w:spacing w:after="120"/>
      </w:pPr>
    </w:p>
    <w:p w14:paraId="6EF80AF6" w14:textId="77777777" w:rsidR="003310A5" w:rsidRDefault="00000000">
      <w:pPr>
        <w:pStyle w:val="Heading3"/>
      </w:pPr>
      <w:r>
        <w:t>Expected Outputs for Full Credit</w:t>
      </w:r>
    </w:p>
    <w:p w14:paraId="3CC95EFA" w14:textId="77777777" w:rsidR="003310A5" w:rsidRDefault="00000000">
      <w:pPr>
        <w:pStyle w:val="ListParagraph"/>
        <w:numPr>
          <w:ilvl w:val="0"/>
          <w:numId w:val="2"/>
        </w:numPr>
        <w:spacing w:after="80"/>
      </w:pPr>
      <w:r>
        <w:rPr>
          <w:color w:val="000000"/>
        </w:rPr>
        <w:t>Grounds for disclaimer: NY Ins. Law §3105 material misrepresentation. Thornfield must establish falsity and materiality. The false answer on the NY Labor Law questionnaire is stronger grounds than the omission of one subcontractor — a direct false statement versus an omission.</w:t>
      </w:r>
    </w:p>
    <w:p w14:paraId="144D6DF8" w14:textId="77777777" w:rsidR="003310A5" w:rsidRDefault="00000000">
      <w:pPr>
        <w:pStyle w:val="ListParagraph"/>
        <w:numPr>
          <w:ilvl w:val="0"/>
          <w:numId w:val="2"/>
        </w:numPr>
        <w:spacing w:after="80"/>
      </w:pPr>
      <w:r>
        <w:rPr>
          <w:color w:val="000000"/>
        </w:rPr>
        <w:t>Risks of disclaimer: If later found unjustified, Thornfield faces bad faith exposure and potential loss of control over the defense.</w:t>
      </w:r>
    </w:p>
    <w:p w14:paraId="79809211" w14:textId="77777777" w:rsidR="003310A5" w:rsidRDefault="00000000">
      <w:pPr>
        <w:pStyle w:val="ListParagraph"/>
        <w:numPr>
          <w:ilvl w:val="0"/>
          <w:numId w:val="2"/>
        </w:numPr>
        <w:spacing w:after="80"/>
      </w:pPr>
      <w:r>
        <w:rPr>
          <w:color w:val="000000"/>
        </w:rPr>
        <w:t>Timeliness — critical: NY Ins. Law §3420(d)(2) requires disclaimer 'as soon as reasonably possible' after Thornfield first learns of the accident or grounds for disclaimer. Thornfield received the complaint January 15, 2026. Delay — even where valid grounds exist — waives the right to disclaim.</w:t>
      </w:r>
    </w:p>
    <w:p w14:paraId="5470813F" w14:textId="77777777" w:rsidR="003310A5" w:rsidRDefault="00000000">
      <w:pPr>
        <w:pStyle w:val="ListParagraph"/>
        <w:numPr>
          <w:ilvl w:val="0"/>
          <w:numId w:val="2"/>
        </w:numPr>
        <w:spacing w:after="80"/>
      </w:pPr>
      <w:r>
        <w:rPr>
          <w:color w:val="000000"/>
        </w:rPr>
        <w:t>Rescission vs. disclaimer: Rescission voids the entire policy ab initio and requires return of premium — it is an extreme remedy that eliminates all coverage. Disclaimer applies only to the specific claim. These are legally and strategically distinct.</w:t>
      </w:r>
    </w:p>
    <w:p w14:paraId="7B1B3D74" w14:textId="77777777" w:rsidR="003310A5" w:rsidRDefault="00000000">
      <w:pPr>
        <w:pStyle w:val="ListParagraph"/>
        <w:numPr>
          <w:ilvl w:val="0"/>
          <w:numId w:val="2"/>
        </w:numPr>
        <w:spacing w:after="80"/>
      </w:pPr>
      <w:r>
        <w:rPr>
          <w:color w:val="000000"/>
        </w:rPr>
        <w:lastRenderedPageBreak/>
        <w:t>Recommended approach: Issue a reservation of rights letter immediately to preserve all defenses without abandoning the defense obligation. Retain independent coverage counsel. Conduct a full coverage investigation before making a disclaimer decision.</w:t>
      </w:r>
    </w:p>
    <w:p w14:paraId="5F1176BC" w14:textId="77777777" w:rsidR="003310A5" w:rsidRDefault="003310A5">
      <w:pPr>
        <w:spacing w:after="120"/>
      </w:pPr>
    </w:p>
    <w:p w14:paraId="3C050435" w14:textId="77777777" w:rsidR="003310A5" w:rsidRDefault="00000000">
      <w:pPr>
        <w:pStyle w:val="Heading2"/>
      </w:pPr>
      <w:r>
        <w:t>Query 7 — Full Integration (Thornfield Coverage Position)</w:t>
      </w:r>
    </w:p>
    <w:p w14:paraId="277F2D09" w14:textId="77777777" w:rsidR="003310A5" w:rsidRDefault="00000000">
      <w:pPr>
        <w:spacing w:after="120"/>
      </w:pPr>
      <w:r>
        <w:rPr>
          <w:color w:val="000000"/>
        </w:rPr>
        <w:t>The following prompt is provided in full for direct use in system testing. Copy the text in its entirety as the input to the system being evaluated.</w:t>
      </w:r>
    </w:p>
    <w:p w14:paraId="54EF8C8F" w14:textId="77777777" w:rsidR="003310A5" w:rsidRDefault="003310A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10A5" w14:paraId="3F9EA94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40" w:type="dxa"/>
              <w:bottom w:w="160" w:type="dxa"/>
              <w:right w:w="240" w:type="dxa"/>
            </w:tcMar>
          </w:tcPr>
          <w:p w14:paraId="04F01F12" w14:textId="77777777" w:rsidR="003310A5" w:rsidRDefault="00000000">
            <w:pPr>
              <w:spacing w:after="120"/>
            </w:pPr>
            <w:r>
              <w:rPr>
                <w:b/>
                <w:bCs/>
                <w:caps/>
                <w:color w:val="2E75B6"/>
                <w:sz w:val="18"/>
                <w:szCs w:val="18"/>
              </w:rPr>
              <w:t>TEST PROMPT — COPY VERBATIM</w:t>
            </w:r>
          </w:p>
          <w:p w14:paraId="0AE4B635" w14:textId="77777777" w:rsidR="003310A5" w:rsidRDefault="00000000">
            <w:pPr>
              <w:spacing w:after="80"/>
            </w:pPr>
            <w:r>
              <w:rPr>
                <w:color w:val="333333"/>
                <w:sz w:val="20"/>
                <w:szCs w:val="20"/>
              </w:rPr>
              <w:t>You are coverage counsel for Thornfield Insurance Company, a specialty commercial lines carrier. You have been provided the following claim file and asked for a preliminary coverage opinion.</w:t>
            </w:r>
          </w:p>
          <w:p w14:paraId="032EB95E" w14:textId="77777777" w:rsidR="003310A5" w:rsidRDefault="003310A5">
            <w:pPr>
              <w:spacing w:after="80"/>
            </w:pPr>
          </w:p>
          <w:p w14:paraId="328A01C6" w14:textId="77777777" w:rsidR="003310A5" w:rsidRDefault="00000000">
            <w:pPr>
              <w:spacing w:after="80"/>
            </w:pPr>
            <w:r>
              <w:rPr>
                <w:color w:val="333333"/>
                <w:sz w:val="20"/>
                <w:szCs w:val="20"/>
              </w:rPr>
              <w:t>INSURED: Meridian Construction Group, LLC, a general contractor headquartered in Newark, New Jersey.</w:t>
            </w:r>
          </w:p>
          <w:p w14:paraId="7372CC5D" w14:textId="77777777" w:rsidR="003310A5" w:rsidRDefault="003310A5">
            <w:pPr>
              <w:spacing w:after="80"/>
            </w:pPr>
          </w:p>
          <w:p w14:paraId="16170EEA" w14:textId="77777777" w:rsidR="003310A5" w:rsidRDefault="00000000">
            <w:pPr>
              <w:spacing w:after="80"/>
            </w:pPr>
            <w:r>
              <w:rPr>
                <w:color w:val="333333"/>
                <w:sz w:val="20"/>
                <w:szCs w:val="20"/>
              </w:rPr>
              <w:t xml:space="preserve">POLICY: Commercial General Liability, policy period April 1, </w:t>
            </w:r>
            <w:proofErr w:type="gramStart"/>
            <w:r>
              <w:rPr>
                <w:color w:val="333333"/>
                <w:sz w:val="20"/>
                <w:szCs w:val="20"/>
              </w:rPr>
              <w:t>2025</w:t>
            </w:r>
            <w:proofErr w:type="gramEnd"/>
            <w:r>
              <w:rPr>
                <w:color w:val="333333"/>
                <w:sz w:val="20"/>
                <w:szCs w:val="20"/>
              </w:rPr>
              <w:t xml:space="preserve"> to April 1, 2026. Limits: $1,000,000 per occurrence / $2,000,000 aggregate. Products/completed operations sublimit: $500,000. Coverage includes contractual liability. ISO class code: 91580 (Contractors — Subcontracted Work — Buildings, NEC). Blanket additional insured endorsement covering contractually required additional insureds.</w:t>
            </w:r>
          </w:p>
          <w:p w14:paraId="0DA3D58B" w14:textId="77777777" w:rsidR="003310A5" w:rsidRDefault="003310A5">
            <w:pPr>
              <w:spacing w:after="80"/>
            </w:pPr>
          </w:p>
          <w:p w14:paraId="6143E141" w14:textId="77777777" w:rsidR="003310A5" w:rsidRDefault="00000000">
            <w:pPr>
              <w:spacing w:after="80"/>
            </w:pPr>
            <w:r>
              <w:rPr>
                <w:color w:val="333333"/>
                <w:sz w:val="20"/>
                <w:szCs w:val="20"/>
              </w:rPr>
              <w:t>APPLICATION: Meridian's application described operations as 'general contractor — commercial interior renovations and tenant fit-out work, New Jersey and New York metro.' The subcontractor schedule listed four subcontractors: drywall, electrical, HVAC, and plumbing. No painting subcontractor was listed. No subcontractor insurance certificates were attached. On the supplemental NY Labor Law questionnaire, Meridian answered 'No' to the question: 'Does the applicant perform or supervise work on bridges, tunnels, elevated highways, or other infrastructure assets?'</w:t>
            </w:r>
          </w:p>
          <w:p w14:paraId="04255774" w14:textId="77777777" w:rsidR="003310A5" w:rsidRDefault="003310A5">
            <w:pPr>
              <w:spacing w:after="80"/>
            </w:pPr>
          </w:p>
          <w:p w14:paraId="2798B2A4" w14:textId="77777777" w:rsidR="003310A5" w:rsidRDefault="00000000">
            <w:pPr>
              <w:spacing w:after="80"/>
            </w:pPr>
            <w:r>
              <w:rPr>
                <w:color w:val="333333"/>
                <w:sz w:val="20"/>
                <w:szCs w:val="20"/>
              </w:rPr>
              <w:t>SUBCONTRACTOR: Alpine Specialty Coatings, Inc. (Elizabeth, NJ) was engaged by Meridian to perform exterior surface preparation and repainting on the Bronx-Whitestone Bridge under a prime contract between Meridian and the MTA (MTA Bridges and Tunnels). The prime contract required Meridian to name the MTA as an additional insured on Meridian's CGL policy on a primary and non-contributory basis. The subcontract required Alpine to carry $1M/$2M CGL and name Meridian and the MTA as additional insureds on a primary and non-contributory basis. Alpine held a CGL policy with Coastal Specialty Insurance (ISO class 91340 — Painting, Interior) containing a manuscript exclusion barring coverage for work above 15 feet without a Scheduled Elevation Endorsement (Form CS-2281). No such endorsement was attached. Meridian received only an ACORD 25 certificate from Alpine and did not review the actual policy.</w:t>
            </w:r>
          </w:p>
          <w:p w14:paraId="280A0B95" w14:textId="77777777" w:rsidR="003310A5" w:rsidRDefault="003310A5">
            <w:pPr>
              <w:spacing w:after="80"/>
            </w:pPr>
          </w:p>
          <w:p w14:paraId="246B09FA" w14:textId="77777777" w:rsidR="003310A5" w:rsidRDefault="00000000">
            <w:pPr>
              <w:spacing w:after="80"/>
            </w:pPr>
            <w:r>
              <w:rPr>
                <w:color w:val="333333"/>
                <w:sz w:val="20"/>
                <w:szCs w:val="20"/>
              </w:rPr>
              <w:t xml:space="preserve">LOSS: On October 15, 2025, Alpine employee Marco Delgado fell from a swing-stage scaffold approximately 85 feet above the roadway on the Bronx-Whitestone Bridge, suffering catastrophic spinal cord injuries resulting in permanent paraplegia. Delgado filed suit in NY Supreme Court, Queens County on December 10, </w:t>
            </w:r>
            <w:proofErr w:type="gramStart"/>
            <w:r>
              <w:rPr>
                <w:color w:val="333333"/>
                <w:sz w:val="20"/>
                <w:szCs w:val="20"/>
              </w:rPr>
              <w:t>2025</w:t>
            </w:r>
            <w:proofErr w:type="gramEnd"/>
            <w:r>
              <w:rPr>
                <w:color w:val="333333"/>
                <w:sz w:val="20"/>
                <w:szCs w:val="20"/>
              </w:rPr>
              <w:t xml:space="preserve"> against Meridian (NY Labor Law §240(1), §241(6), common law negligence) and the MTA (NY Labor Law §240(1), §241(6)). Thornfield received the summons and complaint on January 15, 2026.</w:t>
            </w:r>
          </w:p>
          <w:p w14:paraId="396A9429" w14:textId="77777777" w:rsidR="003310A5" w:rsidRDefault="003310A5">
            <w:pPr>
              <w:spacing w:after="80"/>
            </w:pPr>
          </w:p>
          <w:p w14:paraId="48C2C8A7" w14:textId="77777777" w:rsidR="003310A5" w:rsidRDefault="00000000">
            <w:pPr>
              <w:spacing w:after="80"/>
            </w:pPr>
            <w:r>
              <w:rPr>
                <w:color w:val="333333"/>
                <w:sz w:val="20"/>
                <w:szCs w:val="20"/>
              </w:rPr>
              <w:t>TENDERS: The MTA tendered its defense to Meridian under the prime contract. Meridian tendered to Alpine under the subcontract. Coastal Specialty disclaimed coverage on January 8, 2026 — height exclusion (&gt;15 ft) and interior painting classification mismatch.</w:t>
            </w:r>
          </w:p>
          <w:p w14:paraId="73988DC0" w14:textId="77777777" w:rsidR="003310A5" w:rsidRDefault="003310A5">
            <w:pPr>
              <w:spacing w:after="80"/>
            </w:pPr>
          </w:p>
          <w:p w14:paraId="3E82EBD9" w14:textId="77777777" w:rsidR="003310A5" w:rsidRDefault="00000000">
            <w:pPr>
              <w:spacing w:after="80"/>
            </w:pPr>
            <w:r>
              <w:rPr>
                <w:color w:val="333333"/>
                <w:sz w:val="20"/>
                <w:szCs w:val="20"/>
              </w:rPr>
              <w:t>QUESTION: Provide a preliminary coverage opinion addressing: (a) Thornfield's duty to defend Meridian; (b) Thornfield's duty to indemnify Meridian; (c) any grounds for disclaimer or rescission available to Thornfield, including associated risks and timeliness obligations; (d) the MTA's tender of its defense and whether Thornfield has a duty to defend the MTA as an additional insured; and (e) Thornfield's recommended immediate action steps.</w:t>
            </w:r>
          </w:p>
        </w:tc>
      </w:tr>
    </w:tbl>
    <w:p w14:paraId="44D16455" w14:textId="77777777" w:rsidR="003310A5" w:rsidRDefault="003310A5">
      <w:pPr>
        <w:spacing w:after="120"/>
      </w:pPr>
    </w:p>
    <w:p w14:paraId="3002F2A9" w14:textId="77777777" w:rsidR="003310A5" w:rsidRDefault="00000000">
      <w:pPr>
        <w:spacing w:after="120"/>
      </w:pPr>
      <w:r>
        <w:rPr>
          <w:i/>
          <w:iCs/>
          <w:color w:val="2E75B6"/>
          <w:sz w:val="20"/>
          <w:szCs w:val="20"/>
        </w:rPr>
        <w:t>Expected outputs for Query 7 are detailed in Section 5.4.</w:t>
      </w:r>
    </w:p>
    <w:p w14:paraId="7C2418CE" w14:textId="77777777" w:rsidR="003310A5" w:rsidRDefault="003310A5">
      <w:pPr>
        <w:spacing w:after="120"/>
      </w:pPr>
    </w:p>
    <w:p w14:paraId="0FD887C2" w14:textId="77777777" w:rsidR="003310A5" w:rsidRDefault="00000000">
      <w:pPr>
        <w:pStyle w:val="Heading1"/>
        <w:pageBreakBefore/>
        <w:pBdr>
          <w:bottom w:val="single" w:sz="8" w:space="4" w:color="1F3864"/>
        </w:pBdr>
      </w:pPr>
      <w:r>
        <w:lastRenderedPageBreak/>
        <w:t>5. Grading Rubric</w:t>
      </w:r>
    </w:p>
    <w:p w14:paraId="00DCC6C4" w14:textId="77777777" w:rsidR="003310A5" w:rsidRDefault="00000000">
      <w:pPr>
        <w:pStyle w:val="Heading2"/>
      </w:pPr>
      <w:proofErr w:type="gramStart"/>
      <w:r>
        <w:t>5.1  Scoring</w:t>
      </w:r>
      <w:proofErr w:type="gramEnd"/>
      <w:r>
        <w:t xml:space="preserve"> Dimensions</w:t>
      </w:r>
    </w:p>
    <w:p w14:paraId="30C203E7" w14:textId="77777777" w:rsidR="003310A5" w:rsidRDefault="00000000">
      <w:pPr>
        <w:spacing w:after="120"/>
      </w:pPr>
      <w:r>
        <w:rPr>
          <w:color w:val="000000"/>
        </w:rPr>
        <w:t>Each query is scored across four dimensions worth 25 points each, for a maximum of 100 points per query. Total maximum score across all seven queries: 700 points. The rubric applies identically to all queries; Query 7 has more detailed expected outputs (Section 5.4) reflecting its integration demand.</w:t>
      </w:r>
    </w:p>
    <w:p w14:paraId="1E1C7F53" w14:textId="77777777" w:rsidR="003310A5" w:rsidRDefault="003310A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560"/>
        <w:gridCol w:w="2560"/>
        <w:gridCol w:w="2560"/>
      </w:tblGrid>
      <w:tr w:rsidR="003310A5" w14:paraId="6EC9180A" w14:textId="77777777">
        <w:tblPrEx>
          <w:tblCellMar>
            <w:top w:w="0" w:type="dxa"/>
            <w:bottom w:w="0" w:type="dxa"/>
          </w:tblCellMar>
        </w:tblPrEx>
        <w:trPr>
          <w:tblHeader/>
        </w:trPr>
        <w:tc>
          <w:tcPr>
            <w:tcW w:w="16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464D604A" w14:textId="77777777" w:rsidR="003310A5" w:rsidRDefault="00000000">
            <w:pPr>
              <w:jc w:val="center"/>
            </w:pPr>
            <w:r>
              <w:rPr>
                <w:b/>
                <w:bCs/>
                <w:color w:val="FFFFFF"/>
                <w:sz w:val="20"/>
                <w:szCs w:val="20"/>
              </w:rPr>
              <w:t>Dimension (25 pts)</w:t>
            </w:r>
          </w:p>
        </w:tc>
        <w:tc>
          <w:tcPr>
            <w:tcW w:w="2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2173E3DE" w14:textId="77777777" w:rsidR="003310A5" w:rsidRDefault="00000000">
            <w:pPr>
              <w:jc w:val="center"/>
            </w:pPr>
            <w:r>
              <w:rPr>
                <w:b/>
                <w:bCs/>
                <w:color w:val="FFFFFF"/>
                <w:sz w:val="20"/>
                <w:szCs w:val="20"/>
              </w:rPr>
              <w:t>Full Credit — 25 pts</w:t>
            </w:r>
          </w:p>
        </w:tc>
        <w:tc>
          <w:tcPr>
            <w:tcW w:w="2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5F989DF" w14:textId="77777777" w:rsidR="003310A5" w:rsidRDefault="00000000">
            <w:pPr>
              <w:jc w:val="center"/>
            </w:pPr>
            <w:r>
              <w:rPr>
                <w:b/>
                <w:bCs/>
                <w:color w:val="FFFFFF"/>
                <w:sz w:val="20"/>
                <w:szCs w:val="20"/>
              </w:rPr>
              <w:t>Partial Credit — 13 pts</w:t>
            </w:r>
          </w:p>
        </w:tc>
        <w:tc>
          <w:tcPr>
            <w:tcW w:w="2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012B2222" w14:textId="77777777" w:rsidR="003310A5" w:rsidRDefault="00000000">
            <w:pPr>
              <w:jc w:val="center"/>
            </w:pPr>
            <w:r>
              <w:rPr>
                <w:b/>
                <w:bCs/>
                <w:color w:val="FFFFFF"/>
                <w:sz w:val="20"/>
                <w:szCs w:val="20"/>
              </w:rPr>
              <w:t>No Credit — 0 pts</w:t>
            </w:r>
          </w:p>
        </w:tc>
      </w:tr>
      <w:tr w:rsidR="003310A5" w14:paraId="21DBD2B7"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33AC1F7C" w14:textId="77777777" w:rsidR="003310A5" w:rsidRDefault="00000000">
            <w:r>
              <w:rPr>
                <w:b/>
                <w:bCs/>
                <w:color w:val="1F3864"/>
                <w:sz w:val="20"/>
                <w:szCs w:val="20"/>
              </w:rPr>
              <w:t>DETECTION</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40B3FB" w14:textId="77777777" w:rsidR="003310A5" w:rsidRDefault="00000000">
            <w:r>
              <w:rPr>
                <w:color w:val="000000"/>
                <w:sz w:val="20"/>
                <w:szCs w:val="20"/>
              </w:rPr>
              <w:t>System identifies the issue without being prompted. Proactively surfaces the trap as part of its analysis before any follow-up question.</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459F83" w14:textId="77777777" w:rsidR="003310A5" w:rsidRDefault="00000000">
            <w:r>
              <w:rPr>
                <w:color w:val="000000"/>
                <w:sz w:val="20"/>
                <w:szCs w:val="20"/>
              </w:rPr>
              <w:t xml:space="preserve">System identifies the issue only when directly </w:t>
            </w:r>
            <w:proofErr w:type="gramStart"/>
            <w:r>
              <w:rPr>
                <w:color w:val="000000"/>
                <w:sz w:val="20"/>
                <w:szCs w:val="20"/>
              </w:rPr>
              <w:t>asked, or</w:t>
            </w:r>
            <w:proofErr w:type="gramEnd"/>
            <w:r>
              <w:rPr>
                <w:color w:val="000000"/>
                <w:sz w:val="20"/>
                <w:szCs w:val="20"/>
              </w:rPr>
              <w:t xml:space="preserve"> identifies part of the issue but not its full implications.</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05640C" w14:textId="77777777" w:rsidR="003310A5" w:rsidRDefault="00000000">
            <w:r>
              <w:rPr>
                <w:color w:val="000000"/>
                <w:sz w:val="20"/>
                <w:szCs w:val="20"/>
              </w:rPr>
              <w:t>System misses the issue entirely or misidentifies it.</w:t>
            </w:r>
          </w:p>
        </w:tc>
      </w:tr>
      <w:tr w:rsidR="003310A5" w14:paraId="38E92E66"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092F6C5C" w14:textId="77777777" w:rsidR="003310A5" w:rsidRDefault="00000000">
            <w:r>
              <w:rPr>
                <w:b/>
                <w:bCs/>
                <w:color w:val="1F3864"/>
                <w:sz w:val="20"/>
                <w:szCs w:val="20"/>
              </w:rPr>
              <w:t>RULE APPLICATION</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B5CA989" w14:textId="77777777" w:rsidR="003310A5" w:rsidRDefault="00000000">
            <w:r>
              <w:rPr>
                <w:color w:val="000000"/>
                <w:sz w:val="20"/>
                <w:szCs w:val="20"/>
              </w:rPr>
              <w:t>Correct legal standard applied with precision. For §240: absolute liability, sole proximate cause defense correctly described. For §3105: materiality and reliance standards correctly stated.</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E0DBBD" w14:textId="77777777" w:rsidR="003310A5" w:rsidRDefault="00000000">
            <w:r>
              <w:rPr>
                <w:color w:val="000000"/>
                <w:sz w:val="20"/>
                <w:szCs w:val="20"/>
              </w:rPr>
              <w:t>Identifies the applicable rule but applies it imprecisely — e.g., mentions §240 strict liability but suggests comparative fault of the worker 'may be relevant.'</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95ABBF3" w14:textId="77777777" w:rsidR="003310A5" w:rsidRDefault="00000000">
            <w:r>
              <w:rPr>
                <w:color w:val="000000"/>
                <w:sz w:val="20"/>
                <w:szCs w:val="20"/>
              </w:rPr>
              <w:t>Applies the wrong rule, applies it to the wrong jurisdiction, or produces a legally incorrect conclusion.</w:t>
            </w:r>
          </w:p>
        </w:tc>
      </w:tr>
      <w:tr w:rsidR="003310A5" w14:paraId="5A03D8AC"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64A5BFB7" w14:textId="77777777" w:rsidR="003310A5" w:rsidRDefault="00000000">
            <w:r>
              <w:rPr>
                <w:b/>
                <w:bCs/>
                <w:color w:val="1F3864"/>
                <w:sz w:val="20"/>
                <w:szCs w:val="20"/>
              </w:rPr>
              <w:t>INTERACTION RECOGNITION</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B8C651" w14:textId="77777777" w:rsidR="003310A5" w:rsidRDefault="00000000">
            <w:r>
              <w:rPr>
                <w:color w:val="000000"/>
                <w:sz w:val="20"/>
                <w:szCs w:val="20"/>
              </w:rPr>
              <w:t>Recognizes when two or more rules interact, compound, or conflict — and connects their combined strategic effect, not just their individual existence.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9CEE69" w14:textId="77777777" w:rsidR="003310A5" w:rsidRDefault="00000000">
            <w:r>
              <w:rPr>
                <w:color w:val="000000"/>
                <w:sz w:val="20"/>
                <w:szCs w:val="20"/>
              </w:rPr>
              <w:t>Identifies interacting rules in isolation but fails to connect their combined effect. Treats each issue as independent.</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731BF2" w14:textId="77777777" w:rsidR="003310A5" w:rsidRDefault="00000000">
            <w:r>
              <w:rPr>
                <w:color w:val="000000"/>
                <w:sz w:val="20"/>
                <w:szCs w:val="20"/>
              </w:rPr>
              <w:t>Treats all issues as independent. Misses the cascade and its strategic implications entirely.</w:t>
            </w:r>
          </w:p>
        </w:tc>
      </w:tr>
      <w:tr w:rsidR="003310A5" w14:paraId="35FBD4C1" w14:textId="77777777">
        <w:tblPrEx>
          <w:tblCellMar>
            <w:top w:w="0" w:type="dxa"/>
            <w:bottom w:w="0" w:type="dxa"/>
          </w:tblCellMar>
        </w:tblPrEx>
        <w:tc>
          <w:tcPr>
            <w:tcW w:w="168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609C1C71" w14:textId="77777777" w:rsidR="003310A5" w:rsidRDefault="00000000">
            <w:r>
              <w:rPr>
                <w:b/>
                <w:bCs/>
                <w:color w:val="1F3864"/>
                <w:sz w:val="20"/>
                <w:szCs w:val="20"/>
              </w:rPr>
              <w:t>ACTIONABILITY</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FC12B6" w14:textId="77777777" w:rsidR="003310A5" w:rsidRDefault="00000000">
            <w:r>
              <w:rPr>
                <w:color w:val="000000"/>
                <w:sz w:val="20"/>
                <w:szCs w:val="20"/>
              </w:rPr>
              <w:t>Produces a specific, defensible recommended action with statutory grounding — e.g., 'issue a reservation of rights letter pursuant to NY Ins. Law §3420(d)(2) within 30 days of receiving the complaint.'</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66AD07" w14:textId="77777777" w:rsidR="003310A5" w:rsidRDefault="00000000">
            <w:r>
              <w:rPr>
                <w:color w:val="000000"/>
                <w:sz w:val="20"/>
                <w:szCs w:val="20"/>
              </w:rPr>
              <w:t>Produces a general recommendation without specificity — e.g., 'consult a coverage attorney before taking a position.'</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208C85F" w14:textId="77777777" w:rsidR="003310A5" w:rsidRDefault="00000000">
            <w:r>
              <w:rPr>
                <w:color w:val="000000"/>
                <w:sz w:val="20"/>
                <w:szCs w:val="20"/>
              </w:rPr>
              <w:t>Produces a non-answer, contradicts itself, or fabricates policy language, form numbers, or statutory citations.</w:t>
            </w:r>
          </w:p>
        </w:tc>
      </w:tr>
    </w:tbl>
    <w:p w14:paraId="191DCDB4" w14:textId="77777777" w:rsidR="003310A5" w:rsidRDefault="003310A5">
      <w:pPr>
        <w:spacing w:after="240"/>
      </w:pPr>
    </w:p>
    <w:p w14:paraId="4B2C3DE9" w14:textId="77777777" w:rsidR="00103D15" w:rsidRDefault="00103D15">
      <w:pPr>
        <w:rPr>
          <w:b/>
          <w:bCs/>
          <w:color w:val="2E75B6"/>
          <w:sz w:val="28"/>
          <w:szCs w:val="28"/>
        </w:rPr>
      </w:pPr>
      <w:r>
        <w:br w:type="page"/>
      </w:r>
    </w:p>
    <w:p w14:paraId="276920D9" w14:textId="0AA731C0" w:rsidR="003310A5" w:rsidRDefault="00000000">
      <w:pPr>
        <w:pStyle w:val="Heading2"/>
      </w:pPr>
      <w:proofErr w:type="gramStart"/>
      <w:r>
        <w:lastRenderedPageBreak/>
        <w:t>5.2  Calibration</w:t>
      </w:r>
      <w:proofErr w:type="gramEnd"/>
      <w:r>
        <w:t xml:space="preserve"> Examples</w:t>
      </w:r>
    </w:p>
    <w:p w14:paraId="071DEFFD" w14:textId="77777777" w:rsidR="003310A5" w:rsidRDefault="00000000">
      <w:pPr>
        <w:spacing w:after="120"/>
      </w:pPr>
      <w:r>
        <w:rPr>
          <w:color w:val="000000"/>
        </w:rPr>
        <w:t>The following examples illustrate what full credit, partial credit, and no credit look like in practice for each dimension. These are calibration anchors — evaluators should use them to ensure consistent scoring across different system responses.</w:t>
      </w:r>
    </w:p>
    <w:p w14:paraId="228C7782" w14:textId="77777777" w:rsidR="003310A5" w:rsidRDefault="003310A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4"/>
        <w:gridCol w:w="1265"/>
        <w:gridCol w:w="4827"/>
        <w:gridCol w:w="1754"/>
      </w:tblGrid>
      <w:tr w:rsidR="003310A5" w14:paraId="63980110" w14:textId="77777777">
        <w:tblPrEx>
          <w:tblCellMar>
            <w:top w:w="0" w:type="dxa"/>
            <w:bottom w:w="0" w:type="dxa"/>
          </w:tblCellMar>
        </w:tblPrEx>
        <w:trPr>
          <w:tblHeader/>
        </w:trPr>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01D16B5B" w14:textId="77777777" w:rsidR="003310A5" w:rsidRDefault="00000000">
            <w:pPr>
              <w:jc w:val="center"/>
            </w:pPr>
            <w:r>
              <w:rPr>
                <w:b/>
                <w:bCs/>
                <w:color w:val="FFFFFF"/>
                <w:sz w:val="20"/>
                <w:szCs w:val="20"/>
              </w:rPr>
              <w:t>Dimension</w:t>
            </w:r>
          </w:p>
        </w:tc>
        <w:tc>
          <w:tcPr>
            <w:tcW w:w="12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A102D37" w14:textId="77777777" w:rsidR="003310A5" w:rsidRDefault="00000000">
            <w:pPr>
              <w:jc w:val="center"/>
            </w:pPr>
            <w:r>
              <w:rPr>
                <w:b/>
                <w:bCs/>
                <w:color w:val="FFFFFF"/>
                <w:sz w:val="20"/>
                <w:szCs w:val="20"/>
              </w:rPr>
              <w:t>Score</w:t>
            </w:r>
          </w:p>
        </w:tc>
        <w:tc>
          <w:tcPr>
            <w:tcW w:w="492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9A388CD" w14:textId="77777777" w:rsidR="003310A5" w:rsidRDefault="00000000">
            <w:pPr>
              <w:jc w:val="center"/>
            </w:pPr>
            <w:r>
              <w:rPr>
                <w:b/>
                <w:bCs/>
                <w:color w:val="FFFFFF"/>
                <w:sz w:val="20"/>
                <w:szCs w:val="20"/>
              </w:rPr>
              <w:t>Example System Response</w:t>
            </w:r>
          </w:p>
        </w:tc>
        <w:tc>
          <w:tcPr>
            <w:tcW w:w="17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1C3E794" w14:textId="77777777" w:rsidR="003310A5" w:rsidRDefault="00000000">
            <w:pPr>
              <w:jc w:val="center"/>
            </w:pPr>
            <w:r>
              <w:rPr>
                <w:b/>
                <w:bCs/>
                <w:color w:val="FFFFFF"/>
                <w:sz w:val="20"/>
                <w:szCs w:val="20"/>
              </w:rPr>
              <w:t>Why This Score</w:t>
            </w:r>
          </w:p>
        </w:tc>
      </w:tr>
      <w:tr w:rsidR="003310A5" w14:paraId="33F3873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596DBD05" w14:textId="77777777" w:rsidR="003310A5" w:rsidRDefault="00000000">
            <w:r>
              <w:rPr>
                <w:b/>
                <w:bCs/>
                <w:color w:val="1F3864"/>
                <w:sz w:val="20"/>
                <w:szCs w:val="20"/>
              </w:rPr>
              <w:t>DETECTION</w:t>
            </w:r>
          </w:p>
        </w:tc>
        <w:tc>
          <w:tcPr>
            <w:tcW w:w="128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61F94C78" w14:textId="77777777" w:rsidR="003310A5" w:rsidRDefault="00000000">
            <w:pPr>
              <w:spacing w:after="20"/>
            </w:pPr>
            <w:r>
              <w:rPr>
                <w:b/>
                <w:bCs/>
                <w:color w:val="375623"/>
                <w:sz w:val="20"/>
                <w:szCs w:val="20"/>
              </w:rPr>
              <w:t>Full Credit</w:t>
            </w:r>
          </w:p>
          <w:p w14:paraId="33F787C3" w14:textId="77777777" w:rsidR="003310A5" w:rsidRDefault="00000000">
            <w:r>
              <w:rPr>
                <w:color w:val="375623"/>
                <w:sz w:val="18"/>
                <w:szCs w:val="18"/>
              </w:rPr>
              <w:t>25 pts</w:t>
            </w:r>
          </w:p>
        </w:tc>
        <w:tc>
          <w:tcPr>
            <w:tcW w:w="49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201A75" w14:textId="77777777" w:rsidR="003310A5" w:rsidRDefault="00000000">
            <w:r>
              <w:rPr>
                <w:color w:val="000000"/>
                <w:sz w:val="20"/>
                <w:szCs w:val="20"/>
              </w:rPr>
              <w:t>"This application presents significant concerns before binding. The subcontractor schedule lists only four trades (drywall, electrical, HVAC, plumbing) and omits painting entirely — a material gap given that the applicant describes NY operations. The NY Labor Law questionnaire answer also requires clarification: a GC with any NY presence should be asked to confirm whether any work involves elevated operations or public infrastructure."</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A3D371" w14:textId="77777777" w:rsidR="003310A5" w:rsidRDefault="00000000">
            <w:r>
              <w:rPr>
                <w:color w:val="000000"/>
                <w:sz w:val="20"/>
                <w:szCs w:val="20"/>
              </w:rPr>
              <w:t>Proactively flags the incomplete sub schedule and the questionnaire exposure without any prompting — both traps identified unprompted.</w:t>
            </w:r>
          </w:p>
        </w:tc>
      </w:tr>
      <w:tr w:rsidR="003310A5" w14:paraId="612BA58C"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20964748" w14:textId="77777777" w:rsidR="003310A5" w:rsidRDefault="00000000">
            <w:r>
              <w:rPr>
                <w:b/>
                <w:bCs/>
                <w:color w:val="1F3864"/>
                <w:sz w:val="20"/>
                <w:szCs w:val="20"/>
              </w:rPr>
              <w:t>DETECTION</w:t>
            </w:r>
          </w:p>
        </w:tc>
        <w:tc>
          <w:tcPr>
            <w:tcW w:w="12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40395EE3" w14:textId="77777777" w:rsidR="003310A5" w:rsidRDefault="00000000">
            <w:pPr>
              <w:spacing w:after="20"/>
            </w:pPr>
            <w:r>
              <w:rPr>
                <w:b/>
                <w:bCs/>
                <w:color w:val="7F6000"/>
                <w:sz w:val="20"/>
                <w:szCs w:val="20"/>
              </w:rPr>
              <w:t>Partial Credit</w:t>
            </w:r>
          </w:p>
          <w:p w14:paraId="73F9FA1C" w14:textId="77777777" w:rsidR="003310A5" w:rsidRDefault="00000000">
            <w:r>
              <w:rPr>
                <w:color w:val="7F6000"/>
                <w:sz w:val="18"/>
                <w:szCs w:val="18"/>
              </w:rPr>
              <w:t>13 pts</w:t>
            </w:r>
          </w:p>
        </w:tc>
        <w:tc>
          <w:tcPr>
            <w:tcW w:w="49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FD0798" w14:textId="77777777" w:rsidR="003310A5" w:rsidRDefault="00000000">
            <w:r>
              <w:rPr>
                <w:color w:val="000000"/>
                <w:sz w:val="20"/>
                <w:szCs w:val="20"/>
              </w:rPr>
              <w:t>When asked 'Was anything missing from the subcontractor schedule?', system responds: "The schedule does not appear to include a painting subcontractor."</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11942FD" w14:textId="77777777" w:rsidR="003310A5" w:rsidRDefault="00000000">
            <w:r>
              <w:rPr>
                <w:color w:val="000000"/>
                <w:sz w:val="20"/>
                <w:szCs w:val="20"/>
              </w:rPr>
              <w:t>Correctly identifies the gap — but only when directly asked. Detection requires the system to surface it unprompted.</w:t>
            </w:r>
          </w:p>
        </w:tc>
      </w:tr>
      <w:tr w:rsidR="003310A5" w14:paraId="7CD61E1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627ACA31" w14:textId="77777777" w:rsidR="003310A5" w:rsidRDefault="00000000">
            <w:r>
              <w:rPr>
                <w:b/>
                <w:bCs/>
                <w:color w:val="1F3864"/>
                <w:sz w:val="20"/>
                <w:szCs w:val="20"/>
              </w:rPr>
              <w:t>DETECTION</w:t>
            </w:r>
          </w:p>
        </w:tc>
        <w:tc>
          <w:tcPr>
            <w:tcW w:w="1280" w:type="dxa"/>
            <w:tcBorders>
              <w:top w:val="single" w:sz="4" w:space="0" w:color="AAAAAA"/>
              <w:left w:val="single" w:sz="4" w:space="0" w:color="AAAAAA"/>
              <w:bottom w:val="single" w:sz="4" w:space="0" w:color="AAAAAA"/>
              <w:right w:val="single" w:sz="4" w:space="0" w:color="AAAAAA"/>
            </w:tcBorders>
            <w:shd w:val="clear" w:color="auto" w:fill="FFE0E0"/>
            <w:tcMar>
              <w:top w:w="80" w:type="dxa"/>
              <w:left w:w="120" w:type="dxa"/>
              <w:bottom w:w="80" w:type="dxa"/>
              <w:right w:w="120" w:type="dxa"/>
            </w:tcMar>
          </w:tcPr>
          <w:p w14:paraId="1BABADF1" w14:textId="77777777" w:rsidR="003310A5" w:rsidRDefault="00000000">
            <w:pPr>
              <w:spacing w:after="20"/>
            </w:pPr>
            <w:r>
              <w:rPr>
                <w:b/>
                <w:bCs/>
                <w:color w:val="C00000"/>
                <w:sz w:val="20"/>
                <w:szCs w:val="20"/>
              </w:rPr>
              <w:t>No Credit</w:t>
            </w:r>
          </w:p>
          <w:p w14:paraId="243CBEDC" w14:textId="77777777" w:rsidR="003310A5" w:rsidRDefault="00000000">
            <w:r>
              <w:rPr>
                <w:color w:val="C00000"/>
                <w:sz w:val="18"/>
                <w:szCs w:val="18"/>
              </w:rPr>
              <w:t>0 pts</w:t>
            </w:r>
          </w:p>
        </w:tc>
        <w:tc>
          <w:tcPr>
            <w:tcW w:w="49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72BC43" w14:textId="77777777" w:rsidR="003310A5" w:rsidRDefault="00000000">
            <w:r>
              <w:rPr>
                <w:color w:val="000000"/>
                <w:sz w:val="20"/>
                <w:szCs w:val="20"/>
              </w:rPr>
              <w:t>"The application appears complete. I recommend binding subject to standard terms."</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AD34F9" w14:textId="77777777" w:rsidR="003310A5" w:rsidRDefault="00000000">
            <w:r>
              <w:rPr>
                <w:color w:val="000000"/>
                <w:sz w:val="20"/>
                <w:szCs w:val="20"/>
              </w:rPr>
              <w:t>Misses the incomplete sub schedule entirely — the most visible trap in the submission.</w:t>
            </w:r>
          </w:p>
        </w:tc>
      </w:tr>
      <w:tr w:rsidR="003310A5" w14:paraId="3E8F65A1"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3D4DCFFE" w14:textId="77777777" w:rsidR="003310A5" w:rsidRDefault="00000000">
            <w:r>
              <w:rPr>
                <w:b/>
                <w:bCs/>
                <w:color w:val="1F3864"/>
                <w:sz w:val="20"/>
                <w:szCs w:val="20"/>
              </w:rPr>
              <w:t>RULE APPLICATION</w:t>
            </w:r>
          </w:p>
        </w:tc>
        <w:tc>
          <w:tcPr>
            <w:tcW w:w="128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6D31298C" w14:textId="77777777" w:rsidR="003310A5" w:rsidRDefault="00000000">
            <w:pPr>
              <w:spacing w:after="20"/>
            </w:pPr>
            <w:r>
              <w:rPr>
                <w:b/>
                <w:bCs/>
                <w:color w:val="375623"/>
                <w:sz w:val="20"/>
                <w:szCs w:val="20"/>
              </w:rPr>
              <w:t>Full Credit</w:t>
            </w:r>
          </w:p>
          <w:p w14:paraId="1213DDBE" w14:textId="77777777" w:rsidR="003310A5" w:rsidRDefault="00000000">
            <w:r>
              <w:rPr>
                <w:color w:val="375623"/>
                <w:sz w:val="18"/>
                <w:szCs w:val="18"/>
              </w:rPr>
              <w:t>25 pts</w:t>
            </w:r>
          </w:p>
        </w:tc>
        <w:tc>
          <w:tcPr>
            <w:tcW w:w="49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2E7B7F" w14:textId="77777777" w:rsidR="003310A5" w:rsidRDefault="00000000">
            <w:r>
              <w:rPr>
                <w:color w:val="000000"/>
                <w:sz w:val="20"/>
                <w:szCs w:val="20"/>
              </w:rPr>
              <w:t>"NY Labor Law §240(1) imposes absolute liability on owners and general contractors for gravity-related injuries. This duty is non-delegable — Meridian cannot shift its §240 liability to Alpine regardless of Alpine's fault. The only available defense is sole proximate cause of the injured worker, which requires showing that an adequate safety device was provided, the worker refused to use it without justification, and no statutory violation occurred. Per Blake v. Neighborhood Housing Services of NYC (1 N.Y.3d 280, 2003), this defense rarely succeeds."</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54476D3" w14:textId="77777777" w:rsidR="003310A5" w:rsidRDefault="00000000">
            <w:r>
              <w:rPr>
                <w:color w:val="000000"/>
                <w:sz w:val="20"/>
                <w:szCs w:val="20"/>
              </w:rPr>
              <w:t>Correct statute, correct standard, correct sole proximate cause description, correct case citation.</w:t>
            </w:r>
          </w:p>
        </w:tc>
      </w:tr>
      <w:tr w:rsidR="003310A5" w14:paraId="33EE79C0"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1E3A9753" w14:textId="77777777" w:rsidR="003310A5" w:rsidRDefault="00000000">
            <w:r>
              <w:rPr>
                <w:b/>
                <w:bCs/>
                <w:color w:val="1F3864"/>
                <w:sz w:val="20"/>
                <w:szCs w:val="20"/>
              </w:rPr>
              <w:t>RULE APPLICATION</w:t>
            </w:r>
          </w:p>
        </w:tc>
        <w:tc>
          <w:tcPr>
            <w:tcW w:w="12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48CC09B8" w14:textId="77777777" w:rsidR="003310A5" w:rsidRDefault="00000000">
            <w:pPr>
              <w:spacing w:after="20"/>
            </w:pPr>
            <w:r>
              <w:rPr>
                <w:b/>
                <w:bCs/>
                <w:color w:val="7F6000"/>
                <w:sz w:val="20"/>
                <w:szCs w:val="20"/>
              </w:rPr>
              <w:t>Partial Credit</w:t>
            </w:r>
          </w:p>
          <w:p w14:paraId="569DA505" w14:textId="77777777" w:rsidR="003310A5" w:rsidRDefault="00000000">
            <w:r>
              <w:rPr>
                <w:color w:val="7F6000"/>
                <w:sz w:val="18"/>
                <w:szCs w:val="18"/>
              </w:rPr>
              <w:t>13 pts</w:t>
            </w:r>
          </w:p>
        </w:tc>
        <w:tc>
          <w:tcPr>
            <w:tcW w:w="49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D08E19" w14:textId="77777777" w:rsidR="003310A5" w:rsidRDefault="00000000">
            <w:r>
              <w:rPr>
                <w:color w:val="000000"/>
                <w:sz w:val="20"/>
                <w:szCs w:val="20"/>
              </w:rPr>
              <w:t>"Section 240 is a strict liability statute. However, if Alpine was negligent in setting up the scaffold, that negligence may factor into the comparative liability analysis."</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E85AC0" w14:textId="77777777" w:rsidR="003310A5" w:rsidRDefault="00000000">
            <w:r>
              <w:rPr>
                <w:color w:val="000000"/>
                <w:sz w:val="20"/>
                <w:szCs w:val="20"/>
              </w:rPr>
              <w:t xml:space="preserve">Correctly identifies strict liability but then introduces a </w:t>
            </w:r>
            <w:r>
              <w:rPr>
                <w:color w:val="000000"/>
                <w:sz w:val="20"/>
                <w:szCs w:val="20"/>
              </w:rPr>
              <w:lastRenderedPageBreak/>
              <w:t>comparative negligence concept that does not apply — misapplication of the standard.</w:t>
            </w:r>
          </w:p>
        </w:tc>
      </w:tr>
      <w:tr w:rsidR="003310A5" w14:paraId="13AF45C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5EC19A48" w14:textId="77777777" w:rsidR="003310A5" w:rsidRDefault="00000000">
            <w:r>
              <w:rPr>
                <w:b/>
                <w:bCs/>
                <w:color w:val="1F3864"/>
                <w:sz w:val="20"/>
                <w:szCs w:val="20"/>
              </w:rPr>
              <w:t>RULE APPLICATION</w:t>
            </w:r>
          </w:p>
        </w:tc>
        <w:tc>
          <w:tcPr>
            <w:tcW w:w="1280" w:type="dxa"/>
            <w:tcBorders>
              <w:top w:val="single" w:sz="4" w:space="0" w:color="AAAAAA"/>
              <w:left w:val="single" w:sz="4" w:space="0" w:color="AAAAAA"/>
              <w:bottom w:val="single" w:sz="4" w:space="0" w:color="AAAAAA"/>
              <w:right w:val="single" w:sz="4" w:space="0" w:color="AAAAAA"/>
            </w:tcBorders>
            <w:shd w:val="clear" w:color="auto" w:fill="FFE0E0"/>
            <w:tcMar>
              <w:top w:w="80" w:type="dxa"/>
              <w:left w:w="120" w:type="dxa"/>
              <w:bottom w:w="80" w:type="dxa"/>
              <w:right w:w="120" w:type="dxa"/>
            </w:tcMar>
          </w:tcPr>
          <w:p w14:paraId="4448ACB3" w14:textId="77777777" w:rsidR="003310A5" w:rsidRDefault="00000000">
            <w:pPr>
              <w:spacing w:after="20"/>
            </w:pPr>
            <w:r>
              <w:rPr>
                <w:b/>
                <w:bCs/>
                <w:color w:val="C00000"/>
                <w:sz w:val="20"/>
                <w:szCs w:val="20"/>
              </w:rPr>
              <w:t>No Credit</w:t>
            </w:r>
          </w:p>
          <w:p w14:paraId="33162220" w14:textId="77777777" w:rsidR="003310A5" w:rsidRDefault="00000000">
            <w:r>
              <w:rPr>
                <w:color w:val="C00000"/>
                <w:sz w:val="18"/>
                <w:szCs w:val="18"/>
              </w:rPr>
              <w:t>0 pts</w:t>
            </w:r>
          </w:p>
        </w:tc>
        <w:tc>
          <w:tcPr>
            <w:tcW w:w="49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327E9F5" w14:textId="77777777" w:rsidR="003310A5" w:rsidRDefault="00000000">
            <w:r>
              <w:rPr>
                <w:color w:val="000000"/>
                <w:sz w:val="20"/>
                <w:szCs w:val="20"/>
              </w:rPr>
              <w:t>"Meridian should assert comparative negligence of both Delgado and Alpine to reduce its exposure on the Section 240 claim."</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474F04" w14:textId="77777777" w:rsidR="003310A5" w:rsidRDefault="00000000">
            <w:r>
              <w:rPr>
                <w:color w:val="000000"/>
                <w:sz w:val="20"/>
                <w:szCs w:val="20"/>
              </w:rPr>
              <w:t>Directly triggers Auto-Fail 1. Comparative negligence of the worker is not a §240 defense. Catastrophically wrong strategy.</w:t>
            </w:r>
          </w:p>
        </w:tc>
      </w:tr>
      <w:tr w:rsidR="003310A5" w14:paraId="7E0CF671"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4614269A" w14:textId="77777777" w:rsidR="003310A5" w:rsidRDefault="00000000">
            <w:r>
              <w:rPr>
                <w:b/>
                <w:bCs/>
                <w:color w:val="1F3864"/>
                <w:sz w:val="20"/>
                <w:szCs w:val="20"/>
              </w:rPr>
              <w:t>INTERACTION RECOGNITION</w:t>
            </w:r>
          </w:p>
        </w:tc>
        <w:tc>
          <w:tcPr>
            <w:tcW w:w="128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0E19B6D8" w14:textId="77777777" w:rsidR="003310A5" w:rsidRDefault="00000000">
            <w:pPr>
              <w:spacing w:after="20"/>
            </w:pPr>
            <w:r>
              <w:rPr>
                <w:b/>
                <w:bCs/>
                <w:color w:val="375623"/>
                <w:sz w:val="20"/>
                <w:szCs w:val="20"/>
              </w:rPr>
              <w:t>Full Credit</w:t>
            </w:r>
          </w:p>
          <w:p w14:paraId="0B88283B" w14:textId="77777777" w:rsidR="003310A5" w:rsidRDefault="00000000">
            <w:r>
              <w:rPr>
                <w:color w:val="375623"/>
                <w:sz w:val="18"/>
                <w:szCs w:val="18"/>
              </w:rPr>
              <w:t>25 pts</w:t>
            </w:r>
          </w:p>
        </w:tc>
        <w:tc>
          <w:tcPr>
            <w:tcW w:w="49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7C15E9" w14:textId="77777777" w:rsidR="003310A5" w:rsidRDefault="00000000">
            <w:r>
              <w:rPr>
                <w:color w:val="000000"/>
                <w:sz w:val="20"/>
                <w:szCs w:val="20"/>
              </w:rPr>
              <w:t>"The combination of the failed transfer of risk and the §240 absolute liability creates a compounding problem for Thornfield. Because Coastal has disclaimed, there is no contribution from Alpine's carrier. If Thornfield then pursues its own disclaimer on misrepresentation grounds and loses that argument, it faces bad faith exposure on a $3M+ paraplegia claim where §240 guarantees Meridian owes the underlying judgment regardless. Thornfield cannot pursue disclaimer without accepting that risk."</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614126" w14:textId="77777777" w:rsidR="003310A5" w:rsidRDefault="00000000">
            <w:r>
              <w:rPr>
                <w:color w:val="000000"/>
                <w:sz w:val="20"/>
                <w:szCs w:val="20"/>
              </w:rPr>
              <w:t>Recognizes the trilemma structure — not just that issues exist, but how they interact strategically.</w:t>
            </w:r>
          </w:p>
        </w:tc>
      </w:tr>
      <w:tr w:rsidR="003310A5" w14:paraId="122DB2B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525735C3" w14:textId="77777777" w:rsidR="003310A5" w:rsidRDefault="00000000">
            <w:r>
              <w:rPr>
                <w:b/>
                <w:bCs/>
                <w:color w:val="1F3864"/>
                <w:sz w:val="20"/>
                <w:szCs w:val="20"/>
              </w:rPr>
              <w:t>INTERACTION RECOGNITION</w:t>
            </w:r>
          </w:p>
        </w:tc>
        <w:tc>
          <w:tcPr>
            <w:tcW w:w="12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76B660DD" w14:textId="77777777" w:rsidR="003310A5" w:rsidRDefault="00000000">
            <w:pPr>
              <w:spacing w:after="20"/>
            </w:pPr>
            <w:r>
              <w:rPr>
                <w:b/>
                <w:bCs/>
                <w:color w:val="7F6000"/>
                <w:sz w:val="20"/>
                <w:szCs w:val="20"/>
              </w:rPr>
              <w:t>Partial Credit</w:t>
            </w:r>
          </w:p>
          <w:p w14:paraId="4DAEF51F" w14:textId="77777777" w:rsidR="003310A5" w:rsidRDefault="00000000">
            <w:r>
              <w:rPr>
                <w:color w:val="7F6000"/>
                <w:sz w:val="18"/>
                <w:szCs w:val="18"/>
              </w:rPr>
              <w:t>13 pts</w:t>
            </w:r>
          </w:p>
        </w:tc>
        <w:tc>
          <w:tcPr>
            <w:tcW w:w="49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FE833F" w14:textId="77777777" w:rsidR="003310A5" w:rsidRDefault="00000000">
            <w:r>
              <w:rPr>
                <w:color w:val="000000"/>
                <w:sz w:val="20"/>
                <w:szCs w:val="20"/>
              </w:rPr>
              <w:t>"Alpine's insurer has disclaimed, which is a problem for Meridian's transfer of risk. Separately, Thornfield may have misrepresentation grounds."</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DFDF1AF" w14:textId="77777777" w:rsidR="003310A5" w:rsidRDefault="00000000">
            <w:r>
              <w:rPr>
                <w:color w:val="000000"/>
                <w:sz w:val="20"/>
                <w:szCs w:val="20"/>
              </w:rPr>
              <w:t>Identifies both issues but treats them independently. Misses the strategic interaction — that the disclaimer decision is riskier because of the cascade.</w:t>
            </w:r>
          </w:p>
        </w:tc>
      </w:tr>
      <w:tr w:rsidR="003310A5" w14:paraId="6BDD3B30"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7E2D34B2" w14:textId="77777777" w:rsidR="003310A5" w:rsidRDefault="00000000">
            <w:r>
              <w:rPr>
                <w:b/>
                <w:bCs/>
                <w:color w:val="1F3864"/>
                <w:sz w:val="20"/>
                <w:szCs w:val="20"/>
              </w:rPr>
              <w:t>INTERACTION RECOGNITION</w:t>
            </w:r>
          </w:p>
        </w:tc>
        <w:tc>
          <w:tcPr>
            <w:tcW w:w="1280" w:type="dxa"/>
            <w:tcBorders>
              <w:top w:val="single" w:sz="4" w:space="0" w:color="AAAAAA"/>
              <w:left w:val="single" w:sz="4" w:space="0" w:color="AAAAAA"/>
              <w:bottom w:val="single" w:sz="4" w:space="0" w:color="AAAAAA"/>
              <w:right w:val="single" w:sz="4" w:space="0" w:color="AAAAAA"/>
            </w:tcBorders>
            <w:shd w:val="clear" w:color="auto" w:fill="FFE0E0"/>
            <w:tcMar>
              <w:top w:w="80" w:type="dxa"/>
              <w:left w:w="120" w:type="dxa"/>
              <w:bottom w:w="80" w:type="dxa"/>
              <w:right w:w="120" w:type="dxa"/>
            </w:tcMar>
          </w:tcPr>
          <w:p w14:paraId="274B8F4B" w14:textId="77777777" w:rsidR="003310A5" w:rsidRDefault="00000000">
            <w:pPr>
              <w:spacing w:after="20"/>
            </w:pPr>
            <w:r>
              <w:rPr>
                <w:b/>
                <w:bCs/>
                <w:color w:val="C00000"/>
                <w:sz w:val="20"/>
                <w:szCs w:val="20"/>
              </w:rPr>
              <w:t>No Credit</w:t>
            </w:r>
          </w:p>
          <w:p w14:paraId="18C5090A" w14:textId="77777777" w:rsidR="003310A5" w:rsidRDefault="00000000">
            <w:r>
              <w:rPr>
                <w:color w:val="C00000"/>
                <w:sz w:val="18"/>
                <w:szCs w:val="18"/>
              </w:rPr>
              <w:t>0 pts</w:t>
            </w:r>
          </w:p>
        </w:tc>
        <w:tc>
          <w:tcPr>
            <w:tcW w:w="49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F88179" w14:textId="77777777" w:rsidR="003310A5" w:rsidRDefault="00000000">
            <w:r>
              <w:rPr>
                <w:color w:val="000000"/>
                <w:sz w:val="20"/>
                <w:szCs w:val="20"/>
              </w:rPr>
              <w:t>"Alpine's disclaimer is a matter between Meridian and Alpine. Thornfield should focus only on whether its own policy covers the loss."</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8BEBAE" w14:textId="77777777" w:rsidR="003310A5" w:rsidRDefault="00000000">
            <w:r>
              <w:rPr>
                <w:color w:val="000000"/>
                <w:sz w:val="20"/>
                <w:szCs w:val="20"/>
              </w:rPr>
              <w:t>Misses that the failed transfer of risk directly changes the nature and severity of Thornfield's exposure.</w:t>
            </w:r>
          </w:p>
        </w:tc>
      </w:tr>
      <w:tr w:rsidR="003310A5" w14:paraId="3A5EFA2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21349D7F" w14:textId="77777777" w:rsidR="003310A5" w:rsidRDefault="00000000">
            <w:r>
              <w:rPr>
                <w:b/>
                <w:bCs/>
                <w:color w:val="1F3864"/>
                <w:sz w:val="20"/>
                <w:szCs w:val="20"/>
              </w:rPr>
              <w:t>ACTIONABILITY</w:t>
            </w:r>
          </w:p>
        </w:tc>
        <w:tc>
          <w:tcPr>
            <w:tcW w:w="128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7A8ACAC1" w14:textId="77777777" w:rsidR="003310A5" w:rsidRDefault="00000000">
            <w:pPr>
              <w:spacing w:after="20"/>
            </w:pPr>
            <w:r>
              <w:rPr>
                <w:b/>
                <w:bCs/>
                <w:color w:val="375623"/>
                <w:sz w:val="20"/>
                <w:szCs w:val="20"/>
              </w:rPr>
              <w:t>Full Credit</w:t>
            </w:r>
          </w:p>
          <w:p w14:paraId="3991421A" w14:textId="77777777" w:rsidR="003310A5" w:rsidRDefault="00000000">
            <w:r>
              <w:rPr>
                <w:color w:val="375623"/>
                <w:sz w:val="18"/>
                <w:szCs w:val="18"/>
              </w:rPr>
              <w:t>25 pts</w:t>
            </w:r>
          </w:p>
        </w:tc>
        <w:tc>
          <w:tcPr>
            <w:tcW w:w="49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4A1C02E" w14:textId="77777777" w:rsidR="003310A5" w:rsidRDefault="00000000">
            <w:r>
              <w:rPr>
                <w:color w:val="000000"/>
                <w:sz w:val="20"/>
                <w:szCs w:val="20"/>
              </w:rPr>
              <w:t xml:space="preserve">"Thornfield should: (1) Issue a reservation of rights letter to Meridian immediately — NY Ins. Law </w:t>
            </w:r>
            <w:r>
              <w:rPr>
                <w:color w:val="000000"/>
                <w:sz w:val="20"/>
                <w:szCs w:val="20"/>
              </w:rPr>
              <w:lastRenderedPageBreak/>
              <w:t>§3420(d)(2) requires disclaimer 'as soon as reasonably possible' and delay waives the right; (2) Retain independent coverage counsel separate from defense counsel to avoid conflict; (3) Request the MTA prime contract, Alpine's full policy, and the underwriting file before making any disclaimer decision; (4) Investigate the MTA AI tender separately before confirming or declining that defense obligation."</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566B4C" w14:textId="77777777" w:rsidR="003310A5" w:rsidRDefault="00000000">
            <w:r>
              <w:rPr>
                <w:color w:val="000000"/>
                <w:sz w:val="20"/>
                <w:szCs w:val="20"/>
              </w:rPr>
              <w:lastRenderedPageBreak/>
              <w:t xml:space="preserve">Specific, sequenced action </w:t>
            </w:r>
            <w:r>
              <w:rPr>
                <w:color w:val="000000"/>
                <w:sz w:val="20"/>
                <w:szCs w:val="20"/>
              </w:rPr>
              <w:lastRenderedPageBreak/>
              <w:t>steps with statutory grounding and practical scope. Operationally usable.</w:t>
            </w:r>
          </w:p>
        </w:tc>
      </w:tr>
      <w:tr w:rsidR="003310A5" w14:paraId="5ED978BC"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68AEB4AE" w14:textId="77777777" w:rsidR="003310A5" w:rsidRDefault="00000000">
            <w:r>
              <w:rPr>
                <w:b/>
                <w:bCs/>
                <w:color w:val="1F3864"/>
                <w:sz w:val="20"/>
                <w:szCs w:val="20"/>
              </w:rPr>
              <w:t>ACTIONABILITY</w:t>
            </w:r>
          </w:p>
        </w:tc>
        <w:tc>
          <w:tcPr>
            <w:tcW w:w="128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1156583F" w14:textId="77777777" w:rsidR="003310A5" w:rsidRDefault="00000000">
            <w:pPr>
              <w:spacing w:after="20"/>
            </w:pPr>
            <w:r>
              <w:rPr>
                <w:b/>
                <w:bCs/>
                <w:color w:val="7F6000"/>
                <w:sz w:val="20"/>
                <w:szCs w:val="20"/>
              </w:rPr>
              <w:t>Partial Credit</w:t>
            </w:r>
          </w:p>
          <w:p w14:paraId="388424FB" w14:textId="77777777" w:rsidR="003310A5" w:rsidRDefault="00000000">
            <w:r>
              <w:rPr>
                <w:color w:val="7F6000"/>
                <w:sz w:val="18"/>
                <w:szCs w:val="18"/>
              </w:rPr>
              <w:t>13 pts</w:t>
            </w:r>
          </w:p>
        </w:tc>
        <w:tc>
          <w:tcPr>
            <w:tcW w:w="49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8B7E96" w14:textId="77777777" w:rsidR="003310A5" w:rsidRDefault="00000000">
            <w:r>
              <w:rPr>
                <w:color w:val="000000"/>
                <w:sz w:val="20"/>
                <w:szCs w:val="20"/>
              </w:rPr>
              <w:t>"Thornfield should issue a reservation of rights letter and consult with a coverage attorney before taking any position."</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840C52" w14:textId="77777777" w:rsidR="003310A5" w:rsidRDefault="00000000">
            <w:r>
              <w:rPr>
                <w:color w:val="000000"/>
                <w:sz w:val="20"/>
                <w:szCs w:val="20"/>
              </w:rPr>
              <w:t>Directionally correct but no sequencing, no statutory citation, no scope of investigation — too general to guide real action.</w:t>
            </w:r>
          </w:p>
        </w:tc>
      </w:tr>
      <w:tr w:rsidR="003310A5" w14:paraId="05F340C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57F9A10F" w14:textId="77777777" w:rsidR="003310A5" w:rsidRDefault="00000000">
            <w:r>
              <w:rPr>
                <w:b/>
                <w:bCs/>
                <w:color w:val="1F3864"/>
                <w:sz w:val="20"/>
                <w:szCs w:val="20"/>
              </w:rPr>
              <w:t>ACTIONABILITY</w:t>
            </w:r>
          </w:p>
        </w:tc>
        <w:tc>
          <w:tcPr>
            <w:tcW w:w="1280" w:type="dxa"/>
            <w:tcBorders>
              <w:top w:val="single" w:sz="4" w:space="0" w:color="AAAAAA"/>
              <w:left w:val="single" w:sz="4" w:space="0" w:color="AAAAAA"/>
              <w:bottom w:val="single" w:sz="4" w:space="0" w:color="AAAAAA"/>
              <w:right w:val="single" w:sz="4" w:space="0" w:color="AAAAAA"/>
            </w:tcBorders>
            <w:shd w:val="clear" w:color="auto" w:fill="FFE0E0"/>
            <w:tcMar>
              <w:top w:w="80" w:type="dxa"/>
              <w:left w:w="120" w:type="dxa"/>
              <w:bottom w:w="80" w:type="dxa"/>
              <w:right w:w="120" w:type="dxa"/>
            </w:tcMar>
          </w:tcPr>
          <w:p w14:paraId="1EA49158" w14:textId="77777777" w:rsidR="003310A5" w:rsidRDefault="00000000">
            <w:pPr>
              <w:spacing w:after="20"/>
            </w:pPr>
            <w:r>
              <w:rPr>
                <w:b/>
                <w:bCs/>
                <w:color w:val="C00000"/>
                <w:sz w:val="20"/>
                <w:szCs w:val="20"/>
              </w:rPr>
              <w:t>No Credit</w:t>
            </w:r>
          </w:p>
          <w:p w14:paraId="2A68AF18" w14:textId="77777777" w:rsidR="003310A5" w:rsidRDefault="00000000">
            <w:r>
              <w:rPr>
                <w:color w:val="C00000"/>
                <w:sz w:val="18"/>
                <w:szCs w:val="18"/>
              </w:rPr>
              <w:t>0 pts</w:t>
            </w:r>
          </w:p>
        </w:tc>
        <w:tc>
          <w:tcPr>
            <w:tcW w:w="49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D11E232" w14:textId="77777777" w:rsidR="003310A5" w:rsidRDefault="00000000">
            <w:r>
              <w:rPr>
                <w:color w:val="000000"/>
                <w:sz w:val="20"/>
                <w:szCs w:val="20"/>
              </w:rPr>
              <w:t>"Thornfield should disclaim coverage immediately based on the misrepresentations and inform Meridian it must retain its own defense counsel."</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1F4DAB" w14:textId="77777777" w:rsidR="003310A5" w:rsidRDefault="00000000">
            <w:r>
              <w:rPr>
                <w:color w:val="000000"/>
                <w:sz w:val="20"/>
                <w:szCs w:val="20"/>
              </w:rPr>
              <w:t>Actionable but wrong sequence — immediate disclaimer without ROR, without investigation, and without considering §3420(d)(2) timeliness obligations is the wrong approach and increases bad faith exposure.</w:t>
            </w:r>
          </w:p>
        </w:tc>
      </w:tr>
    </w:tbl>
    <w:p w14:paraId="60082FB0" w14:textId="77777777" w:rsidR="003310A5" w:rsidRDefault="003310A5">
      <w:pPr>
        <w:spacing w:after="240"/>
      </w:pPr>
    </w:p>
    <w:p w14:paraId="351A6247" w14:textId="77777777" w:rsidR="003310A5" w:rsidRDefault="00000000">
      <w:pPr>
        <w:pStyle w:val="Heading2"/>
      </w:pPr>
      <w:proofErr w:type="gramStart"/>
      <w:r>
        <w:t>5.3  Automatic</w:t>
      </w:r>
      <w:proofErr w:type="gramEnd"/>
      <w:r>
        <w:t xml:space="preserve"> Failure Triggers</w:t>
      </w:r>
    </w:p>
    <w:p w14:paraId="50390CD7" w14:textId="77777777" w:rsidR="003310A5" w:rsidRDefault="00000000">
      <w:pPr>
        <w:spacing w:after="120"/>
      </w:pPr>
      <w:r>
        <w:rPr>
          <w:color w:val="000000"/>
        </w:rPr>
        <w:t>Any of the following constitutes an automatic failure for the query in which it occurs, regardless of score on other dimensions. The query receives a score of 0 and is flagged as a critical system failure.</w:t>
      </w:r>
    </w:p>
    <w:p w14:paraId="37AE8626" w14:textId="77777777" w:rsidR="003310A5" w:rsidRDefault="003310A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
        <w:gridCol w:w="3600"/>
        <w:gridCol w:w="4800"/>
      </w:tblGrid>
      <w:tr w:rsidR="003310A5" w14:paraId="08282B75" w14:textId="77777777">
        <w:tblPrEx>
          <w:tblCellMar>
            <w:top w:w="0" w:type="dxa"/>
            <w:bottom w:w="0" w:type="dxa"/>
          </w:tblCellMar>
        </w:tblPrEx>
        <w:trPr>
          <w:tblHeader/>
        </w:trPr>
        <w:tc>
          <w:tcPr>
            <w:tcW w:w="9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D5D24D0" w14:textId="77777777" w:rsidR="003310A5" w:rsidRDefault="00000000">
            <w:pPr>
              <w:jc w:val="center"/>
            </w:pPr>
            <w:r>
              <w:rPr>
                <w:b/>
                <w:bCs/>
                <w:color w:val="FFFFFF"/>
                <w:sz w:val="20"/>
                <w:szCs w:val="20"/>
              </w:rPr>
              <w:t>#</w:t>
            </w:r>
          </w:p>
        </w:tc>
        <w:tc>
          <w:tcPr>
            <w:tcW w:w="36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95A2491" w14:textId="77777777" w:rsidR="003310A5" w:rsidRDefault="00000000">
            <w:pPr>
              <w:jc w:val="center"/>
            </w:pPr>
            <w:r>
              <w:rPr>
                <w:b/>
                <w:bCs/>
                <w:color w:val="FFFFFF"/>
                <w:sz w:val="20"/>
                <w:szCs w:val="20"/>
              </w:rPr>
              <w:t>Auto-Fail Trigger</w:t>
            </w:r>
          </w:p>
        </w:tc>
        <w:tc>
          <w:tcPr>
            <w:tcW w:w="48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239A2D2" w14:textId="77777777" w:rsidR="003310A5" w:rsidRDefault="00000000">
            <w:pPr>
              <w:jc w:val="center"/>
            </w:pPr>
            <w:r>
              <w:rPr>
                <w:b/>
                <w:bCs/>
                <w:color w:val="FFFFFF"/>
                <w:sz w:val="20"/>
                <w:szCs w:val="20"/>
              </w:rPr>
              <w:t>Why It Disqualifies</w:t>
            </w:r>
          </w:p>
        </w:tc>
      </w:tr>
      <w:tr w:rsidR="003310A5" w14:paraId="63DA0A51" w14:textId="77777777">
        <w:tblPrEx>
          <w:tblCellMar>
            <w:top w:w="0" w:type="dxa"/>
            <w:bottom w:w="0" w:type="dxa"/>
          </w:tblCellMar>
        </w:tblPrEx>
        <w:tc>
          <w:tcPr>
            <w:tcW w:w="960" w:type="dxa"/>
            <w:tcBorders>
              <w:top w:val="single" w:sz="4" w:space="0" w:color="C00000"/>
              <w:left w:val="single" w:sz="4" w:space="0" w:color="C00000"/>
              <w:bottom w:val="single" w:sz="4" w:space="0" w:color="C00000"/>
              <w:right w:val="single" w:sz="4" w:space="0" w:color="C00000"/>
            </w:tcBorders>
            <w:shd w:val="clear" w:color="auto" w:fill="FFE0E0"/>
            <w:tcMar>
              <w:top w:w="80" w:type="dxa"/>
              <w:left w:w="120" w:type="dxa"/>
              <w:bottom w:w="80" w:type="dxa"/>
              <w:right w:w="120" w:type="dxa"/>
            </w:tcMar>
          </w:tcPr>
          <w:p w14:paraId="0817E0D4" w14:textId="77777777" w:rsidR="003310A5" w:rsidRDefault="00000000">
            <w:r>
              <w:rPr>
                <w:b/>
                <w:bCs/>
                <w:color w:val="C00000"/>
                <w:sz w:val="20"/>
                <w:szCs w:val="20"/>
              </w:rPr>
              <w:t>AF-1</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18D6C5" w14:textId="77777777" w:rsidR="003310A5" w:rsidRDefault="00000000">
            <w:r>
              <w:rPr>
                <w:b/>
                <w:bCs/>
                <w:color w:val="000000"/>
                <w:sz w:val="20"/>
                <w:szCs w:val="20"/>
              </w:rPr>
              <w:t>System states or implies Meridian can assert comparative negligence of the injured worker as a complete §240(1) defense.</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F40E6C" w14:textId="77777777" w:rsidR="003310A5" w:rsidRDefault="00000000">
            <w:r>
              <w:rPr>
                <w:color w:val="000000"/>
                <w:sz w:val="20"/>
                <w:szCs w:val="20"/>
              </w:rPr>
              <w:t xml:space="preserve">§240(1) is absolute liability. Comparative fault of the worker is not a defense unless the worker was the sole proximate cause — an entirely different and much narrower standard. Suggesting a comparative fault </w:t>
            </w:r>
            <w:r>
              <w:rPr>
                <w:color w:val="000000"/>
                <w:sz w:val="20"/>
                <w:szCs w:val="20"/>
              </w:rPr>
              <w:lastRenderedPageBreak/>
              <w:t>defense would produce a catastrophically wrong coverage and litigation strategy.</w:t>
            </w:r>
          </w:p>
        </w:tc>
      </w:tr>
      <w:tr w:rsidR="003310A5" w14:paraId="6FBF48FF" w14:textId="77777777">
        <w:tblPrEx>
          <w:tblCellMar>
            <w:top w:w="0" w:type="dxa"/>
            <w:bottom w:w="0" w:type="dxa"/>
          </w:tblCellMar>
        </w:tblPrEx>
        <w:tc>
          <w:tcPr>
            <w:tcW w:w="960" w:type="dxa"/>
            <w:tcBorders>
              <w:top w:val="single" w:sz="4" w:space="0" w:color="C00000"/>
              <w:left w:val="single" w:sz="4" w:space="0" w:color="C00000"/>
              <w:bottom w:val="single" w:sz="4" w:space="0" w:color="C00000"/>
              <w:right w:val="single" w:sz="4" w:space="0" w:color="C00000"/>
            </w:tcBorders>
            <w:shd w:val="clear" w:color="auto" w:fill="FFE0E0"/>
            <w:tcMar>
              <w:top w:w="80" w:type="dxa"/>
              <w:left w:w="120" w:type="dxa"/>
              <w:bottom w:w="80" w:type="dxa"/>
              <w:right w:w="120" w:type="dxa"/>
            </w:tcMar>
          </w:tcPr>
          <w:p w14:paraId="3ECAB166" w14:textId="77777777" w:rsidR="003310A5" w:rsidRDefault="00000000">
            <w:r>
              <w:rPr>
                <w:b/>
                <w:bCs/>
                <w:color w:val="C00000"/>
                <w:sz w:val="20"/>
                <w:szCs w:val="20"/>
              </w:rPr>
              <w:lastRenderedPageBreak/>
              <w:t>AF-2</w:t>
            </w:r>
          </w:p>
        </w:tc>
        <w:tc>
          <w:tcPr>
            <w:tcW w:w="36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tcPr>
          <w:p w14:paraId="01046615" w14:textId="77777777" w:rsidR="003310A5" w:rsidRDefault="00000000">
            <w:r>
              <w:rPr>
                <w:b/>
                <w:bCs/>
                <w:color w:val="000000"/>
                <w:sz w:val="20"/>
                <w:szCs w:val="20"/>
              </w:rPr>
              <w:t>System treats the ACORD 25 Certificate of Insurance as confirmation that Alpine's policy adequately covers the loss.</w:t>
            </w:r>
          </w:p>
        </w:tc>
        <w:tc>
          <w:tcPr>
            <w:tcW w:w="48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tcPr>
          <w:p w14:paraId="20CCE6CF" w14:textId="77777777" w:rsidR="003310A5" w:rsidRDefault="00000000">
            <w:r>
              <w:rPr>
                <w:color w:val="000000"/>
                <w:sz w:val="20"/>
                <w:szCs w:val="20"/>
              </w:rPr>
              <w:t>Certificates cannot and do not reflect exclusions. An AI system advising a carrier based on certificate face language — without flagging the need for actual policy review — fails at a foundational insurance operations competency.</w:t>
            </w:r>
          </w:p>
        </w:tc>
      </w:tr>
      <w:tr w:rsidR="003310A5" w14:paraId="05A5938F" w14:textId="77777777">
        <w:tblPrEx>
          <w:tblCellMar>
            <w:top w:w="0" w:type="dxa"/>
            <w:bottom w:w="0" w:type="dxa"/>
          </w:tblCellMar>
        </w:tblPrEx>
        <w:tc>
          <w:tcPr>
            <w:tcW w:w="960" w:type="dxa"/>
            <w:tcBorders>
              <w:top w:val="single" w:sz="4" w:space="0" w:color="C00000"/>
              <w:left w:val="single" w:sz="4" w:space="0" w:color="C00000"/>
              <w:bottom w:val="single" w:sz="4" w:space="0" w:color="C00000"/>
              <w:right w:val="single" w:sz="4" w:space="0" w:color="C00000"/>
            </w:tcBorders>
            <w:shd w:val="clear" w:color="auto" w:fill="FFE0E0"/>
            <w:tcMar>
              <w:top w:w="80" w:type="dxa"/>
              <w:left w:w="120" w:type="dxa"/>
              <w:bottom w:w="80" w:type="dxa"/>
              <w:right w:w="120" w:type="dxa"/>
            </w:tcMar>
          </w:tcPr>
          <w:p w14:paraId="18605404" w14:textId="77777777" w:rsidR="003310A5" w:rsidRDefault="00000000">
            <w:r>
              <w:rPr>
                <w:b/>
                <w:bCs/>
                <w:color w:val="C00000"/>
                <w:sz w:val="20"/>
                <w:szCs w:val="20"/>
              </w:rPr>
              <w:t>AF-3</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83D26D" w14:textId="77777777" w:rsidR="003310A5" w:rsidRDefault="00000000">
            <w:r>
              <w:rPr>
                <w:b/>
                <w:bCs/>
                <w:color w:val="000000"/>
                <w:sz w:val="20"/>
                <w:szCs w:val="20"/>
              </w:rPr>
              <w:t xml:space="preserve">System conflates disclaimer with </w:t>
            </w:r>
            <w:proofErr w:type="gramStart"/>
            <w:r>
              <w:rPr>
                <w:b/>
                <w:bCs/>
                <w:color w:val="000000"/>
                <w:sz w:val="20"/>
                <w:szCs w:val="20"/>
              </w:rPr>
              <w:t>rescission, or</w:t>
            </w:r>
            <w:proofErr w:type="gramEnd"/>
            <w:r>
              <w:rPr>
                <w:b/>
                <w:bCs/>
                <w:color w:val="000000"/>
                <w:sz w:val="20"/>
                <w:szCs w:val="20"/>
              </w:rPr>
              <w:t xml:space="preserve"> advises rescission as a first-step equivalent to disclaimer.</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2C898C" w14:textId="77777777" w:rsidR="003310A5" w:rsidRDefault="00000000">
            <w:r>
              <w:rPr>
                <w:color w:val="000000"/>
                <w:sz w:val="20"/>
                <w:szCs w:val="20"/>
              </w:rPr>
              <w:t>Disclaimer applies to a specific claim. Rescission voids the entire policy ab initio and requires return of premium. Treating these as equivalent or interchangeable is legally incorrect and strategically dangerous.</w:t>
            </w:r>
          </w:p>
        </w:tc>
      </w:tr>
      <w:tr w:rsidR="003310A5" w14:paraId="15B8D294" w14:textId="77777777">
        <w:tblPrEx>
          <w:tblCellMar>
            <w:top w:w="0" w:type="dxa"/>
            <w:bottom w:w="0" w:type="dxa"/>
          </w:tblCellMar>
        </w:tblPrEx>
        <w:tc>
          <w:tcPr>
            <w:tcW w:w="960" w:type="dxa"/>
            <w:tcBorders>
              <w:top w:val="single" w:sz="4" w:space="0" w:color="C00000"/>
              <w:left w:val="single" w:sz="4" w:space="0" w:color="C00000"/>
              <w:bottom w:val="single" w:sz="4" w:space="0" w:color="C00000"/>
              <w:right w:val="single" w:sz="4" w:space="0" w:color="C00000"/>
            </w:tcBorders>
            <w:shd w:val="clear" w:color="auto" w:fill="FFE0E0"/>
            <w:tcMar>
              <w:top w:w="80" w:type="dxa"/>
              <w:left w:w="120" w:type="dxa"/>
              <w:bottom w:w="80" w:type="dxa"/>
              <w:right w:w="120" w:type="dxa"/>
            </w:tcMar>
          </w:tcPr>
          <w:p w14:paraId="3C1A844E" w14:textId="77777777" w:rsidR="003310A5" w:rsidRDefault="00000000">
            <w:r>
              <w:rPr>
                <w:b/>
                <w:bCs/>
                <w:color w:val="C00000"/>
                <w:sz w:val="20"/>
                <w:szCs w:val="20"/>
              </w:rPr>
              <w:t>AF-4</w:t>
            </w:r>
          </w:p>
        </w:tc>
        <w:tc>
          <w:tcPr>
            <w:tcW w:w="36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tcPr>
          <w:p w14:paraId="60527661" w14:textId="77777777" w:rsidR="003310A5" w:rsidRDefault="00000000">
            <w:r>
              <w:rPr>
                <w:b/>
                <w:bCs/>
                <w:color w:val="000000"/>
                <w:sz w:val="20"/>
                <w:szCs w:val="20"/>
              </w:rPr>
              <w:t>System affirms that Alpine's negligence as a subcontractor insulates Meridian from §240 liability.</w:t>
            </w:r>
          </w:p>
        </w:tc>
        <w:tc>
          <w:tcPr>
            <w:tcW w:w="48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tcPr>
          <w:p w14:paraId="56946378" w14:textId="77777777" w:rsidR="003310A5" w:rsidRDefault="00000000">
            <w:r>
              <w:rPr>
                <w:color w:val="000000"/>
                <w:sz w:val="20"/>
                <w:szCs w:val="20"/>
              </w:rPr>
              <w:t>The §240 duty is non-delegable by statute. A GC cannot contract away its absolute liability to a sub, even a negligent one. This is settled NY Court of Appeals law.</w:t>
            </w:r>
          </w:p>
        </w:tc>
      </w:tr>
      <w:tr w:rsidR="003310A5" w14:paraId="035BBA74" w14:textId="77777777">
        <w:tblPrEx>
          <w:tblCellMar>
            <w:top w:w="0" w:type="dxa"/>
            <w:bottom w:w="0" w:type="dxa"/>
          </w:tblCellMar>
        </w:tblPrEx>
        <w:tc>
          <w:tcPr>
            <w:tcW w:w="960" w:type="dxa"/>
            <w:tcBorders>
              <w:top w:val="single" w:sz="4" w:space="0" w:color="C00000"/>
              <w:left w:val="single" w:sz="4" w:space="0" w:color="C00000"/>
              <w:bottom w:val="single" w:sz="4" w:space="0" w:color="C00000"/>
              <w:right w:val="single" w:sz="4" w:space="0" w:color="C00000"/>
            </w:tcBorders>
            <w:shd w:val="clear" w:color="auto" w:fill="FFE0E0"/>
            <w:tcMar>
              <w:top w:w="80" w:type="dxa"/>
              <w:left w:w="120" w:type="dxa"/>
              <w:bottom w:w="80" w:type="dxa"/>
              <w:right w:w="120" w:type="dxa"/>
            </w:tcMar>
          </w:tcPr>
          <w:p w14:paraId="6E734564" w14:textId="77777777" w:rsidR="003310A5" w:rsidRDefault="00000000">
            <w:r>
              <w:rPr>
                <w:b/>
                <w:bCs/>
                <w:color w:val="C00000"/>
                <w:sz w:val="20"/>
                <w:szCs w:val="20"/>
              </w:rPr>
              <w:t>AF-5</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39EE0F" w14:textId="77777777" w:rsidR="003310A5" w:rsidRDefault="00000000">
            <w:r>
              <w:rPr>
                <w:b/>
                <w:bCs/>
                <w:color w:val="000000"/>
                <w:sz w:val="20"/>
                <w:szCs w:val="20"/>
              </w:rPr>
              <w:t>System fails to identify any timeliness obligation under NY Insurance Law §3420(d)(2) when analyzing the coverage disclaimer question.</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6EA278" w14:textId="77777777" w:rsidR="003310A5" w:rsidRDefault="00000000">
            <w:r>
              <w:rPr>
                <w:color w:val="000000"/>
                <w:sz w:val="20"/>
                <w:szCs w:val="20"/>
              </w:rPr>
              <w:t>Late disclaimer in New York waives coverage defenses even where valid grounds exist. Omitting this entirely is a critical claims handling failure with direct financial consequences for the carrier.</w:t>
            </w:r>
          </w:p>
        </w:tc>
      </w:tr>
      <w:tr w:rsidR="003310A5" w14:paraId="1D7FDC90" w14:textId="77777777">
        <w:tblPrEx>
          <w:tblCellMar>
            <w:top w:w="0" w:type="dxa"/>
            <w:bottom w:w="0" w:type="dxa"/>
          </w:tblCellMar>
        </w:tblPrEx>
        <w:tc>
          <w:tcPr>
            <w:tcW w:w="960" w:type="dxa"/>
            <w:tcBorders>
              <w:top w:val="single" w:sz="4" w:space="0" w:color="C00000"/>
              <w:left w:val="single" w:sz="4" w:space="0" w:color="C00000"/>
              <w:bottom w:val="single" w:sz="4" w:space="0" w:color="C00000"/>
              <w:right w:val="single" w:sz="4" w:space="0" w:color="C00000"/>
            </w:tcBorders>
            <w:shd w:val="clear" w:color="auto" w:fill="FFE0E0"/>
            <w:tcMar>
              <w:top w:w="80" w:type="dxa"/>
              <w:left w:w="120" w:type="dxa"/>
              <w:bottom w:w="80" w:type="dxa"/>
              <w:right w:w="120" w:type="dxa"/>
            </w:tcMar>
          </w:tcPr>
          <w:p w14:paraId="710C93FC" w14:textId="77777777" w:rsidR="003310A5" w:rsidRDefault="00000000">
            <w:r>
              <w:rPr>
                <w:b/>
                <w:bCs/>
                <w:color w:val="C00000"/>
                <w:sz w:val="20"/>
                <w:szCs w:val="20"/>
              </w:rPr>
              <w:t>AF-6</w:t>
            </w:r>
          </w:p>
        </w:tc>
        <w:tc>
          <w:tcPr>
            <w:tcW w:w="36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tcPr>
          <w:p w14:paraId="0A960BF5" w14:textId="77777777" w:rsidR="003310A5" w:rsidRDefault="00000000">
            <w:r>
              <w:rPr>
                <w:b/>
                <w:bCs/>
                <w:color w:val="000000"/>
                <w:sz w:val="20"/>
                <w:szCs w:val="20"/>
              </w:rPr>
              <w:t>System fabricates policy language, endorsement form numbers, or statutory citations that do not exist.</w:t>
            </w:r>
          </w:p>
        </w:tc>
        <w:tc>
          <w:tcPr>
            <w:tcW w:w="48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tcPr>
          <w:p w14:paraId="39556E93" w14:textId="77777777" w:rsidR="003310A5" w:rsidRDefault="00000000">
            <w:r>
              <w:rPr>
                <w:color w:val="000000"/>
                <w:sz w:val="20"/>
                <w:szCs w:val="20"/>
              </w:rPr>
              <w:t>Hallucinated authority is immediately disqualifying. A carrier relying on fabricated citations faces direct bad faith exposure and professional liability risk.</w:t>
            </w:r>
          </w:p>
        </w:tc>
      </w:tr>
    </w:tbl>
    <w:p w14:paraId="4D3D4E03" w14:textId="77777777" w:rsidR="003310A5" w:rsidRDefault="003310A5">
      <w:pPr>
        <w:spacing w:after="240"/>
      </w:pPr>
    </w:p>
    <w:p w14:paraId="43E6B0CA" w14:textId="77777777" w:rsidR="003310A5" w:rsidRDefault="00000000">
      <w:pPr>
        <w:pStyle w:val="Heading2"/>
      </w:pPr>
      <w:proofErr w:type="gramStart"/>
      <w:r>
        <w:t>5.4  Query</w:t>
      </w:r>
      <w:proofErr w:type="gramEnd"/>
      <w:r>
        <w:t xml:space="preserve"> 7 — Integration Scoring Detail</w:t>
      </w:r>
    </w:p>
    <w:p w14:paraId="04191E36" w14:textId="77777777" w:rsidR="003310A5" w:rsidRDefault="00000000">
      <w:pPr>
        <w:spacing w:after="120"/>
      </w:pPr>
      <w:r>
        <w:rPr>
          <w:color w:val="000000"/>
        </w:rPr>
        <w:t>Query 7 presents all facts simultaneously and requires synthesis across all prior issues. It is scored on the standard 100-point scale but evaluated against a more detailed set of required outputs reflecting the integration demand. All four dimensions apply at 25 points each.</w:t>
      </w:r>
    </w:p>
    <w:p w14:paraId="52A8B583" w14:textId="77777777" w:rsidR="003310A5" w:rsidRDefault="003310A5">
      <w:pPr>
        <w:spacing w:after="120"/>
      </w:pPr>
    </w:p>
    <w:p w14:paraId="2D484FC3" w14:textId="77777777" w:rsidR="003310A5" w:rsidRDefault="00000000">
      <w:pPr>
        <w:pStyle w:val="Heading3"/>
      </w:pPr>
      <w:r>
        <w:t>Detection (25 points)</w:t>
      </w:r>
    </w:p>
    <w:p w14:paraId="4A28B844" w14:textId="77777777" w:rsidR="003310A5" w:rsidRDefault="00000000">
      <w:pPr>
        <w:spacing w:after="120"/>
      </w:pPr>
      <w:r>
        <w:rPr>
          <w:color w:val="000000"/>
        </w:rPr>
        <w:t xml:space="preserve">System must proactively identify </w:t>
      </w:r>
      <w:proofErr w:type="gramStart"/>
      <w:r>
        <w:rPr>
          <w:color w:val="000000"/>
        </w:rPr>
        <w:t>all of</w:t>
      </w:r>
      <w:proofErr w:type="gramEnd"/>
      <w:r>
        <w:rPr>
          <w:color w:val="000000"/>
        </w:rPr>
        <w:t xml:space="preserve"> the following without being prompted:</w:t>
      </w:r>
    </w:p>
    <w:p w14:paraId="1731ED09" w14:textId="77777777" w:rsidR="003310A5" w:rsidRDefault="00000000">
      <w:pPr>
        <w:pStyle w:val="ListParagraph"/>
        <w:numPr>
          <w:ilvl w:val="0"/>
          <w:numId w:val="2"/>
        </w:numPr>
        <w:spacing w:after="80"/>
      </w:pPr>
      <w:r>
        <w:rPr>
          <w:color w:val="000000"/>
        </w:rPr>
        <w:t>Affirmative misrepresentation on the NY Labor Law supplemental questionnaire</w:t>
      </w:r>
    </w:p>
    <w:p w14:paraId="715F2E0F" w14:textId="77777777" w:rsidR="003310A5" w:rsidRDefault="00000000">
      <w:pPr>
        <w:pStyle w:val="ListParagraph"/>
        <w:numPr>
          <w:ilvl w:val="0"/>
          <w:numId w:val="2"/>
        </w:numPr>
        <w:spacing w:after="80"/>
      </w:pPr>
      <w:r>
        <w:rPr>
          <w:color w:val="000000"/>
        </w:rPr>
        <w:t>Material omission of Alpine from the subcontractor schedule</w:t>
      </w:r>
    </w:p>
    <w:p w14:paraId="6B76F3B3" w14:textId="77777777" w:rsidR="003310A5" w:rsidRDefault="00000000">
      <w:pPr>
        <w:pStyle w:val="ListParagraph"/>
        <w:numPr>
          <w:ilvl w:val="0"/>
          <w:numId w:val="2"/>
        </w:numPr>
        <w:spacing w:after="80"/>
      </w:pPr>
      <w:r>
        <w:rPr>
          <w:color w:val="000000"/>
        </w:rPr>
        <w:t xml:space="preserve">Sub's height exclusion voids the transfer of risk — </w:t>
      </w:r>
      <w:proofErr w:type="spellStart"/>
      <w:r>
        <w:rPr>
          <w:color w:val="000000"/>
        </w:rPr>
        <w:t>Coastal's</w:t>
      </w:r>
      <w:proofErr w:type="spellEnd"/>
      <w:r>
        <w:rPr>
          <w:color w:val="000000"/>
        </w:rPr>
        <w:t xml:space="preserve"> disclaimer is valid</w:t>
      </w:r>
    </w:p>
    <w:p w14:paraId="4D701CC7" w14:textId="77777777" w:rsidR="003310A5" w:rsidRDefault="00000000">
      <w:pPr>
        <w:pStyle w:val="ListParagraph"/>
        <w:numPr>
          <w:ilvl w:val="0"/>
          <w:numId w:val="2"/>
        </w:numPr>
        <w:spacing w:after="80"/>
      </w:pPr>
      <w:r>
        <w:rPr>
          <w:color w:val="000000"/>
        </w:rPr>
        <w:t>§240(1) absolute liability standard and its implications for Meridian's defense</w:t>
      </w:r>
    </w:p>
    <w:p w14:paraId="610CD6C8" w14:textId="77777777" w:rsidR="003310A5" w:rsidRDefault="00000000">
      <w:pPr>
        <w:pStyle w:val="ListParagraph"/>
        <w:numPr>
          <w:ilvl w:val="0"/>
          <w:numId w:val="2"/>
        </w:numPr>
        <w:spacing w:after="80"/>
      </w:pPr>
      <w:r>
        <w:rPr>
          <w:color w:val="000000"/>
        </w:rPr>
        <w:t>MTA additional insured tender and the blanket AI endorsement scope question</w:t>
      </w:r>
    </w:p>
    <w:p w14:paraId="4498A45A" w14:textId="77777777" w:rsidR="003310A5" w:rsidRDefault="00000000">
      <w:pPr>
        <w:pStyle w:val="ListParagraph"/>
        <w:numPr>
          <w:ilvl w:val="0"/>
          <w:numId w:val="2"/>
        </w:numPr>
        <w:spacing w:after="80"/>
      </w:pPr>
      <w:r>
        <w:rPr>
          <w:color w:val="000000"/>
        </w:rPr>
        <w:t xml:space="preserve">Timeliness obligations triggered by Thornfield's January 15, </w:t>
      </w:r>
      <w:proofErr w:type="gramStart"/>
      <w:r>
        <w:rPr>
          <w:color w:val="000000"/>
        </w:rPr>
        <w:t>2026</w:t>
      </w:r>
      <w:proofErr w:type="gramEnd"/>
      <w:r>
        <w:rPr>
          <w:color w:val="000000"/>
        </w:rPr>
        <w:t xml:space="preserve"> receipt of the complaint</w:t>
      </w:r>
    </w:p>
    <w:p w14:paraId="44F0609D" w14:textId="12220740" w:rsidR="003310A5" w:rsidRDefault="00000000" w:rsidP="00103D15">
      <w:pPr>
        <w:pStyle w:val="ListParagraph"/>
        <w:numPr>
          <w:ilvl w:val="0"/>
          <w:numId w:val="2"/>
        </w:numPr>
        <w:spacing w:after="80"/>
      </w:pPr>
      <w:r>
        <w:rPr>
          <w:color w:val="000000"/>
        </w:rPr>
        <w:t>$500K completed operations sublimit as a potential limit reduction argument</w:t>
      </w:r>
    </w:p>
    <w:p w14:paraId="54B74BD0" w14:textId="77777777" w:rsidR="003310A5" w:rsidRDefault="00000000">
      <w:pPr>
        <w:pStyle w:val="Heading3"/>
      </w:pPr>
      <w:r>
        <w:lastRenderedPageBreak/>
        <w:t>Rule Application (25 points)</w:t>
      </w:r>
    </w:p>
    <w:p w14:paraId="16E4502B" w14:textId="77777777" w:rsidR="003310A5" w:rsidRDefault="00000000">
      <w:pPr>
        <w:spacing w:after="120"/>
      </w:pPr>
      <w:r>
        <w:rPr>
          <w:color w:val="000000"/>
        </w:rPr>
        <w:t>System must correctly apply:</w:t>
      </w:r>
    </w:p>
    <w:p w14:paraId="4FE440C9" w14:textId="77777777" w:rsidR="003310A5" w:rsidRDefault="00000000">
      <w:pPr>
        <w:pStyle w:val="ListParagraph"/>
        <w:numPr>
          <w:ilvl w:val="0"/>
          <w:numId w:val="2"/>
        </w:numPr>
        <w:spacing w:after="80"/>
      </w:pPr>
      <w:r>
        <w:rPr>
          <w:color w:val="000000"/>
        </w:rPr>
        <w:t>§240(1) absolute liability — no comparative fault defense; sole proximate cause is the only defense</w:t>
      </w:r>
    </w:p>
    <w:p w14:paraId="02963D95" w14:textId="77777777" w:rsidR="003310A5" w:rsidRDefault="00000000">
      <w:pPr>
        <w:pStyle w:val="ListParagraph"/>
        <w:numPr>
          <w:ilvl w:val="0"/>
          <w:numId w:val="2"/>
        </w:numPr>
        <w:spacing w:after="80"/>
      </w:pPr>
      <w:r>
        <w:rPr>
          <w:color w:val="000000"/>
        </w:rPr>
        <w:t>NY Ins. Law §3105 — both falsity and materiality must be established; affirmative false answer is stronger than omission</w:t>
      </w:r>
    </w:p>
    <w:p w14:paraId="58C53972" w14:textId="77777777" w:rsidR="003310A5" w:rsidRDefault="00000000">
      <w:pPr>
        <w:pStyle w:val="ListParagraph"/>
        <w:numPr>
          <w:ilvl w:val="0"/>
          <w:numId w:val="2"/>
        </w:numPr>
        <w:spacing w:after="80"/>
      </w:pPr>
      <w:r>
        <w:rPr>
          <w:color w:val="000000"/>
        </w:rPr>
        <w:t>NY Ins. Law §3420(d)(2) — 'as soon as reasonably possible' timeliness standard from January 15, 2026</w:t>
      </w:r>
    </w:p>
    <w:p w14:paraId="2139ACB9" w14:textId="77777777" w:rsidR="003310A5" w:rsidRDefault="00000000">
      <w:pPr>
        <w:pStyle w:val="ListParagraph"/>
        <w:numPr>
          <w:ilvl w:val="0"/>
          <w:numId w:val="2"/>
        </w:numPr>
        <w:spacing w:after="80"/>
      </w:pPr>
      <w:r>
        <w:rPr>
          <w:color w:val="000000"/>
        </w:rPr>
        <w:t>CGL duty to defend — broader than duty to indemnify; triggered by potentially covered allegations in the complaint</w:t>
      </w:r>
    </w:p>
    <w:p w14:paraId="3CA40BAD" w14:textId="77777777" w:rsidR="003310A5" w:rsidRDefault="00000000">
      <w:pPr>
        <w:pStyle w:val="ListParagraph"/>
        <w:numPr>
          <w:ilvl w:val="0"/>
          <w:numId w:val="2"/>
        </w:numPr>
        <w:spacing w:after="80"/>
      </w:pPr>
      <w:r>
        <w:rPr>
          <w:color w:val="000000"/>
        </w:rPr>
        <w:t>Blanket AI endorsement scope — whether the MTA qualifies under the blanket form or requires scheduled endorsement</w:t>
      </w:r>
    </w:p>
    <w:p w14:paraId="7C60B6D9" w14:textId="77777777" w:rsidR="003310A5" w:rsidRDefault="003310A5">
      <w:pPr>
        <w:spacing w:after="120"/>
      </w:pPr>
    </w:p>
    <w:p w14:paraId="25539C38" w14:textId="77777777" w:rsidR="003310A5" w:rsidRDefault="00000000">
      <w:pPr>
        <w:pStyle w:val="Heading3"/>
      </w:pPr>
      <w:r>
        <w:t>Interaction Recognition (25 points)</w:t>
      </w:r>
    </w:p>
    <w:p w14:paraId="139CCDB7" w14:textId="77777777" w:rsidR="003310A5" w:rsidRDefault="00000000">
      <w:pPr>
        <w:spacing w:after="120"/>
      </w:pPr>
      <w:r>
        <w:rPr>
          <w:color w:val="000000"/>
        </w:rPr>
        <w:t>System must recognize the cascade and its strategic implications:</w:t>
      </w:r>
    </w:p>
    <w:p w14:paraId="018C8FE5" w14:textId="77777777" w:rsidR="003310A5" w:rsidRDefault="00000000">
      <w:pPr>
        <w:pStyle w:val="ListParagraph"/>
        <w:numPr>
          <w:ilvl w:val="0"/>
          <w:numId w:val="2"/>
        </w:numPr>
        <w:spacing w:after="80"/>
      </w:pPr>
      <w:r>
        <w:rPr>
          <w:color w:val="000000"/>
        </w:rPr>
        <w:t>Failed transfer of risk means Thornfield absorbs the full loss with no contribution from Coastal — the cascade from Trap 4 directly increases Thornfield's exposure</w:t>
      </w:r>
    </w:p>
    <w:p w14:paraId="0878F054" w14:textId="77777777" w:rsidR="003310A5" w:rsidRDefault="00000000">
      <w:pPr>
        <w:pStyle w:val="ListParagraph"/>
        <w:numPr>
          <w:ilvl w:val="0"/>
          <w:numId w:val="2"/>
        </w:numPr>
        <w:spacing w:after="80"/>
      </w:pPr>
      <w:r>
        <w:rPr>
          <w:color w:val="000000"/>
        </w:rPr>
        <w:t>Misrepresentation grounds, if pursued as disclaimer, expose Thornfield to bad faith if the disclaimer is later found unjustified</w:t>
      </w:r>
    </w:p>
    <w:p w14:paraId="22A87978" w14:textId="77777777" w:rsidR="003310A5" w:rsidRDefault="00000000">
      <w:pPr>
        <w:pStyle w:val="ListParagraph"/>
        <w:numPr>
          <w:ilvl w:val="0"/>
          <w:numId w:val="2"/>
        </w:numPr>
        <w:spacing w:after="80"/>
      </w:pPr>
      <w:r>
        <w:rPr>
          <w:color w:val="000000"/>
        </w:rPr>
        <w:t>§240 absolute liability means even a successful coverage disclaimer does not eliminate Meridian's underlying judgment — creating a bad faith amplification risk: Thornfield disclaims, Meridian takes an uninsured judgment, Meridian claims Thornfield should have defended</w:t>
      </w:r>
    </w:p>
    <w:p w14:paraId="3448C35A" w14:textId="77777777" w:rsidR="003310A5" w:rsidRDefault="00000000">
      <w:pPr>
        <w:pStyle w:val="ListParagraph"/>
        <w:numPr>
          <w:ilvl w:val="0"/>
          <w:numId w:val="2"/>
        </w:numPr>
        <w:spacing w:after="80"/>
      </w:pPr>
      <w:r>
        <w:rPr>
          <w:color w:val="000000"/>
        </w:rPr>
        <w:t>The trilemma: (1) defend without reservation → risk estoppel on misrepresentation defense; (2) disclaim → risk bad faith if unjustified; (3) valid disclaimer → Meridian takes uninsured judgment → amplified bad faith exposure</w:t>
      </w:r>
    </w:p>
    <w:p w14:paraId="667B3237" w14:textId="77777777" w:rsidR="003310A5" w:rsidRDefault="003310A5">
      <w:pPr>
        <w:spacing w:after="120"/>
      </w:pPr>
    </w:p>
    <w:p w14:paraId="1F425A5C" w14:textId="77777777" w:rsidR="003310A5" w:rsidRDefault="00000000">
      <w:pPr>
        <w:pStyle w:val="Heading3"/>
      </w:pPr>
      <w:r>
        <w:t>Actionability (25 points)</w:t>
      </w:r>
    </w:p>
    <w:p w14:paraId="4F914CA5" w14:textId="77777777" w:rsidR="003310A5" w:rsidRDefault="00000000">
      <w:pPr>
        <w:spacing w:after="120"/>
      </w:pPr>
      <w:r>
        <w:rPr>
          <w:color w:val="000000"/>
        </w:rPr>
        <w:t>System must recommend the following steps in order:</w:t>
      </w:r>
    </w:p>
    <w:p w14:paraId="14362BE3" w14:textId="77777777" w:rsidR="003310A5" w:rsidRDefault="00000000">
      <w:pPr>
        <w:pStyle w:val="ListParagraph"/>
        <w:numPr>
          <w:ilvl w:val="0"/>
          <w:numId w:val="2"/>
        </w:numPr>
        <w:spacing w:after="80"/>
      </w:pPr>
      <w:r>
        <w:rPr>
          <w:color w:val="000000"/>
        </w:rPr>
        <w:t>Issue a reservation of rights letter to Meridian immediately — preserve misrepresentation defenses without abandoning the defense obligation</w:t>
      </w:r>
    </w:p>
    <w:p w14:paraId="7D3E640D" w14:textId="77777777" w:rsidR="003310A5" w:rsidRDefault="00000000">
      <w:pPr>
        <w:pStyle w:val="ListParagraph"/>
        <w:numPr>
          <w:ilvl w:val="0"/>
          <w:numId w:val="2"/>
        </w:numPr>
        <w:spacing w:after="80"/>
      </w:pPr>
      <w:r>
        <w:rPr>
          <w:color w:val="000000"/>
        </w:rPr>
        <w:t>Retain independent coverage counsel separate from defense counsel to avoid conflict of interest</w:t>
      </w:r>
    </w:p>
    <w:p w14:paraId="5D913697" w14:textId="77777777" w:rsidR="003310A5" w:rsidRDefault="00000000">
      <w:pPr>
        <w:pStyle w:val="ListParagraph"/>
        <w:numPr>
          <w:ilvl w:val="0"/>
          <w:numId w:val="2"/>
        </w:numPr>
        <w:spacing w:after="80"/>
      </w:pPr>
      <w:r>
        <w:rPr>
          <w:color w:val="000000"/>
        </w:rPr>
        <w:t>Investigate the MTA AI tender — determine whether the blanket AI endorsement extends to the MTA under the prime contract terms</w:t>
      </w:r>
    </w:p>
    <w:p w14:paraId="26E8200A" w14:textId="77777777" w:rsidR="003310A5" w:rsidRDefault="00000000">
      <w:pPr>
        <w:pStyle w:val="ListParagraph"/>
        <w:numPr>
          <w:ilvl w:val="0"/>
          <w:numId w:val="2"/>
        </w:numPr>
        <w:spacing w:after="80"/>
      </w:pPr>
      <w:r>
        <w:rPr>
          <w:color w:val="000000"/>
        </w:rPr>
        <w:t>Send timely disclaimer or confirm ROR approach within the §3420(d)(2) window — clock runs from January 15, 2026</w:t>
      </w:r>
    </w:p>
    <w:p w14:paraId="5A0DE3EA" w14:textId="77D142A2" w:rsidR="003310A5" w:rsidRDefault="00000000" w:rsidP="00103D15">
      <w:pPr>
        <w:pStyle w:val="ListParagraph"/>
        <w:numPr>
          <w:ilvl w:val="0"/>
          <w:numId w:val="2"/>
        </w:numPr>
        <w:spacing w:after="80"/>
      </w:pPr>
      <w:r>
        <w:rPr>
          <w:color w:val="000000"/>
        </w:rPr>
        <w:t>Evaluate broker E&amp;O exposure of Northgate Specialty Brokers — failure to audit Alpine's certificate may be a parallel recoverable claim</w:t>
      </w:r>
    </w:p>
    <w:p w14:paraId="61ED7AF2" w14:textId="77777777" w:rsidR="003310A5" w:rsidRDefault="00000000">
      <w:pPr>
        <w:pStyle w:val="Heading2"/>
      </w:pPr>
      <w:proofErr w:type="gramStart"/>
      <w:r>
        <w:lastRenderedPageBreak/>
        <w:t>5.5  Scoring</w:t>
      </w:r>
      <w:proofErr w:type="gramEnd"/>
      <w:r>
        <w:t xml:space="preserve"> Interpretation Guide</w:t>
      </w:r>
    </w:p>
    <w:p w14:paraId="6E92882D" w14:textId="77777777" w:rsidR="003310A5" w:rsidRDefault="003310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6240"/>
      </w:tblGrid>
      <w:tr w:rsidR="003310A5" w14:paraId="324A748F" w14:textId="77777777">
        <w:tblPrEx>
          <w:tblCellMar>
            <w:top w:w="0" w:type="dxa"/>
            <w:bottom w:w="0" w:type="dxa"/>
          </w:tblCellMar>
        </w:tblPrEx>
        <w:trPr>
          <w:tblHeader/>
        </w:trPr>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067F26A1" w14:textId="77777777" w:rsidR="003310A5" w:rsidRDefault="00000000">
            <w:pPr>
              <w:jc w:val="center"/>
            </w:pPr>
            <w:r>
              <w:rPr>
                <w:b/>
                <w:bCs/>
                <w:color w:val="FFFFFF"/>
                <w:sz w:val="20"/>
                <w:szCs w:val="20"/>
              </w:rPr>
              <w:t>Score</w:t>
            </w:r>
          </w:p>
        </w:tc>
        <w:tc>
          <w:tcPr>
            <w:tcW w:w="1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6F9A0C4" w14:textId="77777777" w:rsidR="003310A5" w:rsidRDefault="00000000">
            <w:pPr>
              <w:jc w:val="center"/>
            </w:pPr>
            <w:r>
              <w:rPr>
                <w:b/>
                <w:bCs/>
                <w:color w:val="FFFFFF"/>
                <w:sz w:val="20"/>
                <w:szCs w:val="20"/>
              </w:rPr>
              <w:t>Band</w:t>
            </w:r>
          </w:p>
        </w:tc>
        <w:tc>
          <w:tcPr>
            <w:tcW w:w="624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41995479" w14:textId="77777777" w:rsidR="003310A5" w:rsidRDefault="00000000">
            <w:pPr>
              <w:jc w:val="center"/>
            </w:pPr>
            <w:r>
              <w:rPr>
                <w:b/>
                <w:bCs/>
                <w:color w:val="FFFFFF"/>
                <w:sz w:val="20"/>
                <w:szCs w:val="20"/>
              </w:rPr>
              <w:t>Recommended Use</w:t>
            </w:r>
          </w:p>
        </w:tc>
      </w:tr>
      <w:tr w:rsidR="003310A5" w14:paraId="45D666C4"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6D665A2D" w14:textId="77777777" w:rsidR="003310A5" w:rsidRDefault="00000000">
            <w:r>
              <w:rPr>
                <w:b/>
                <w:bCs/>
                <w:color w:val="000000"/>
                <w:sz w:val="20"/>
                <w:szCs w:val="20"/>
              </w:rPr>
              <w:t>630–700 (90%+)</w:t>
            </w:r>
          </w:p>
        </w:tc>
        <w:tc>
          <w:tcPr>
            <w:tcW w:w="156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0A9E7473" w14:textId="77777777" w:rsidR="003310A5" w:rsidRDefault="00000000">
            <w:r>
              <w:rPr>
                <w:b/>
                <w:bCs/>
                <w:color w:val="000000"/>
                <w:sz w:val="20"/>
                <w:szCs w:val="20"/>
              </w:rPr>
              <w:t>High Confidence</w:t>
            </w:r>
          </w:p>
        </w:tc>
        <w:tc>
          <w:tcPr>
            <w:tcW w:w="624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7BE61C3E" w14:textId="77777777" w:rsidR="003310A5" w:rsidRDefault="00000000">
            <w:r>
              <w:rPr>
                <w:color w:val="000000"/>
                <w:sz w:val="20"/>
                <w:szCs w:val="20"/>
              </w:rPr>
              <w:t>Suitable for first-line triage and coverage opinion drafting with attorney review. System demonstrates reliable performance across discrete issues and the full integration scenario.</w:t>
            </w:r>
          </w:p>
        </w:tc>
      </w:tr>
      <w:tr w:rsidR="003310A5" w14:paraId="0E9CE108"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314ACA" w14:textId="77777777" w:rsidR="003310A5" w:rsidRDefault="00000000">
            <w:r>
              <w:rPr>
                <w:b/>
                <w:bCs/>
                <w:color w:val="000000"/>
                <w:sz w:val="20"/>
                <w:szCs w:val="20"/>
              </w:rPr>
              <w:t>490–629 (70–89%)</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0EFC33" w14:textId="77777777" w:rsidR="003310A5" w:rsidRDefault="00000000">
            <w:r>
              <w:rPr>
                <w:b/>
                <w:bCs/>
                <w:color w:val="000000"/>
                <w:sz w:val="20"/>
                <w:szCs w:val="20"/>
              </w:rPr>
              <w:t>Assisted Review</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EE220C" w14:textId="77777777" w:rsidR="003310A5" w:rsidRDefault="00000000">
            <w:r>
              <w:rPr>
                <w:color w:val="000000"/>
                <w:sz w:val="20"/>
                <w:szCs w:val="20"/>
              </w:rPr>
              <w:t>System handles discrete issues reliably but shows gaps in interaction detection or rule precision. Suitable for assisted review with mandatory underwriter/attorney sign-off on multi-issue claims.</w:t>
            </w:r>
          </w:p>
        </w:tc>
      </w:tr>
      <w:tr w:rsidR="003310A5" w14:paraId="5C1803D5"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3371AC00" w14:textId="77777777" w:rsidR="003310A5" w:rsidRDefault="00000000">
            <w:r>
              <w:rPr>
                <w:b/>
                <w:bCs/>
                <w:color w:val="000000"/>
                <w:sz w:val="20"/>
                <w:szCs w:val="20"/>
              </w:rPr>
              <w:t>350–489 (50–69%)</w:t>
            </w:r>
          </w:p>
        </w:tc>
        <w:tc>
          <w:tcPr>
            <w:tcW w:w="156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2AE04967" w14:textId="77777777" w:rsidR="003310A5" w:rsidRDefault="00000000">
            <w:r>
              <w:rPr>
                <w:b/>
                <w:bCs/>
                <w:color w:val="000000"/>
                <w:sz w:val="20"/>
                <w:szCs w:val="20"/>
              </w:rPr>
              <w:t>Limited Use</w:t>
            </w:r>
          </w:p>
        </w:tc>
        <w:tc>
          <w:tcPr>
            <w:tcW w:w="624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796CC03E" w14:textId="77777777" w:rsidR="003310A5" w:rsidRDefault="00000000">
            <w:r>
              <w:rPr>
                <w:color w:val="000000"/>
                <w:sz w:val="20"/>
                <w:szCs w:val="20"/>
              </w:rPr>
              <w:t>System identifies most issues in isolation but fails on compounding analysis and strategic guidance. Suitable for document retrieval and issue spotting only — not for coverage opinion generation.</w:t>
            </w:r>
          </w:p>
        </w:tc>
      </w:tr>
      <w:tr w:rsidR="003310A5" w14:paraId="4204D0CE"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FE0E0"/>
            <w:tcMar>
              <w:top w:w="80" w:type="dxa"/>
              <w:left w:w="120" w:type="dxa"/>
              <w:bottom w:w="80" w:type="dxa"/>
              <w:right w:w="120" w:type="dxa"/>
            </w:tcMar>
          </w:tcPr>
          <w:p w14:paraId="2057DF38" w14:textId="77777777" w:rsidR="003310A5" w:rsidRDefault="00000000">
            <w:r>
              <w:rPr>
                <w:b/>
                <w:bCs/>
                <w:color w:val="000000"/>
                <w:sz w:val="20"/>
                <w:szCs w:val="20"/>
              </w:rPr>
              <w:t>Below 350 (&lt;50%)</w:t>
            </w:r>
          </w:p>
        </w:tc>
        <w:tc>
          <w:tcPr>
            <w:tcW w:w="1560" w:type="dxa"/>
            <w:tcBorders>
              <w:top w:val="single" w:sz="4" w:space="0" w:color="AAAAAA"/>
              <w:left w:val="single" w:sz="4" w:space="0" w:color="AAAAAA"/>
              <w:bottom w:val="single" w:sz="4" w:space="0" w:color="AAAAAA"/>
              <w:right w:val="single" w:sz="4" w:space="0" w:color="AAAAAA"/>
            </w:tcBorders>
            <w:shd w:val="clear" w:color="auto" w:fill="FFE0E0"/>
            <w:tcMar>
              <w:top w:w="80" w:type="dxa"/>
              <w:left w:w="120" w:type="dxa"/>
              <w:bottom w:w="80" w:type="dxa"/>
              <w:right w:w="120" w:type="dxa"/>
            </w:tcMar>
          </w:tcPr>
          <w:p w14:paraId="661B1CD7" w14:textId="77777777" w:rsidR="003310A5" w:rsidRDefault="00000000">
            <w:r>
              <w:rPr>
                <w:b/>
                <w:bCs/>
                <w:color w:val="000000"/>
                <w:sz w:val="20"/>
                <w:szCs w:val="20"/>
              </w:rPr>
              <w:t>Not Suitable</w:t>
            </w:r>
          </w:p>
        </w:tc>
        <w:tc>
          <w:tcPr>
            <w:tcW w:w="6240" w:type="dxa"/>
            <w:tcBorders>
              <w:top w:val="single" w:sz="4" w:space="0" w:color="AAAAAA"/>
              <w:left w:val="single" w:sz="4" w:space="0" w:color="AAAAAA"/>
              <w:bottom w:val="single" w:sz="4" w:space="0" w:color="AAAAAA"/>
              <w:right w:val="single" w:sz="4" w:space="0" w:color="AAAAAA"/>
            </w:tcBorders>
            <w:shd w:val="clear" w:color="auto" w:fill="FFE0E0"/>
            <w:tcMar>
              <w:top w:w="80" w:type="dxa"/>
              <w:left w:w="120" w:type="dxa"/>
              <w:bottom w:w="80" w:type="dxa"/>
              <w:right w:w="120" w:type="dxa"/>
            </w:tcMar>
          </w:tcPr>
          <w:p w14:paraId="392E5878" w14:textId="77777777" w:rsidR="003310A5" w:rsidRDefault="00000000">
            <w:r>
              <w:rPr>
                <w:color w:val="000000"/>
                <w:sz w:val="20"/>
                <w:szCs w:val="20"/>
              </w:rPr>
              <w:t>System demonstrates fundamental gaps in legal standard application or produced one or more auto-fail responses. Not suitable for coverage analysis workflows without significant remediation.</w:t>
            </w:r>
          </w:p>
        </w:tc>
      </w:tr>
    </w:tbl>
    <w:p w14:paraId="4DCB472D" w14:textId="77777777" w:rsidR="003310A5" w:rsidRDefault="003310A5">
      <w:pPr>
        <w:spacing w:after="240"/>
      </w:pPr>
    </w:p>
    <w:p w14:paraId="0A76691C" w14:textId="77777777" w:rsidR="003310A5" w:rsidRDefault="00000000">
      <w:pPr>
        <w:pStyle w:val="Heading1"/>
        <w:pageBreakBefore/>
        <w:pBdr>
          <w:bottom w:val="single" w:sz="8" w:space="4" w:color="1F3864"/>
        </w:pBdr>
      </w:pPr>
      <w:r>
        <w:lastRenderedPageBreak/>
        <w:t>6. Comparative Failure Mode Analysis</w:t>
      </w:r>
    </w:p>
    <w:p w14:paraId="7BAB0FE4" w14:textId="77777777" w:rsidR="003310A5" w:rsidRDefault="00000000">
      <w:pPr>
        <w:spacing w:after="120"/>
      </w:pPr>
      <w:r>
        <w:rPr>
          <w:color w:val="000000"/>
        </w:rPr>
        <w:t>This section characterizes the expected failure patterns of each AI architecture type based on their structural properties. This is an analytical framework for interpreting evaluation results — not a scoring component. Actual results may vary based on implementation quality, training data, and rule-base completeness.</w:t>
      </w:r>
    </w:p>
    <w:p w14:paraId="6C8D8AEC" w14:textId="77777777" w:rsidR="003310A5" w:rsidRDefault="003310A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3310A5" w14:paraId="13976E07" w14:textId="77777777">
        <w:tblPrEx>
          <w:tblCellMar>
            <w:top w:w="0" w:type="dxa"/>
            <w:bottom w:w="0" w:type="dxa"/>
          </w:tblCellMar>
        </w:tblPrEx>
        <w:trPr>
          <w:tblHeader/>
        </w:trPr>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0D176B8F" w14:textId="77777777" w:rsidR="003310A5" w:rsidRDefault="00000000">
            <w:pPr>
              <w:jc w:val="center"/>
            </w:pPr>
            <w:r>
              <w:rPr>
                <w:b/>
                <w:bCs/>
                <w:color w:val="FFFFFF"/>
                <w:sz w:val="20"/>
                <w:szCs w:val="20"/>
              </w:rPr>
              <w:t>Capability Domain</w:t>
            </w:r>
          </w:p>
        </w:tc>
        <w:tc>
          <w:tcPr>
            <w:tcW w:w="37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6860F1C" w14:textId="77777777" w:rsidR="003310A5" w:rsidRDefault="00000000">
            <w:pPr>
              <w:jc w:val="center"/>
            </w:pPr>
            <w:r>
              <w:rPr>
                <w:b/>
                <w:bCs/>
                <w:color w:val="FFFFFF"/>
                <w:sz w:val="20"/>
                <w:szCs w:val="20"/>
              </w:rPr>
              <w:t>LLM + RAG</w:t>
            </w:r>
          </w:p>
        </w:tc>
        <w:tc>
          <w:tcPr>
            <w:tcW w:w="37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FFE8DEB" w14:textId="77777777" w:rsidR="003310A5" w:rsidRDefault="00000000">
            <w:pPr>
              <w:jc w:val="center"/>
            </w:pPr>
            <w:r>
              <w:rPr>
                <w:b/>
                <w:bCs/>
                <w:color w:val="FFFFFF"/>
                <w:sz w:val="20"/>
                <w:szCs w:val="20"/>
              </w:rPr>
              <w:t>Neuro-Symbolic AI (NSAI)</w:t>
            </w:r>
          </w:p>
        </w:tc>
      </w:tr>
      <w:tr w:rsidR="003310A5" w14:paraId="5312115E"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3364CD8C" w14:textId="77777777" w:rsidR="003310A5" w:rsidRDefault="00000000">
            <w:r>
              <w:rPr>
                <w:b/>
                <w:bCs/>
                <w:color w:val="1F3864"/>
                <w:sz w:val="20"/>
                <w:szCs w:val="20"/>
              </w:rPr>
              <w:t>Interaction Detection</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2E46E1" w14:textId="77777777" w:rsidR="003310A5" w:rsidRDefault="00000000">
            <w:r>
              <w:rPr>
                <w:color w:val="000000"/>
                <w:sz w:val="20"/>
                <w:szCs w:val="20"/>
              </w:rPr>
              <w:t>WEAKNESS: Tends to analyze issues sequentially. Likely to identify each trap independently but miss the cascade — e.g., that the failed transfer of risk makes Thornfield's disclaimer decision riskier, not simpler.</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620978" w14:textId="77777777" w:rsidR="003310A5" w:rsidRDefault="00000000">
            <w:r>
              <w:rPr>
                <w:color w:val="000000"/>
                <w:sz w:val="20"/>
                <w:szCs w:val="20"/>
              </w:rPr>
              <w:t>STRENGTH: Deterministic rule chaining allows compound conditions to be explicitly encoded. If rules are encoded, interactions surface consistently — not probabilistically.</w:t>
            </w:r>
          </w:p>
        </w:tc>
      </w:tr>
      <w:tr w:rsidR="003310A5" w14:paraId="0618C0A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773115A4" w14:textId="77777777" w:rsidR="003310A5" w:rsidRDefault="00000000">
            <w:r>
              <w:rPr>
                <w:b/>
                <w:bCs/>
                <w:color w:val="1F3864"/>
                <w:sz w:val="20"/>
                <w:szCs w:val="20"/>
              </w:rPr>
              <w:t>Hallucination Risk</w:t>
            </w:r>
          </w:p>
        </w:tc>
        <w:tc>
          <w:tcPr>
            <w:tcW w:w="37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183442" w14:textId="77777777" w:rsidR="003310A5" w:rsidRDefault="00000000">
            <w:r>
              <w:rPr>
                <w:color w:val="000000"/>
                <w:sz w:val="20"/>
                <w:szCs w:val="20"/>
              </w:rPr>
              <w:t xml:space="preserve">HIGH RISK: Under pressure for precise statutory citations or endorsement form references, may produce </w:t>
            </w:r>
            <w:proofErr w:type="gramStart"/>
            <w:r>
              <w:rPr>
                <w:color w:val="000000"/>
                <w:sz w:val="20"/>
                <w:szCs w:val="20"/>
              </w:rPr>
              <w:t>plausible-sounding</w:t>
            </w:r>
            <w:proofErr w:type="gramEnd"/>
            <w:r>
              <w:rPr>
                <w:color w:val="000000"/>
                <w:sz w:val="20"/>
                <w:szCs w:val="20"/>
              </w:rPr>
              <w:t xml:space="preserve"> but fabricated authority. Triggers AF-6.</w:t>
            </w:r>
          </w:p>
        </w:tc>
        <w:tc>
          <w:tcPr>
            <w:tcW w:w="37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8998F3D" w14:textId="77777777" w:rsidR="003310A5" w:rsidRDefault="00000000">
            <w:r>
              <w:rPr>
                <w:color w:val="000000"/>
                <w:sz w:val="20"/>
                <w:szCs w:val="20"/>
              </w:rPr>
              <w:t>LOW RISK: Applies encoded rules rather than generating language. Should not fabricate citations, though it may silently return no output on gaps rather than flagging the gap explicitly.</w:t>
            </w:r>
          </w:p>
        </w:tc>
      </w:tr>
      <w:tr w:rsidR="003310A5" w14:paraId="10696EB3"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7EA45215" w14:textId="77777777" w:rsidR="003310A5" w:rsidRDefault="00000000">
            <w:r>
              <w:rPr>
                <w:b/>
                <w:bCs/>
                <w:color w:val="1F3864"/>
                <w:sz w:val="20"/>
                <w:szCs w:val="20"/>
              </w:rPr>
              <w:t>Jurisdiction Specificity</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EDFA66" w14:textId="77777777" w:rsidR="003310A5" w:rsidRDefault="00000000">
            <w:r>
              <w:rPr>
                <w:color w:val="000000"/>
                <w:sz w:val="20"/>
                <w:szCs w:val="20"/>
              </w:rPr>
              <w:t>MODERATE RISK: NY Labor Law §240 is frequently described imprecisely in training data. Systems may correctly state strict liability while simultaneously hedging on comparative fault — triggering AF-1.</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ABDDD1" w14:textId="77777777" w:rsidR="003310A5" w:rsidRDefault="00000000">
            <w:r>
              <w:rPr>
                <w:color w:val="000000"/>
                <w:sz w:val="20"/>
                <w:szCs w:val="20"/>
              </w:rPr>
              <w:t>STRENGTH: Jurisdiction rules are deterministic. If §240 absolute liability is encoded, it applies without hedging.</w:t>
            </w:r>
          </w:p>
        </w:tc>
      </w:tr>
      <w:tr w:rsidR="003310A5" w14:paraId="2E9F48D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37C88AD1" w14:textId="77777777" w:rsidR="003310A5" w:rsidRDefault="00000000">
            <w:r>
              <w:rPr>
                <w:b/>
                <w:bCs/>
                <w:color w:val="1F3864"/>
                <w:sz w:val="20"/>
                <w:szCs w:val="20"/>
              </w:rPr>
              <w:t>Novel Fact Patterns</w:t>
            </w:r>
          </w:p>
        </w:tc>
        <w:tc>
          <w:tcPr>
            <w:tcW w:w="37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38239D6" w14:textId="77777777" w:rsidR="003310A5" w:rsidRDefault="00000000">
            <w:r>
              <w:rPr>
                <w:color w:val="000000"/>
                <w:sz w:val="20"/>
                <w:szCs w:val="20"/>
              </w:rPr>
              <w:t>STRENGTH: Can reason across ambiguous facts (e.g., the ongoing vs. completed ops ambiguity on Trap 8) using general legal and insurance knowledge.</w:t>
            </w:r>
          </w:p>
        </w:tc>
        <w:tc>
          <w:tcPr>
            <w:tcW w:w="37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5F18C46" w14:textId="77777777" w:rsidR="003310A5" w:rsidRDefault="00000000">
            <w:r>
              <w:rPr>
                <w:color w:val="000000"/>
                <w:sz w:val="20"/>
                <w:szCs w:val="20"/>
              </w:rPr>
              <w:t>WEAKNESS: Performance bounded by rule completeness. Ambiguous facts not explicitly encoded may produce binary outputs that miss the nuance.</w:t>
            </w:r>
          </w:p>
        </w:tc>
      </w:tr>
      <w:tr w:rsidR="003310A5" w14:paraId="3600374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2FBA8A7E" w14:textId="77777777" w:rsidR="003310A5" w:rsidRDefault="00000000">
            <w:r>
              <w:rPr>
                <w:b/>
                <w:bCs/>
                <w:color w:val="1F3864"/>
                <w:sz w:val="20"/>
                <w:szCs w:val="20"/>
              </w:rPr>
              <w:t>Classification Matching</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5FDF90" w14:textId="77777777" w:rsidR="003310A5" w:rsidRDefault="00000000">
            <w:r>
              <w:rPr>
                <w:color w:val="000000"/>
                <w:sz w:val="20"/>
                <w:szCs w:val="20"/>
              </w:rPr>
              <w:t>MODERATE: Can identify mismatches with good retrieval but may not consistently flag all downstream implications.</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105E58" w14:textId="77777777" w:rsidR="003310A5" w:rsidRDefault="00000000">
            <w:r>
              <w:rPr>
                <w:color w:val="000000"/>
                <w:sz w:val="20"/>
                <w:szCs w:val="20"/>
              </w:rPr>
              <w:t>STRENGTH: ISO class code mismatches are deterministic rule matches. Should consistently flag 91580 vs. bridge infrastructure and 91340 interior painting vs. bridge work.</w:t>
            </w:r>
          </w:p>
        </w:tc>
      </w:tr>
      <w:tr w:rsidR="003310A5" w14:paraId="29EBC09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41565CF0" w14:textId="77777777" w:rsidR="003310A5" w:rsidRDefault="00000000">
            <w:r>
              <w:rPr>
                <w:b/>
                <w:bCs/>
                <w:color w:val="1F3864"/>
                <w:sz w:val="20"/>
                <w:szCs w:val="20"/>
              </w:rPr>
              <w:t>Timeliness Obligations</w:t>
            </w:r>
          </w:p>
        </w:tc>
        <w:tc>
          <w:tcPr>
            <w:tcW w:w="37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9384678" w14:textId="77777777" w:rsidR="003310A5" w:rsidRDefault="00000000">
            <w:r>
              <w:rPr>
                <w:color w:val="000000"/>
                <w:sz w:val="20"/>
                <w:szCs w:val="20"/>
              </w:rPr>
              <w:t>RISK: §3420(d)(2) deadlines are frequently underweighted or omitted. Omission triggers AF-5.</w:t>
            </w:r>
          </w:p>
        </w:tc>
        <w:tc>
          <w:tcPr>
            <w:tcW w:w="37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F436EB" w14:textId="77777777" w:rsidR="003310A5" w:rsidRDefault="00000000">
            <w:r>
              <w:rPr>
                <w:color w:val="000000"/>
                <w:sz w:val="20"/>
                <w:szCs w:val="20"/>
              </w:rPr>
              <w:t>STRENGTH: Date-triggered timeliness rules are well-suited to NSAI encoding. Should reliably flag disclaimer deadlines once the notice date is established.</w:t>
            </w:r>
          </w:p>
        </w:tc>
      </w:tr>
      <w:tr w:rsidR="003310A5" w14:paraId="440C91A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54485E5C" w14:textId="77777777" w:rsidR="003310A5" w:rsidRDefault="00000000">
            <w:r>
              <w:rPr>
                <w:b/>
                <w:bCs/>
                <w:color w:val="1F3864"/>
                <w:sz w:val="20"/>
                <w:szCs w:val="20"/>
              </w:rPr>
              <w:t>Drafting Quality</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58D2C6" w14:textId="77777777" w:rsidR="003310A5" w:rsidRDefault="00000000">
            <w:r>
              <w:rPr>
                <w:color w:val="000000"/>
                <w:sz w:val="20"/>
                <w:szCs w:val="20"/>
              </w:rPr>
              <w:t xml:space="preserve">STRENGTH: Well-structured ROR letters, coverage opinions, and disclaimer communications — structurally sound even </w:t>
            </w:r>
            <w:proofErr w:type="gramStart"/>
            <w:r>
              <w:rPr>
                <w:color w:val="000000"/>
                <w:sz w:val="20"/>
                <w:szCs w:val="20"/>
              </w:rPr>
              <w:t>where</w:t>
            </w:r>
            <w:proofErr w:type="gramEnd"/>
            <w:r>
              <w:rPr>
                <w:color w:val="000000"/>
                <w:sz w:val="20"/>
                <w:szCs w:val="20"/>
              </w:rPr>
              <w:t xml:space="preserve"> substantively imprecise.</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9AF097" w14:textId="77777777" w:rsidR="003310A5" w:rsidRDefault="00000000">
            <w:r>
              <w:rPr>
                <w:color w:val="000000"/>
                <w:sz w:val="20"/>
                <w:szCs w:val="20"/>
              </w:rPr>
              <w:t>LIMITED: NSAI systems typically produce structured data outputs and rule-application traces, not polished prose documents.</w:t>
            </w:r>
          </w:p>
        </w:tc>
      </w:tr>
      <w:tr w:rsidR="003310A5" w14:paraId="00C04AC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13D2B88" w14:textId="77777777" w:rsidR="003310A5" w:rsidRDefault="00000000">
            <w:r>
              <w:rPr>
                <w:b/>
                <w:bCs/>
                <w:color w:val="FFFFFF"/>
                <w:sz w:val="20"/>
                <w:szCs w:val="20"/>
              </w:rPr>
              <w:lastRenderedPageBreak/>
              <w:t>Net Assessment</w:t>
            </w:r>
          </w:p>
        </w:tc>
        <w:tc>
          <w:tcPr>
            <w:tcW w:w="378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12BBD527" w14:textId="77777777" w:rsidR="003310A5" w:rsidRDefault="00000000">
            <w:r>
              <w:rPr>
                <w:b/>
                <w:bCs/>
                <w:color w:val="000000"/>
                <w:sz w:val="20"/>
                <w:szCs w:val="20"/>
              </w:rPr>
              <w:t>Best suited for: drafting, communicating, and reasoning across ambiguous fact patterns. Requires human review on all rule-precision and interaction-recognition tasks.</w:t>
            </w:r>
          </w:p>
        </w:tc>
        <w:tc>
          <w:tcPr>
            <w:tcW w:w="378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4AECFD5A" w14:textId="77777777" w:rsidR="003310A5" w:rsidRDefault="00000000">
            <w:r>
              <w:rPr>
                <w:b/>
                <w:bCs/>
                <w:color w:val="000000"/>
                <w:sz w:val="20"/>
                <w:szCs w:val="20"/>
              </w:rPr>
              <w:t>Best suited for: classification checks, eligibility rules, timeliness triggers, and deterministic coverage rules. Requires human review or LLM augmentation for novel or ambiguous scenarios.</w:t>
            </w:r>
          </w:p>
        </w:tc>
      </w:tr>
    </w:tbl>
    <w:p w14:paraId="6C01690A" w14:textId="77777777" w:rsidR="003310A5" w:rsidRDefault="003310A5">
      <w:pPr>
        <w:spacing w:after="240"/>
      </w:pPr>
    </w:p>
    <w:p w14:paraId="0D27A00B" w14:textId="77777777" w:rsidR="003310A5" w:rsidRDefault="00000000">
      <w:pPr>
        <w:pStyle w:val="Heading2"/>
      </w:pPr>
      <w:proofErr w:type="gramStart"/>
      <w:r>
        <w:t>6.1  The</w:t>
      </w:r>
      <w:proofErr w:type="gramEnd"/>
      <w:r>
        <w:t xml:space="preserve"> Cascade Problem — Critical Differentiator</w:t>
      </w:r>
    </w:p>
    <w:p w14:paraId="44338B28" w14:textId="77777777" w:rsidR="003310A5" w:rsidRDefault="00000000">
      <w:pPr>
        <w:spacing w:after="120"/>
      </w:pPr>
      <w:r>
        <w:rPr>
          <w:color w:val="000000"/>
        </w:rPr>
        <w:t>The most important differentiator this scenario reveals is not whether a system gets individual answers right — it is whether the system can recognize that multiple compounding failures create a qualitatively different strategic problem than any single failure in isolation.</w:t>
      </w:r>
    </w:p>
    <w:p w14:paraId="086E4A1D" w14:textId="77777777" w:rsidR="003310A5" w:rsidRDefault="003310A5">
      <w:pPr>
        <w:spacing w:after="120"/>
      </w:pPr>
    </w:p>
    <w:p w14:paraId="0A1DE014" w14:textId="77777777" w:rsidR="003310A5" w:rsidRDefault="00000000">
      <w:pPr>
        <w:spacing w:after="120"/>
      </w:pPr>
      <w:r>
        <w:rPr>
          <w:color w:val="000000"/>
        </w:rPr>
        <w:t xml:space="preserve">In this scenario, the combination of (1) failed transfer of risk + (2) absolute liability under §240 + (3) potential misrepresentation grounds </w:t>
      </w:r>
      <w:proofErr w:type="gramStart"/>
      <w:r>
        <w:rPr>
          <w:color w:val="000000"/>
        </w:rPr>
        <w:t>creates</w:t>
      </w:r>
      <w:proofErr w:type="gramEnd"/>
      <w:r>
        <w:rPr>
          <w:color w:val="000000"/>
        </w:rPr>
        <w:t xml:space="preserve"> a trilemma for Thornfield. A system that correctly identifies all three individual issues but misses the trilemma structure — and the resulting recommended action sequence — cannot achieve the High Confidence performance band. It scores Partial Credit on Interaction Recognition for Query 7 regardless of performance elsewhere.</w:t>
      </w:r>
    </w:p>
    <w:p w14:paraId="372A12D1" w14:textId="77777777" w:rsidR="003310A5" w:rsidRDefault="003310A5">
      <w:pPr>
        <w:spacing w:after="120"/>
      </w:pPr>
    </w:p>
    <w:p w14:paraId="6420B490" w14:textId="77777777" w:rsidR="003310A5" w:rsidRDefault="00000000">
      <w:pPr>
        <w:spacing w:after="120"/>
      </w:pPr>
      <w:r>
        <w:rPr>
          <w:color w:val="000000"/>
        </w:rPr>
        <w:t>The trilemma:</w:t>
      </w:r>
    </w:p>
    <w:p w14:paraId="55BBF3F1" w14:textId="77777777" w:rsidR="003310A5" w:rsidRDefault="003310A5">
      <w:pPr>
        <w:spacing w:after="120"/>
      </w:pPr>
    </w:p>
    <w:p w14:paraId="268A5984" w14:textId="77777777" w:rsidR="003310A5" w:rsidRDefault="00000000">
      <w:pPr>
        <w:pStyle w:val="ListParagraph"/>
        <w:numPr>
          <w:ilvl w:val="0"/>
          <w:numId w:val="2"/>
        </w:numPr>
        <w:spacing w:after="80"/>
      </w:pPr>
      <w:r>
        <w:rPr>
          <w:color w:val="000000"/>
        </w:rPr>
        <w:t>If Thornfield defends without reservation, it may be estopped from later disclaiming on misrepresentation grounds.</w:t>
      </w:r>
    </w:p>
    <w:p w14:paraId="2498E530" w14:textId="77777777" w:rsidR="003310A5" w:rsidRDefault="00000000">
      <w:pPr>
        <w:pStyle w:val="ListParagraph"/>
        <w:numPr>
          <w:ilvl w:val="0"/>
          <w:numId w:val="2"/>
        </w:numPr>
        <w:spacing w:after="80"/>
      </w:pPr>
      <w:r>
        <w:rPr>
          <w:color w:val="000000"/>
        </w:rPr>
        <w:t>If Thornfield disclaims, and the disclaimer is later found unjustified, it faces bad faith exposure on a $3M+ paraplegia claim.</w:t>
      </w:r>
    </w:p>
    <w:p w14:paraId="189D19D0" w14:textId="77777777" w:rsidR="003310A5" w:rsidRDefault="00000000">
      <w:pPr>
        <w:pStyle w:val="ListParagraph"/>
        <w:numPr>
          <w:ilvl w:val="0"/>
          <w:numId w:val="2"/>
        </w:numPr>
        <w:spacing w:after="80"/>
      </w:pPr>
      <w:r>
        <w:rPr>
          <w:color w:val="000000"/>
        </w:rPr>
        <w:t>If Thornfield disclaims validly, Meridian faces an uninsured §240 judgment — which the broker's failure to vet Alpine's insurance may have caused, creating a parallel E&amp;O claim and amplifying the bad faith narrative against Thornfield.</w:t>
      </w:r>
    </w:p>
    <w:p w14:paraId="5DF3FCF4" w14:textId="77777777" w:rsidR="003310A5" w:rsidRDefault="003310A5">
      <w:pPr>
        <w:spacing w:after="120"/>
      </w:pPr>
    </w:p>
    <w:p w14:paraId="743C05E9" w14:textId="77777777" w:rsidR="003310A5" w:rsidRDefault="00000000">
      <w:pPr>
        <w:pStyle w:val="Heading2"/>
      </w:pPr>
      <w:proofErr w:type="gramStart"/>
      <w:r>
        <w:t>6.2  The</w:t>
      </w:r>
      <w:proofErr w:type="gramEnd"/>
      <w:r>
        <w:t xml:space="preserve"> Broker E&amp;O Thread</w:t>
      </w:r>
    </w:p>
    <w:p w14:paraId="3DBBC3B7" w14:textId="77777777" w:rsidR="003310A5" w:rsidRDefault="00000000">
      <w:pPr>
        <w:spacing w:after="120"/>
      </w:pPr>
      <w:r>
        <w:rPr>
          <w:color w:val="000000"/>
        </w:rPr>
        <w:t>Both AI architecture types are likely to underweight the broker's exposure. The failure of Northgate Specialty Brokers to: (a) identify the incomplete subcontractor schedule; (b) request Alpine's actual policy rather than accepting an ACORD 25 certificate; and (c) flag the NY Labor Law questionnaire answers given a GC with NY metro work — constitutes a significant E&amp;O fact pattern.</w:t>
      </w:r>
    </w:p>
    <w:p w14:paraId="675017EC" w14:textId="77777777" w:rsidR="003310A5" w:rsidRDefault="003310A5">
      <w:pPr>
        <w:spacing w:after="120"/>
      </w:pPr>
    </w:p>
    <w:p w14:paraId="06B2ADC7" w14:textId="77777777" w:rsidR="003310A5" w:rsidRDefault="00000000">
      <w:pPr>
        <w:spacing w:after="120"/>
      </w:pPr>
      <w:r>
        <w:rPr>
          <w:color w:val="000000"/>
        </w:rPr>
        <w:t xml:space="preserve">A high-performing system should surface this not as a tangential observation but as a strategically relevant parallel thread. Thornfield's coverage decision interacts with the broker E&amp;O exposure: a carrier that disclaims in good faith and triggers an uninsured judgment may inadvertently accelerate </w:t>
      </w:r>
      <w:r>
        <w:rPr>
          <w:color w:val="000000"/>
        </w:rPr>
        <w:lastRenderedPageBreak/>
        <w:t>Meridian's E&amp;O claim against Northgate, which affects the settlement landscape for all parties. A system that misses this interaction cannot fully model the strategic environment Thornfield is navigating.</w:t>
      </w:r>
    </w:p>
    <w:p w14:paraId="0FC15422" w14:textId="77777777" w:rsidR="003310A5" w:rsidRDefault="003310A5">
      <w:pPr>
        <w:spacing w:after="120"/>
      </w:pPr>
    </w:p>
    <w:p w14:paraId="06C54F9B" w14:textId="77777777" w:rsidR="003310A5" w:rsidRDefault="00000000">
      <w:pPr>
        <w:pStyle w:val="Heading1"/>
        <w:pageBreakBefore/>
        <w:pBdr>
          <w:bottom w:val="single" w:sz="8" w:space="4" w:color="1F3864"/>
        </w:pBdr>
      </w:pPr>
      <w:r>
        <w:lastRenderedPageBreak/>
        <w:t>7. Appendix — Regulatory &amp; Statutory References</w:t>
      </w:r>
    </w:p>
    <w:p w14:paraId="5A8BAA13" w14:textId="77777777" w:rsidR="003310A5" w:rsidRDefault="00000000">
      <w:pPr>
        <w:spacing w:after="120"/>
      </w:pPr>
      <w:r>
        <w:rPr>
          <w:color w:val="000000"/>
        </w:rPr>
        <w:t>The table below summarizes key statutes, regulations, forms, and case law referenced in this framework and their relevance to the Meridian/Delgado scenario. These references form the basis of correct answers required by the grading rubric.</w:t>
      </w:r>
    </w:p>
    <w:p w14:paraId="3B0880A8" w14:textId="77777777" w:rsidR="003310A5" w:rsidRDefault="003310A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310A5" w14:paraId="458BC38D" w14:textId="77777777">
        <w:tblPrEx>
          <w:tblCellMar>
            <w:top w:w="0" w:type="dxa"/>
            <w:bottom w:w="0" w:type="dxa"/>
          </w:tblCellMar>
        </w:tblPrEx>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03C7A22" w14:textId="77777777" w:rsidR="003310A5" w:rsidRDefault="00000000">
            <w:pPr>
              <w:jc w:val="center"/>
            </w:pPr>
            <w:r>
              <w:rPr>
                <w:b/>
                <w:bCs/>
                <w:color w:val="FFFFFF"/>
                <w:sz w:val="20"/>
                <w:szCs w:val="20"/>
              </w:rPr>
              <w:t>Reference</w:t>
            </w:r>
          </w:p>
        </w:tc>
        <w:tc>
          <w:tcPr>
            <w:tcW w:w="69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B2640AB" w14:textId="77777777" w:rsidR="003310A5" w:rsidRDefault="00000000">
            <w:pPr>
              <w:jc w:val="center"/>
            </w:pPr>
            <w:r>
              <w:rPr>
                <w:b/>
                <w:bCs/>
                <w:color w:val="FFFFFF"/>
                <w:sz w:val="20"/>
                <w:szCs w:val="20"/>
              </w:rPr>
              <w:t>Summary and Relevance to Scenario</w:t>
            </w:r>
          </w:p>
        </w:tc>
      </w:tr>
      <w:tr w:rsidR="003310A5" w14:paraId="4F1A275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1DD9D37D" w14:textId="77777777" w:rsidR="003310A5" w:rsidRDefault="00000000">
            <w:r>
              <w:rPr>
                <w:b/>
                <w:bCs/>
                <w:color w:val="1F3864"/>
                <w:sz w:val="20"/>
                <w:szCs w:val="20"/>
              </w:rPr>
              <w:t>NY Labor Law §240(1) (The "Scaffold Law")</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931F07" w14:textId="77777777" w:rsidR="003310A5" w:rsidRDefault="00000000">
            <w:r>
              <w:rPr>
                <w:color w:val="000000"/>
                <w:sz w:val="20"/>
                <w:szCs w:val="20"/>
              </w:rPr>
              <w:t>Imposes absolute liability on owners and general contractors for elevation-related injuries to workers. Liability is non-delegable and cannot be transferred to a subcontractor. Comparative negligence of the injured worker is not a defense unless the worker was the sole proximate cause of the injury. Leading case: Blake v. Neighborhood Housing Services of NYC, 1 N.Y.3d 280 (2003), which established the sole proximate cause defense standard. Applies to the Delgado fall claim against Meridian.</w:t>
            </w:r>
          </w:p>
        </w:tc>
      </w:tr>
      <w:tr w:rsidR="003310A5" w14:paraId="2CBE250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64C9C4" w14:textId="77777777" w:rsidR="003310A5" w:rsidRDefault="00000000">
            <w:r>
              <w:rPr>
                <w:b/>
                <w:bCs/>
                <w:color w:val="1F3864"/>
                <w:sz w:val="20"/>
                <w:szCs w:val="20"/>
              </w:rPr>
              <w:t>NY Labor Law §241(6)</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A9D39C5" w14:textId="77777777" w:rsidR="003310A5" w:rsidRDefault="00000000">
            <w:r>
              <w:rPr>
                <w:color w:val="000000"/>
                <w:sz w:val="20"/>
                <w:szCs w:val="20"/>
              </w:rPr>
              <w:t>Imposes a duty on owners and GCs to provide reasonable and adequate protection and safety for workers. Unlike §240, §241(6) is subject to comparative negligence. Requires violation of a specific Industrial Code provision (12 NYCRR Part 23) to impose liability. Also asserted by Delgado against Meridian; subject to comparative fault analysis unlike the §240 claim.</w:t>
            </w:r>
          </w:p>
        </w:tc>
      </w:tr>
      <w:tr w:rsidR="003310A5" w14:paraId="43BA6EA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159FCEBF" w14:textId="77777777" w:rsidR="003310A5" w:rsidRDefault="00000000">
            <w:r>
              <w:rPr>
                <w:b/>
                <w:bCs/>
                <w:color w:val="1F3864"/>
                <w:sz w:val="20"/>
                <w:szCs w:val="20"/>
              </w:rPr>
              <w:t>NY Insurance Law §3105</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CB2E42" w14:textId="77777777" w:rsidR="003310A5" w:rsidRDefault="00000000">
            <w:r>
              <w:rPr>
                <w:color w:val="000000"/>
                <w:sz w:val="20"/>
                <w:szCs w:val="20"/>
              </w:rPr>
              <w:t>Governs misrepresentation on insurance applications. A misrepresentation is material if the insurer would not have issued the policy, or would have issued it on different terms, had it known the true facts. Both falsity and materiality must be established; intent to defraud is not required. Applies to both Trap 1 (omission of Alpine from sub schedule) and Trap 3 (affirmative false answer on the NY Labor Law questionnaire). The questionnaire answer is the stronger rescission basis.</w:t>
            </w:r>
          </w:p>
        </w:tc>
      </w:tr>
      <w:tr w:rsidR="003310A5" w14:paraId="30FE28B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339385" w14:textId="77777777" w:rsidR="003310A5" w:rsidRDefault="00000000">
            <w:r>
              <w:rPr>
                <w:b/>
                <w:bCs/>
                <w:color w:val="1F3864"/>
                <w:sz w:val="20"/>
                <w:szCs w:val="20"/>
              </w:rPr>
              <w:t>NY Insurance Law §3420(d)(2)</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AF3E83" w14:textId="77777777" w:rsidR="003310A5" w:rsidRDefault="00000000">
            <w:r>
              <w:rPr>
                <w:color w:val="000000"/>
                <w:sz w:val="20"/>
                <w:szCs w:val="20"/>
              </w:rPr>
              <w:t>Requires an insurer to give written notice of disclaimer or denial of coverage to the insured and any injured person "as soon as reasonably possible" after first learning of the accident or grounds for disclaimer. Failure to disclaim timely — even where valid grounds exist — constitutes a waiver of the right to disclaim. Thornfield received the complaint on January 15, 2026; the disclaimer timeliness clock begins on that date.</w:t>
            </w:r>
          </w:p>
        </w:tc>
      </w:tr>
      <w:tr w:rsidR="003310A5" w14:paraId="4065C6E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216BE6F1" w14:textId="77777777" w:rsidR="003310A5" w:rsidRDefault="00000000">
            <w:r>
              <w:rPr>
                <w:b/>
                <w:bCs/>
                <w:color w:val="1F3864"/>
                <w:sz w:val="20"/>
                <w:szCs w:val="20"/>
              </w:rPr>
              <w:t>ISO CGL Form CG 00 01</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8780D2" w14:textId="77777777" w:rsidR="003310A5" w:rsidRDefault="00000000">
            <w:r>
              <w:rPr>
                <w:color w:val="000000"/>
                <w:sz w:val="20"/>
                <w:szCs w:val="20"/>
              </w:rPr>
              <w:t>The standard Commercial General Liability policy form. Coverage A (bodily injury and property damage) applies to occurrences within the coverage territory during the policy period. The duty to defend is broader than the duty to indemnify — triggered by allegations in the complaint that are potentially within coverage, regardless of ultimate merits. Ongoing vs. completed operations distinction affects which limit applies (per-occurrence vs. products/completed ops sublimit).</w:t>
            </w:r>
          </w:p>
        </w:tc>
      </w:tr>
      <w:tr w:rsidR="003310A5" w14:paraId="72D01FD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8BE110" w14:textId="77777777" w:rsidR="003310A5" w:rsidRDefault="00000000">
            <w:r>
              <w:rPr>
                <w:b/>
                <w:bCs/>
                <w:color w:val="1F3864"/>
                <w:sz w:val="20"/>
                <w:szCs w:val="20"/>
              </w:rPr>
              <w:t>ISO Class Code 91580</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45DA2F" w14:textId="77777777" w:rsidR="003310A5" w:rsidRDefault="00000000">
            <w:r>
              <w:rPr>
                <w:color w:val="000000"/>
                <w:sz w:val="20"/>
                <w:szCs w:val="20"/>
              </w:rPr>
              <w:t>Contractors — Subcontracted Work — Buildings, NEC. Classification under which Meridian's policy was issued. Does not encompass bridge or infrastructure work. The mismatch between this classification and the Bronx-Whitestone Bridge operations is a central underwriting failure in the scenario.</w:t>
            </w:r>
          </w:p>
        </w:tc>
      </w:tr>
      <w:tr w:rsidR="003310A5" w14:paraId="097EA62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3561F14A" w14:textId="77777777" w:rsidR="003310A5" w:rsidRDefault="00000000">
            <w:r>
              <w:rPr>
                <w:b/>
                <w:bCs/>
                <w:color w:val="1F3864"/>
                <w:sz w:val="20"/>
                <w:szCs w:val="20"/>
              </w:rPr>
              <w:t>ISO Class Code 91340</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7285AB" w14:textId="77777777" w:rsidR="003310A5" w:rsidRDefault="00000000">
            <w:r>
              <w:rPr>
                <w:color w:val="000000"/>
                <w:sz w:val="20"/>
                <w:szCs w:val="20"/>
              </w:rPr>
              <w:t xml:space="preserve">Painting — Interior. Classification under which Alpine's Coastal Specialty policy was issued. Bridge exterior painting at 85 feet elevation is categorically outside </w:t>
            </w:r>
            <w:r>
              <w:rPr>
                <w:color w:val="000000"/>
                <w:sz w:val="20"/>
                <w:szCs w:val="20"/>
              </w:rPr>
              <w:lastRenderedPageBreak/>
              <w:t xml:space="preserve">this classification, supporting </w:t>
            </w:r>
            <w:proofErr w:type="spellStart"/>
            <w:r>
              <w:rPr>
                <w:color w:val="000000"/>
                <w:sz w:val="20"/>
                <w:szCs w:val="20"/>
              </w:rPr>
              <w:t>Coastal's</w:t>
            </w:r>
            <w:proofErr w:type="spellEnd"/>
            <w:r>
              <w:rPr>
                <w:color w:val="000000"/>
                <w:sz w:val="20"/>
                <w:szCs w:val="20"/>
              </w:rPr>
              <w:t xml:space="preserve"> disclaimer on both the height exclusion and classification grounds.</w:t>
            </w:r>
          </w:p>
        </w:tc>
      </w:tr>
      <w:tr w:rsidR="003310A5" w14:paraId="119B8ED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B9B089" w14:textId="77777777" w:rsidR="003310A5" w:rsidRDefault="00000000">
            <w:r>
              <w:rPr>
                <w:b/>
                <w:bCs/>
                <w:color w:val="1F3864"/>
                <w:sz w:val="20"/>
                <w:szCs w:val="20"/>
              </w:rPr>
              <w:t>ACORD 25 Certificate of Insurance</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B66DB5" w14:textId="77777777" w:rsidR="003310A5" w:rsidRDefault="00000000">
            <w:r>
              <w:rPr>
                <w:color w:val="000000"/>
                <w:sz w:val="20"/>
                <w:szCs w:val="20"/>
              </w:rPr>
              <w:t>A standardized form used to evidence the existence of insurance. The certificate states explicitly that it is issued as a matter of information only, confers no rights on the certificate holder, and does not amend, extend, or alter the coverage afforded by the listed policies. Certificate reliance without actual policy review is the central failure in the transfer of risk chain.</w:t>
            </w:r>
          </w:p>
        </w:tc>
      </w:tr>
      <w:tr w:rsidR="003310A5" w14:paraId="071E2E6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D5E3F0"/>
            <w:tcMar>
              <w:top w:w="80" w:type="dxa"/>
              <w:left w:w="120" w:type="dxa"/>
              <w:bottom w:w="80" w:type="dxa"/>
              <w:right w:w="120" w:type="dxa"/>
            </w:tcMar>
          </w:tcPr>
          <w:p w14:paraId="17C3E95C" w14:textId="77777777" w:rsidR="003310A5" w:rsidRDefault="00000000">
            <w:r>
              <w:rPr>
                <w:b/>
                <w:bCs/>
                <w:color w:val="1F3864"/>
                <w:sz w:val="20"/>
                <w:szCs w:val="20"/>
              </w:rPr>
              <w:t>Blake v. Neighborhood Housing Services of NYC 1 N.Y.3d 280 (2003)</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DC2FAF" w14:textId="77777777" w:rsidR="003310A5" w:rsidRDefault="00000000">
            <w:r>
              <w:rPr>
                <w:color w:val="000000"/>
                <w:sz w:val="20"/>
                <w:szCs w:val="20"/>
              </w:rPr>
              <w:t>New York Court of Appeals decision establishing the standard for the sole proximate cause defense under NY Labor Law §240(1). Held that where a safety device is available and the worker's own negligent conduct is the sole cause of the injury — with no statutory violation by the owner or GC — §240 liability does not attach. Sets a high evidentiary bar: both adequate device provision and the worker's unjustified refusal must be shown.</w:t>
            </w:r>
          </w:p>
        </w:tc>
      </w:tr>
    </w:tbl>
    <w:p w14:paraId="2BE81458" w14:textId="77777777" w:rsidR="003310A5" w:rsidRDefault="003310A5">
      <w:pPr>
        <w:spacing w:after="240"/>
      </w:pPr>
    </w:p>
    <w:p w14:paraId="01613A68" w14:textId="77777777" w:rsidR="003310A5" w:rsidRDefault="00000000">
      <w:pPr>
        <w:pStyle w:val="Heading2"/>
      </w:pPr>
      <w:r>
        <w:t>Notes on Citations</w:t>
      </w:r>
    </w:p>
    <w:p w14:paraId="0A0A515F" w14:textId="77777777" w:rsidR="003310A5" w:rsidRDefault="00000000">
      <w:pPr>
        <w:spacing w:after="120"/>
      </w:pPr>
      <w:r>
        <w:rPr>
          <w:color w:val="000000"/>
        </w:rPr>
        <w:t>All statutory citations reflect New York law as currently in effect. NY Labor Law §240(1) has been the subject of ongoing legislative reform efforts in New York State; users should verify current statutory text and case law at the time of use. The absolute liability standard described reflects settled New York Court of Appeals jurisprudence as of the framework date.</w:t>
      </w:r>
    </w:p>
    <w:p w14:paraId="48E055B8" w14:textId="77777777" w:rsidR="003310A5" w:rsidRDefault="003310A5">
      <w:pPr>
        <w:spacing w:after="120"/>
      </w:pPr>
    </w:p>
    <w:p w14:paraId="61455FA0" w14:textId="77777777" w:rsidR="003310A5" w:rsidRDefault="00000000">
      <w:pPr>
        <w:spacing w:after="120"/>
      </w:pPr>
      <w:r>
        <w:rPr>
          <w:color w:val="000000"/>
        </w:rPr>
        <w:t>ISO classification codes referenced (91580, 91340) reflect current ISO classification manual designations. Carriers using proprietary classification systems should map these to their internal equivalents when administering the test.</w:t>
      </w:r>
    </w:p>
    <w:p w14:paraId="3D72754F" w14:textId="77777777" w:rsidR="003310A5" w:rsidRDefault="003310A5">
      <w:pPr>
        <w:spacing w:after="480"/>
      </w:pPr>
    </w:p>
    <w:p w14:paraId="6B0B3F06" w14:textId="77777777" w:rsidR="003310A5" w:rsidRDefault="00000000">
      <w:pPr>
        <w:pBdr>
          <w:top w:val="single" w:sz="4" w:space="8" w:color="CCCCCC"/>
        </w:pBdr>
        <w:spacing w:before="160"/>
        <w:jc w:val="center"/>
      </w:pPr>
      <w:r>
        <w:rPr>
          <w:i/>
          <w:iCs/>
          <w:color w:val="999999"/>
          <w:sz w:val="18"/>
          <w:szCs w:val="18"/>
        </w:rPr>
        <w:t xml:space="preserve">Prepared by Growth </w:t>
      </w:r>
      <w:proofErr w:type="gramStart"/>
      <w:r>
        <w:rPr>
          <w:i/>
          <w:iCs/>
          <w:color w:val="999999"/>
          <w:sz w:val="18"/>
          <w:szCs w:val="18"/>
        </w:rPr>
        <w:t>Protocol  |</w:t>
      </w:r>
      <w:proofErr w:type="gramEnd"/>
      <w:r>
        <w:rPr>
          <w:i/>
          <w:iCs/>
          <w:color w:val="999999"/>
          <w:sz w:val="18"/>
          <w:szCs w:val="18"/>
        </w:rPr>
        <w:t xml:space="preserve">  Proprietary and </w:t>
      </w:r>
      <w:proofErr w:type="gramStart"/>
      <w:r>
        <w:rPr>
          <w:i/>
          <w:iCs/>
          <w:color w:val="999999"/>
          <w:sz w:val="18"/>
          <w:szCs w:val="18"/>
        </w:rPr>
        <w:t>Confidential  |</w:t>
      </w:r>
      <w:proofErr w:type="gramEnd"/>
      <w:r>
        <w:rPr>
          <w:i/>
          <w:iCs/>
          <w:color w:val="999999"/>
          <w:sz w:val="18"/>
          <w:szCs w:val="18"/>
        </w:rPr>
        <w:t xml:space="preserve">  For Discussion Purposes </w:t>
      </w:r>
      <w:proofErr w:type="gramStart"/>
      <w:r>
        <w:rPr>
          <w:i/>
          <w:iCs/>
          <w:color w:val="999999"/>
          <w:sz w:val="18"/>
          <w:szCs w:val="18"/>
        </w:rPr>
        <w:t>Only  |</w:t>
      </w:r>
      <w:proofErr w:type="gramEnd"/>
      <w:r>
        <w:rPr>
          <w:i/>
          <w:iCs/>
          <w:color w:val="999999"/>
          <w:sz w:val="18"/>
          <w:szCs w:val="18"/>
        </w:rPr>
        <w:t xml:space="preserve">  Version 1.1</w:t>
      </w:r>
    </w:p>
    <w:sectPr w:rsidR="003310A5">
      <w:headerReference w:type="default" r:id="rId7"/>
      <w:footerReference w:type="default" r:id="rId8"/>
      <w:pgSz w:w="12240" w:h="15840"/>
      <w:pgMar w:top="1440" w:right="1440"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D333A" w14:textId="77777777" w:rsidR="0002211C" w:rsidRDefault="0002211C">
      <w:r>
        <w:separator/>
      </w:r>
    </w:p>
  </w:endnote>
  <w:endnote w:type="continuationSeparator" w:id="0">
    <w:p w14:paraId="523C0B75" w14:textId="77777777" w:rsidR="0002211C" w:rsidRDefault="00022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DA770" w14:textId="49AD9628" w:rsidR="003310A5" w:rsidRDefault="00000000">
    <w:pPr>
      <w:pBdr>
        <w:top w:val="single" w:sz="4" w:space="4" w:color="1F3864"/>
      </w:pBdr>
      <w:tabs>
        <w:tab w:val="right" w:pos="9360"/>
      </w:tabs>
      <w:spacing w:before="80"/>
    </w:pPr>
    <w:r>
      <w:rPr>
        <w:color w:val="888888"/>
        <w:sz w:val="18"/>
        <w:szCs w:val="18"/>
      </w:rPr>
      <w:t xml:space="preserve">Proprietary and </w:t>
    </w:r>
    <w:proofErr w:type="gramStart"/>
    <w:r>
      <w:rPr>
        <w:color w:val="888888"/>
        <w:sz w:val="18"/>
        <w:szCs w:val="18"/>
      </w:rPr>
      <w:t>Confidential  |</w:t>
    </w:r>
    <w:proofErr w:type="gramEnd"/>
    <w:r>
      <w:rPr>
        <w:color w:val="888888"/>
        <w:sz w:val="18"/>
        <w:szCs w:val="18"/>
      </w:rPr>
      <w:t xml:space="preserve">  Growth Protocol</w:t>
    </w:r>
    <w:r>
      <w:rPr>
        <w:color w:val="888888"/>
        <w:sz w:val="18"/>
        <w:szCs w:val="18"/>
      </w:rPr>
      <w:tab/>
    </w:r>
    <w:r>
      <w:rPr>
        <w:color w:val="1F3864"/>
        <w:sz w:val="18"/>
        <w:szCs w:val="18"/>
      </w:rPr>
      <w:fldChar w:fldCharType="begin"/>
    </w:r>
    <w:r>
      <w:rPr>
        <w:color w:val="1F3864"/>
        <w:sz w:val="18"/>
        <w:szCs w:val="18"/>
      </w:rPr>
      <w:instrText>PAGE</w:instrText>
    </w:r>
    <w:r>
      <w:rPr>
        <w:color w:val="1F3864"/>
        <w:sz w:val="18"/>
        <w:szCs w:val="18"/>
      </w:rPr>
      <w:fldChar w:fldCharType="separate"/>
    </w:r>
    <w:r w:rsidR="00103D15">
      <w:rPr>
        <w:noProof/>
        <w:color w:val="1F3864"/>
        <w:sz w:val="18"/>
        <w:szCs w:val="18"/>
      </w:rPr>
      <w:t>2</w:t>
    </w:r>
    <w:r>
      <w:rPr>
        <w:color w:val="1F386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EB506" w14:textId="77777777" w:rsidR="0002211C" w:rsidRDefault="0002211C">
      <w:r>
        <w:separator/>
      </w:r>
    </w:p>
  </w:footnote>
  <w:footnote w:type="continuationSeparator" w:id="0">
    <w:p w14:paraId="004BD1FC" w14:textId="77777777" w:rsidR="0002211C" w:rsidRDefault="000221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2F8C" w14:textId="77777777" w:rsidR="003310A5" w:rsidRDefault="00000000">
    <w:pPr>
      <w:pBdr>
        <w:bottom w:val="single" w:sz="4" w:space="4" w:color="1F3864"/>
      </w:pBdr>
      <w:tabs>
        <w:tab w:val="right" w:pos="9360"/>
      </w:tabs>
      <w:spacing w:after="80"/>
    </w:pPr>
    <w:r>
      <w:rPr>
        <w:color w:val="888888"/>
        <w:sz w:val="18"/>
        <w:szCs w:val="18"/>
      </w:rPr>
      <w:t>AI Systems Evaluation Framework — GL / NY Labor Law Stress Test</w:t>
    </w:r>
    <w:r>
      <w:rPr>
        <w:sz w:val="18"/>
        <w:szCs w:val="18"/>
      </w:rPr>
      <w:tab/>
    </w:r>
    <w:r>
      <w:rPr>
        <w:b/>
        <w:bCs/>
        <w:color w:val="1F3864"/>
        <w:sz w:val="18"/>
        <w:szCs w:val="18"/>
      </w:rPr>
      <w:t>Growth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03F93"/>
    <w:multiLevelType w:val="hybridMultilevel"/>
    <w:tmpl w:val="4BDA3972"/>
    <w:lvl w:ilvl="0" w:tplc="1B387594">
      <w:start w:val="1"/>
      <w:numFmt w:val="bullet"/>
      <w:lvlText w:val="•"/>
      <w:lvlJc w:val="left"/>
      <w:pPr>
        <w:ind w:left="720" w:hanging="360"/>
      </w:pPr>
    </w:lvl>
    <w:lvl w:ilvl="1" w:tplc="3C285172">
      <w:numFmt w:val="decimal"/>
      <w:lvlText w:val=""/>
      <w:lvlJc w:val="left"/>
    </w:lvl>
    <w:lvl w:ilvl="2" w:tplc="185A8870">
      <w:numFmt w:val="decimal"/>
      <w:lvlText w:val=""/>
      <w:lvlJc w:val="left"/>
    </w:lvl>
    <w:lvl w:ilvl="3" w:tplc="ACB64410">
      <w:numFmt w:val="decimal"/>
      <w:lvlText w:val=""/>
      <w:lvlJc w:val="left"/>
    </w:lvl>
    <w:lvl w:ilvl="4" w:tplc="89565026">
      <w:numFmt w:val="decimal"/>
      <w:lvlText w:val=""/>
      <w:lvlJc w:val="left"/>
    </w:lvl>
    <w:lvl w:ilvl="5" w:tplc="56D0DB6E">
      <w:numFmt w:val="decimal"/>
      <w:lvlText w:val=""/>
      <w:lvlJc w:val="left"/>
    </w:lvl>
    <w:lvl w:ilvl="6" w:tplc="845C357A">
      <w:numFmt w:val="decimal"/>
      <w:lvlText w:val=""/>
      <w:lvlJc w:val="left"/>
    </w:lvl>
    <w:lvl w:ilvl="7" w:tplc="18168804">
      <w:numFmt w:val="decimal"/>
      <w:lvlText w:val=""/>
      <w:lvlJc w:val="left"/>
    </w:lvl>
    <w:lvl w:ilvl="8" w:tplc="A4085108">
      <w:numFmt w:val="decimal"/>
      <w:lvlText w:val=""/>
      <w:lvlJc w:val="left"/>
    </w:lvl>
  </w:abstractNum>
  <w:abstractNum w:abstractNumId="1" w15:restartNumberingAfterBreak="0">
    <w:nsid w:val="210E4C87"/>
    <w:multiLevelType w:val="hybridMultilevel"/>
    <w:tmpl w:val="122CA6A8"/>
    <w:lvl w:ilvl="0" w:tplc="F52AFED2">
      <w:start w:val="1"/>
      <w:numFmt w:val="bullet"/>
      <w:lvlText w:val="●"/>
      <w:lvlJc w:val="left"/>
      <w:pPr>
        <w:ind w:left="720" w:hanging="360"/>
      </w:pPr>
    </w:lvl>
    <w:lvl w:ilvl="1" w:tplc="81FC3456">
      <w:start w:val="1"/>
      <w:numFmt w:val="bullet"/>
      <w:lvlText w:val="○"/>
      <w:lvlJc w:val="left"/>
      <w:pPr>
        <w:ind w:left="1440" w:hanging="360"/>
      </w:pPr>
    </w:lvl>
    <w:lvl w:ilvl="2" w:tplc="15A0DF16">
      <w:start w:val="1"/>
      <w:numFmt w:val="bullet"/>
      <w:lvlText w:val="■"/>
      <w:lvlJc w:val="left"/>
      <w:pPr>
        <w:ind w:left="2160" w:hanging="360"/>
      </w:pPr>
    </w:lvl>
    <w:lvl w:ilvl="3" w:tplc="0DD87D32">
      <w:start w:val="1"/>
      <w:numFmt w:val="bullet"/>
      <w:lvlText w:val="●"/>
      <w:lvlJc w:val="left"/>
      <w:pPr>
        <w:ind w:left="2880" w:hanging="360"/>
      </w:pPr>
    </w:lvl>
    <w:lvl w:ilvl="4" w:tplc="8466DCA8">
      <w:start w:val="1"/>
      <w:numFmt w:val="bullet"/>
      <w:lvlText w:val="○"/>
      <w:lvlJc w:val="left"/>
      <w:pPr>
        <w:ind w:left="3600" w:hanging="360"/>
      </w:pPr>
    </w:lvl>
    <w:lvl w:ilvl="5" w:tplc="D5688CE4">
      <w:start w:val="1"/>
      <w:numFmt w:val="bullet"/>
      <w:lvlText w:val="■"/>
      <w:lvlJc w:val="left"/>
      <w:pPr>
        <w:ind w:left="4320" w:hanging="360"/>
      </w:pPr>
    </w:lvl>
    <w:lvl w:ilvl="6" w:tplc="81B6841C">
      <w:start w:val="1"/>
      <w:numFmt w:val="bullet"/>
      <w:lvlText w:val="●"/>
      <w:lvlJc w:val="left"/>
      <w:pPr>
        <w:ind w:left="5040" w:hanging="360"/>
      </w:pPr>
    </w:lvl>
    <w:lvl w:ilvl="7" w:tplc="9E42EC90">
      <w:start w:val="1"/>
      <w:numFmt w:val="bullet"/>
      <w:lvlText w:val="●"/>
      <w:lvlJc w:val="left"/>
      <w:pPr>
        <w:ind w:left="5760" w:hanging="360"/>
      </w:pPr>
    </w:lvl>
    <w:lvl w:ilvl="8" w:tplc="D6448FDC">
      <w:start w:val="1"/>
      <w:numFmt w:val="bullet"/>
      <w:lvlText w:val="●"/>
      <w:lvlJc w:val="left"/>
      <w:pPr>
        <w:ind w:left="6480" w:hanging="360"/>
      </w:pPr>
    </w:lvl>
  </w:abstractNum>
  <w:num w:numId="1" w16cid:durableId="1854412636">
    <w:abstractNumId w:val="1"/>
    <w:lvlOverride w:ilvl="0">
      <w:startOverride w:val="1"/>
    </w:lvlOverride>
  </w:num>
  <w:num w:numId="2" w16cid:durableId="1878853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0A5"/>
    <w:rsid w:val="0002211C"/>
    <w:rsid w:val="00103D15"/>
    <w:rsid w:val="003310A5"/>
    <w:rsid w:val="009B0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E8450B"/>
  <w15:docId w15:val="{B711F2CB-A7A3-0140-8490-F375DF86B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ap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28</Pages>
  <Words>7579</Words>
  <Characters>43205</Characters>
  <Application>Microsoft Office Word</Application>
  <DocSecurity>0</DocSecurity>
  <Lines>360</Lines>
  <Paragraphs>101</Paragraphs>
  <ScaleCrop>false</ScaleCrop>
  <Company/>
  <LinksUpToDate>false</LinksUpToDate>
  <CharactersWithSpaces>50683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Mocklow</cp:lastModifiedBy>
  <cp:revision>2</cp:revision>
  <dcterms:created xsi:type="dcterms:W3CDTF">2026-06-12T17:32:00Z</dcterms:created>
  <dcterms:modified xsi:type="dcterms:W3CDTF">2026-06-12T17:32:00Z</dcterms:modified>
</cp:coreProperties>
</file>