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2E75B6" w:sz="8"/>
              <w:left w:val="single" w:color="2E75B6" w:sz="8"/>
              <w:bottom w:val="single" w:color="D6DCE4" w:sz="1"/>
              <w:right w:val="none"/>
            </w:tcBorders>
            <w:shd w:fill="E8EE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Sonoma Heights Residential Development</w:t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Multi-Unit Residential | Construction Defect | California</w:t>
            </w:r>
          </w:p>
          <w:p>
            <w:pPr>
              <w:spacing w:after="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Claim No: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MSI-CL-2023-0847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   Policy: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MSI-2021-04821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Insured: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Pacific Crest Builders, Inc.</w:t>
            </w: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     Broker: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Pacific Rim Specialty (BRK-016)</w:t>
            </w:r>
          </w:p>
        </w:tc>
        <w:tc>
          <w:tcPr>
            <w:tcW w:type="dxa" w:w="2880"/>
            <w:tcBorders>
              <w:top w:val="single" w:color="1B3A5C" w:sz="8"/>
              <w:left w:val="none"/>
              <w:bottom w:val="single" w:color="D6DCE4" w:sz="1"/>
              <w:right w:val="single" w:color="1B3A5C" w:sz="8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EEF5"/>
                <w:sz w:val="16"/>
                <w:szCs w:val="16"/>
              </w:rPr>
              <w:t xml:space="preserve">CURRENT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  LITIGATION  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EF5"/>
                <w:sz w:val="16"/>
                <w:szCs w:val="16"/>
              </w:rPr>
              <w:t xml:space="preserve">Current Reserve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$2,800,000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EF5"/>
                <w:sz w:val="16"/>
                <w:szCs w:val="16"/>
              </w:rPr>
              <w:t xml:space="preserve">Handler: J. Okafor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EF5"/>
                <w:sz w:val="16"/>
                <w:szCs w:val="16"/>
              </w:rPr>
              <w:t xml:space="preserve">Supervisor: M. Chen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GP PLATFORM ALERTS  —  4 Issues Require Handler Attention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AI-1: Broad Form Additional Insured tender from Sonoma Heights LLC — no 'required by contract' endorsement present on policy MSI-2021-04821. Coverage position not yet established. (Priority: CRITICAL)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AI-2: Framing sub-trade tender (Crestview Framing Inc.) — contractual privity to GC confirmed, defense obligation likely. Response due within 5 business days.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AI-3: Waterproofing sub-trade tender (Pacific Coast Waterproofing) — missing certificate of insurance; policy period overlap unconfirmed. On hold pending documentation.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AI-4: Concrete sub-trade tender (Bay Concrete Works) — scope of work review in progress. No CD nexus established to date.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RES-1: Reserve adequacy flagged. Nuclear venue (Sonoma County). Opposing counsel Shea &amp; Connolly (avg. verdict $4.2M for CD). GP model recommends reserve increase review at 90-day interval.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Policy &amp; Coverage Summary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Information</w:t>
            </w:r>
          </w:p>
        </w:tc>
        <w:tc>
          <w:tcPr>
            <w:tcW w:type="dxa" w:w="5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Details</w:t>
            </w:r>
          </w:p>
        </w:tc>
      </w:tr>
      <w:tr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Policy Number: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MSI-2021-04821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Policy Period: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10/01/2021 – 09/30/2022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Named Insured: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Pacific Crest Builders, Inc.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Submission ID: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SUB-2021-0841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Broker: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Pacific Rim Specialty (BRK-016)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UW at Bind: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T. Reyes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Class of Business: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Residential GC — Multi-Family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Project State: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California (Sonoma County)</w:t>
            </w:r>
          </w:p>
        </w:tc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Form: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CG 00 01 (Occurrence)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Policy Limit: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$2,000,000 / $4,000,000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Products/Comp Ops: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$2,000,000 / $4,000,000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Deductible: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$50,000 (per occurrence)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AI Endorsement: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Scheduled AI — CG 20 10 &amp; CG 20 37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Premium: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$189,400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Reinsurance Layer: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MSI-XL-2025-CL Layer 1 ($5M xs $1.5M)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Treaty Status: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Layer 1 attachment probable (reserve $2.8M)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Loss &amp; Project Details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Project Information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Project Name: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Sonoma Heights Residential Development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Location: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Santa Rosa, Sonoma County, CA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Units: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185 residential condominiums (4 buildings)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Project Value: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$42,000,000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Completion: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October 2020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 Theory: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Property Damage / Continuous Trigger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Venue: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Sonoma County Superior Court</w:t>
            </w:r>
          </w:p>
        </w:tc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Loss Information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of Loss: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November 14, 2022 (First Notice)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Reported: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December 3, 2022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Claim Filed: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January 10, 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Cause of Loss: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Water intrusion, improper flashing, stucco failure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Demand Amount: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$6,800,000 (HOA demand, 5/2024)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Current Indemnity Reserve: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$2,400,000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Current Expense Reserve: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$400,000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Paid to Date: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$284,500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Additional Insured Tender Analysis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GP Platform has identified 4 additional insured tenders requiring coverage analysis. One tender presents a critical coverage question under the policy AI endorsement.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500"/>
        <w:gridCol w:w="278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Tendering Party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Tender Date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Endorsement Basis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Status</w:t>
            </w:r>
          </w:p>
        </w:tc>
        <w:tc>
          <w:tcPr>
            <w:tcW w:type="dxa" w:w="27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Position / Action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Sonoma Heights HOA LLC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01/10/2023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Broad Form AI — no req-by-contract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Coverage position NOT established. Policy MSI-2021-04821 carries Scheduled AI only (CG 20 10/20 37). Broad Form AI not endorsed. ROR issued 2/2023. Declaratory judgment action under consideration.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Crestview Framing Inc.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03/15/2023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Indemnity agreement — GC contract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ACCEPTED</w:t>
            </w:r>
          </w:p>
        </w:tc>
        <w:tc>
          <w:tcPr>
            <w:tcW w:type="dxa" w:w="2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Defense obligation confirmed. GC-sub contract requires AI coverage. Hensley Morgan &amp; Watkins assigned for coordinated defense per JDA framework.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Pacific Coast Waterproofing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06/22/2023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Sub-sub trade indemnity claim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ON HOLD</w:t>
            </w:r>
          </w:p>
        </w:tc>
        <w:tc>
          <w:tcPr>
            <w:tcW w:type="dxa" w:w="2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 not provided. Policy period overlap for waterproofing work unconfirmed (installation Sept-Oct 2020). Tender on hold pending documentation. Response deadline: 15 business days from receipt of docs.</w:t>
            </w:r>
          </w:p>
        </w:tc>
      </w:tr>
      <w:tr>
        <w:tc>
          <w:tcPr>
            <w:tcW w:type="dxa" w:w="2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 Concrete Works</w:t>
            </w:r>
          </w:p>
        </w:tc>
        <w:tc>
          <w:tcPr>
            <w:tcW w:type="dxa" w:w="14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09/04/2023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 of work — foundation work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REVIEWING</w:t>
            </w:r>
          </w:p>
        </w:tc>
        <w:tc>
          <w:tcPr>
            <w:tcW w:type="dxa" w:w="2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Scope of work review in progress. No direct nexus between foundation work and water intrusion defect established to date. GP cross-referencing expert report when available.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Reserve Development History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328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Indemnity Reserve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Reserve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Reserve</w:t>
            </w:r>
          </w:p>
        </w:tc>
        <w:tc>
          <w:tcPr>
            <w:tcW w:type="dxa" w:w="3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for Change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12/03/2022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$400,000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$75,000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$475,000</w:t>
            </w:r>
          </w:p>
        </w:tc>
        <w:tc>
          <w:tcPr>
            <w:tcW w:type="dxa" w:w="3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Initial reserve set at first notice. Single-unit exposure assumed.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02/15/2023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$850,000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$150,000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$1,000,000</w:t>
            </w:r>
          </w:p>
        </w:tc>
        <w:tc>
          <w:tcPr>
            <w:tcW w:type="dxa" w:w="3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HOA involvement confirmed. All 185 units potentially affected. First engineer report indicates systemic flashing failure.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07/01/2023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$1,500,000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$250,000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$1,750,000</w:t>
            </w:r>
          </w:p>
        </w:tc>
        <w:tc>
          <w:tcPr>
            <w:tcW w:type="dxa" w:w="3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Litigation filed. Shea &amp; Connolly retained as plaintiff counsel. GP venue analysis confirms nuclear status. Reserve increase per actuarial guidance.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11/30/2023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$1,900,000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$300,000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$2,200,000</w:t>
            </w:r>
          </w:p>
        </w:tc>
        <w:tc>
          <w:tcPr>
            <w:tcW w:type="dxa" w:w="3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Discovery phase. Additional trades implicated. JDA executed with Crestview Framing. AI-1 coverage issue unresolved.</w:t>
            </w:r>
          </w:p>
        </w:tc>
      </w:tr>
      <w:tr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05/15/2024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$2,400,000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$400,000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$2,800,000</w:t>
            </w:r>
          </w:p>
        </w:tc>
        <w:tc>
          <w:tcPr>
            <w:tcW w:type="dxa" w:w="3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HOA formal demand received: $6,800,000. GP reserve model: CA residential GC CA multiplier 1.35x applied. Expert report confirms stucco and waterproofing defects systemic. CURRENT RESERVE.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Defense Counsel &amp; Litigation Status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Defense Team — MSI Assigned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Panel Firm: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Hensley Morgan &amp; Watkins (Tier 1)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Lead Counsel: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R. Hensley (Partner)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Coverage Counsel: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Pacific Defense Group — retained 2/2023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Forensic Engineer: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Pacific Crest Engineering (retained)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GP Billing Status: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Compliant (last audit 3/2025)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MTD Budget: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$380,000 (within approved budget)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JDA Status: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Executed with Crestview Framing 11/2023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Trial Date: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March 2026 (tentative)</w:t>
            </w:r>
          </w:p>
        </w:tc>
        <w:tc>
          <w:tcPr>
            <w:tcW w:type="dxa" w:w="50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Plaintiff / Opposing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Plaintiff: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Sonoma Heights HOA, LLC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Plaintiff Counsel: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Shea &amp; Connolly LLP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GP Firm Profile: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Nuclear — avg. verdict $4.2M (CA CD)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Typical Demand: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3.0x–4.5x pre-trial settlement demand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Demand (May 2024):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$6,800,000 (HOA global demand)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GP Settlement Model: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$2.1M–$3.4M range (pre-trial)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GP Trial Risk Model: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29% prob. verdict &gt;$4M if tried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Venue Risk: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Sonoma County — Nuclear (GP Tier 1)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Key Events Timeline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580"/>
      </w:tblGrid>
      <w:tr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 Action / Status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10/01/2021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Policy MSI-2021-04821 bound via Pacific Rim Specialty (BRK-016). Residential GC, CA, multi-family.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Policy issued. No Broad Form AI endorsement. Scheduled AI only (CG 20 10/37).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10/2020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Sonoma Heights construction completed. Certificate of Occupancy issued.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Pre-policy period. Completed operations tail applies.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11/14/2022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HOA first notice of water intrusion complaints. 32 of 185 units affected initially reported.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First Notice of Loss received by Meridian 12/03/2022.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01/10/2023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Formal claim filed. HOA names Pacific Crest Builders. Sonoma Heights LLC tenders as AI.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AI-1 tender received. ROR issued 02/07/2023. Coverage counsel retained.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02/15/2023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inspection confirms systemic flashing failure. All 4 buildings affected.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Reserve increased to $1,000,000. Supervisor M. Chen notified.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03/15/2023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Crestview Framing tenders as AI. GC-sub contract reviewed.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AI-2 tender accepted. Hensley Morgan assigned for coordinated defense.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06/01/2023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Litigation filed: Sonoma Heights HOA v. Pacific Crest Builders, Sonoma County Superior Court.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Case management conference set 9/2023. Trial date tracking initiated.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06/22/2023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Pacific Coast Waterproofing tenders as AI. No COI provided.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AI-3 tender on hold pending documentation.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07/01/2023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 venue analysis updated. Shea &amp; Connolly profile reviewed.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Reserve increased to $1,750,000 per GP model recommendation.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09/04/2023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 Concrete Works tenders as AI. Scope of work review initiated.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AI-4 under review. No CD nexus established.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11/2023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JDA executed — Pacific Crest Builders, Crestview Framing. Expert retained.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Contribution matrix development begins (45-day timeline per JDA Article 4).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05/15/2024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HOA global demand: $6,800,000. Expert report: stucco + waterproofing defects systemic.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Reserve increased to $2,800,000. Treaty Layer 1 attachment probable. CCO notified.</w:t>
            </w:r>
          </w:p>
        </w:tc>
      </w:tr>
      <w:tr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05/2025</w:t>
            </w:r>
          </w:p>
        </w:tc>
        <w:tc>
          <w:tcPr>
            <w:tcW w:type="dxa" w:w="5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Discovery in progress. Trial set March 2026 (tentative). Mediation proposed.</w:t>
            </w:r>
          </w:p>
        </w:tc>
        <w:tc>
          <w:tcPr>
            <w:tcW w:type="dxa" w:w="35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Handler action: Mediation brief preparation. GP settlement range $2.1M–$3.4M.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GP Platform — Cross-Domain Reasoning Summary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1A1A1A"/>
          <w:sz w:val="18"/>
          <w:szCs w:val="18"/>
        </w:rPr>
        <w:t xml:space="preserve">The following reflects GP NSAI reasoning across Claims, Underwriting, and Reinsurance domains for this claim file.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8EE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CLAIMS DOMAIN — Decision Points Triggered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DP-C2 (Reserve Adequacy): Nuclear venue flag. CA residential GC multiplier 1.35x applied. Reserve $2,800,000 flagged for 90-day review vs. initial $475,000.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DP-C5 (AI Coverage Verification): Broad Form AI tender from Sonoma Heights LLC detected against Scheduled-only policy. ROR issued. Declaratory judgment analysis recommended.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DP-C8 (Defense Billing Compliance): Hensley Morgan &amp; Watkins billing compliant. No billing alert flags to date (contrast with Anchor Claim 2).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DP-C11 (Panel Counsel Assignment): GP score 92 — Hensley Morgan retained. Tier 1 designation confirmed for Sonoma County residential CD.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UNDERWRITING DOMAIN — Cross-Domain Flag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DP-U3 (Broker Quality Score Impact): Pacific Rim Specialty (BRK-016) current quality score: 62 (Tier C). This claim joins MSI-CL-2023-0412 and MSI-CL-2024-0118 as three large CA residential CD claims originating from the same broker in policy year 2021.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DP-U7 (Renewal Non-Recommendation): GP model recommendation for next Pacific Crest Builders renewal: DO NOT RENEW pending resolution of all AI coverage issues and claim outcome. UW referral required.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DP-U9 (Portfolio Concentration): CA residential GC exposure concentration flag. Three Pacific Rim claims from 2021 UY represent 68% of current large-loss reserve. UW portfolio review recommended.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5E20" w:sz="8"/>
              <w:left w:val="single" w:color="1B5E20" w:sz="8"/>
              <w:bottom w:val="single" w:color="1B5E20" w:sz="8"/>
              <w:right w:val="single" w:color="1B5E20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REINSURANCE DOMAIN — Treaty Attachment Analysis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Treaty: MSI-XL-2025-CL Layer 1 ($5M xs $1.5M per occurrence). Current reserve $2,800,000 exceeds attachment point of $1,500,000.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Layer 1 attachment probability: 72% (per GP model based on current reserve and Shea &amp; Connolly verdict history).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Bordereaux reporting: This claim included in Q4 2024 treaty bordereau submitted to Munich Re (45%), Swiss Re (35%), Everest Re (20%).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Handler action required: Notify reinsurance team if reserve increases above $3,000,000. Quarterly cessions report due 06/30/2025.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Required Handler Actions — Next 30 Days</w:t>
      </w:r>
    </w:p>
    <w:p>
      <w:pPr>
        <w:pBdr>
          <w:bottom w:val="single" w:color="2E75B6" w:sz="6" w:space="1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2000"/>
        <w:gridCol w:w="228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Reference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06/02/2025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Finalize coverage position on AI-1 (Sonoma Heights LLC). Broad Form AI not endorsed. Consult coverage counsel — declaratory judgment recommendation.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 Okafor / Coverage Counsel</w:t>
            </w:r>
          </w:p>
        </w:tc>
        <w:tc>
          <w:tcPr>
            <w:tcW w:type="dxa" w:w="2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DP-C5: AI Coverage Verification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06/09/2025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Follow up Pacific Coast Waterproofing (AI-3) — COI and scope documentation. 15 business day clock running.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 Okafor</w:t>
            </w:r>
          </w:p>
        </w:tc>
        <w:tc>
          <w:tcPr>
            <w:tcW w:type="dxa" w:w="2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DP-C5: AI Coverage Verification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06/15/2025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Mediation response to plaintiff. GP settlement model range $2.1M–$3.4M. Request settlement authority from supervisor for amounts in range.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 Okafor / M. Chen</w:t>
            </w:r>
          </w:p>
        </w:tc>
        <w:tc>
          <w:tcPr>
            <w:tcW w:type="dxa" w:w="2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DP-C9: Settlement Authority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06/30/2025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Quarterly reinsurance cessions report. Include bordereau update if reserve changes. Notify reinsurance team of any change above $3,000,000.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Chen / Reinsurance Team</w:t>
            </w:r>
          </w:p>
        </w:tc>
        <w:tc>
          <w:tcPr>
            <w:tcW w:type="dxa" w:w="2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Treaty MSI-XL-2025-CL Article 9</w:t>
            </w:r>
          </w:p>
        </w:tc>
      </w:tr>
      <w:tr>
        <w:tc>
          <w:tcPr>
            <w:tcW w:type="dxa" w:w="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07/15/2025</w:t>
            </w:r>
          </w:p>
        </w:tc>
        <w:tc>
          <w:tcPr>
            <w:tcW w:type="dxa" w:w="36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90-day reserve adequacy review. Re-run GP reserve model with any updated expert findings or discovery developments.</w:t>
            </w:r>
          </w:p>
        </w:tc>
        <w:tc>
          <w:tcPr>
            <w:tcW w:type="dxa" w:w="20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 Okafor / Actuarial</w:t>
            </w:r>
          </w:p>
        </w:tc>
        <w:tc>
          <w:tcPr>
            <w:tcW w:type="dxa" w:w="22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DP-C2: Reserve Adequacy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D6DCE4"/>
          <w:sz w:val="14"/>
          <w:szCs w:val="14"/>
        </w:rPr>
        <w:t xml:space="preserve">MERIDIAN SPECIALTY INSURANCE — GROWTH PROTOCOL CLAIMS PLATFORM  |  CONFIDENTIAL — FOR AUTHORIZED CLAIMS PERSONNEL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D6DCE4"/>
        <w:sz w:val="16"/>
        <w:szCs w:val="16"/>
      </w:rPr>
      <w:t xml:space="preserve">Meridian Specialty Insurance | Claims Management Platform | Page </w:t>
    </w:r>
    <w:r>
      <w:rPr>
        <w:rFonts w:ascii="Arial" w:cs="Arial" w:eastAsia="Arial" w:hAnsi="Arial"/>
        <w:color w:val="D6DCE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6DCE4"/>
        <w:sz w:val="16"/>
        <w:szCs w:val="16"/>
      </w:rPr>
      <w:t xml:space="preserve"> of </w:t>
    </w:r>
    <w:r>
      <w:rPr>
        <w:rFonts w:ascii="Arial" w:cs="Arial" w:eastAsia="Arial" w:hAnsi="Arial"/>
        <w:color w:val="D6DCE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D6DCE4"/>
        <w:sz w:val="16"/>
        <w:szCs w:val="16"/>
      </w:rPr>
      <w:t xml:space="preserve"> | Generated: May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  <w:shd w:fill="1B3A5C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GROWTH PROTOCOL</w:t>
          </w:r>
        </w:p>
        <w:p>
          <w:r>
            <w:rPr>
              <w:rFonts w:ascii="Arial" w:cs="Arial" w:eastAsia="Arial" w:hAnsi="Arial"/>
              <w:color w:val="E8EEF5"/>
              <w:sz w:val="18"/>
              <w:szCs w:val="18"/>
            </w:rPr>
            <w:t xml:space="preserve">Claims Handler — Active Claim View</w:t>
          </w:r>
        </w:p>
      </w:tc>
      <w:tc>
        <w:tcPr>
          <w:tcW w:type="dxa" w:w="3080"/>
          <w:tcBorders>
            <w:top w:val="none"/>
            <w:left w:val="none"/>
            <w:bottom w:val="none"/>
            <w:right w:val="none"/>
          </w:tcBorders>
          <w:shd w:fill="1B3A5C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MSI-CL-2023-0847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DCE4"/>
              <w:sz w:val="14"/>
              <w:szCs w:val="14"/>
            </w:rPr>
            <w:t xml:space="preserve">CONFIDENTIAL — INTERNAL USE ONLY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2026-05-05T20:16:29.408Z</dcterms:created>
  <dcterms:modified xsi:type="dcterms:W3CDTF">2026-05-05T20:16:29.412Z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