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B3A5C" w:val="clear"/>
            <w:tcMar>
              <w:top w:type="dxa" w:w="200"/>
              <w:left w:type="dxa" w:w="240"/>
              <w:bottom w:type="dxa" w:w="200"/>
              <w:right w:type="dxa" w:w="240"/>
            </w:tcMar>
          </w:tcPr>
          <w:p>
            <w:pPr>
              <w:spacing w:after="60"/>
              <w:jc w:val="center"/>
            </w:pPr>
            <w:r>
              <w:rPr>
                <w:rFonts w:ascii="Arial" w:cs="Arial" w:eastAsia="Arial" w:hAnsi="Arial"/>
                <w:b/>
                <w:bCs/>
                <w:color w:val="E8EEF5"/>
                <w:sz w:val="22"/>
                <w:szCs w:val="22"/>
              </w:rPr>
              <w:t xml:space="preserve">MERIDIAN SPECIALTY INSURANCE</w:t>
            </w:r>
          </w:p>
          <w:p>
            <w:pPr>
              <w:spacing w:after="60"/>
              <w:jc w:val="center"/>
            </w:pPr>
            <w:r>
              <w:rPr>
                <w:rFonts w:ascii="Arial" w:cs="Arial" w:eastAsia="Arial" w:hAnsi="Arial"/>
                <w:b/>
                <w:bCs/>
                <w:color w:val="FFFFFF"/>
                <w:sz w:val="48"/>
                <w:szCs w:val="48"/>
              </w:rPr>
              <w:t xml:space="preserve">Commercial General Liability</w:t>
            </w:r>
          </w:p>
          <w:p>
            <w:pPr>
              <w:spacing w:after="120"/>
              <w:jc w:val="center"/>
            </w:pPr>
            <w:r>
              <w:rPr>
                <w:rFonts w:ascii="Arial" w:cs="Arial" w:eastAsia="Arial" w:hAnsi="Arial"/>
                <w:color w:val="E8EEF5"/>
                <w:sz w:val="26"/>
                <w:szCs w:val="26"/>
              </w:rPr>
              <w:t xml:space="preserve">Policy Form Library — Construction Program</w:t>
            </w:r>
          </w:p>
          <w:p>
            <w:pPr>
              <w:jc w:val="center"/>
            </w:pPr>
            <w:r>
              <w:rPr>
                <w:rFonts w:ascii="Arial" w:cs="Arial" w:eastAsia="Arial" w:hAnsi="Arial"/>
                <w:color w:val="D6DCE4"/>
                <w:sz w:val="18"/>
                <w:szCs w:val="18"/>
              </w:rPr>
              <w:t xml:space="preserve">Document Reference: MSI-FL-CGL-2025  |  Effective: January 1, 2025  |  Underwriting Use Only</w:t>
            </w:r>
          </w:p>
        </w:tc>
      </w:tr>
    </w:tbl>
    <w:p>
      <w:pPr>
        <w:spacing w:after="0" w:before="0"/>
      </w:pPr>
      <w:r>
        <w:t xml:space="preserve"/>
      </w:r>
    </w:p>
    <w:p>
      <w:pPr>
        <w:spacing w:after="80" w:before="0"/>
      </w:pPr>
      <w:r>
        <w:rPr>
          <w:rFonts w:ascii="Arial" w:cs="Arial" w:eastAsia="Arial" w:hAnsi="Arial"/>
          <w:color w:val="1A1A1A"/>
          <w:sz w:val="20"/>
          <w:szCs w:val="20"/>
        </w:rPr>
        <w:t xml:space="preserve">This library defines the three Commercial General Liability policy forms available for Meridian Specialty Insurance construction program risks written on an E&amp;S basis. Each form carries distinct exclusion schedules, coverage modifications, and underwriting eligibility criteria. Form selection is determined at the underwriting level and recorded on the declarations page. The Growth Protocol platform cross-references form selection against claims outcomes to identify coverage-driven loss patterns.</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680"/>
      </w:tblGrid>
      <w:tr>
        <w:tc>
          <w:tcPr>
            <w:tcW w:type="dxa" w:w="3200"/>
            <w:tcBorders>
              <w:top w:val="none"/>
              <w:left w:val="none"/>
              <w:bottom w:val="none"/>
              <w:right w:val="none"/>
            </w:tcBorders>
            <w:shd w:fill="2E75B6" w:val="clear"/>
            <w:tcMar>
              <w:top w:type="dxa" w:w="140"/>
              <w:left w:type="dxa" w:w="160"/>
              <w:bottom w:type="dxa" w:w="140"/>
              <w:right w:type="dxa" w:w="120"/>
            </w:tcMar>
          </w:tcPr>
          <w:p>
            <w:pPr>
              <w:spacing w:after="40"/>
            </w:pPr>
            <w:r>
              <w:rPr>
                <w:rFonts w:ascii="Arial" w:cs="Arial" w:eastAsia="Arial" w:hAnsi="Arial"/>
                <w:b/>
                <w:bCs/>
                <w:color w:val="FFFFFF"/>
                <w:sz w:val="18"/>
                <w:szCs w:val="18"/>
              </w:rPr>
              <w:t xml:space="preserve">MSI-CGL-STD-01</w:t>
            </w:r>
          </w:p>
          <w:p>
            <w:pPr>
              <w:spacing w:after="80"/>
            </w:pPr>
            <w:r>
              <w:rPr>
                <w:rFonts w:ascii="Arial" w:cs="Arial" w:eastAsia="Arial" w:hAnsi="Arial"/>
                <w:b/>
                <w:bCs/>
                <w:color w:val="FFFFFF"/>
                <w:sz w:val="26"/>
                <w:szCs w:val="26"/>
              </w:rPr>
              <w:t xml:space="preserve">Standard Form</w:t>
            </w:r>
          </w:p>
          <w:p>
            <w:r>
              <w:rPr>
                <w:rFonts w:ascii="Arial" w:cs="Arial" w:eastAsia="Arial" w:hAnsi="Arial"/>
                <w:color w:val="E8EEF5"/>
                <w:sz w:val="16"/>
                <w:szCs w:val="16"/>
              </w:rPr>
              <w:t xml:space="preserve">ISO CG 00 01 base with standard construction exclusion package. Applies to commercial GC, specialty trades, and lower-risk residential work.</w:t>
            </w:r>
          </w:p>
        </w:tc>
        <w:tc>
          <w:tcPr>
            <w:tcW w:type="dxa" w:w="3200"/>
            <w:tcBorders>
              <w:top w:val="none"/>
              <w:left w:val="none"/>
              <w:bottom w:val="none"/>
              <w:right w:val="none"/>
            </w:tcBorders>
            <w:shd w:fill="006064" w:val="clear"/>
            <w:tcMar>
              <w:top w:type="dxa" w:w="140"/>
              <w:left w:type="dxa" w:w="160"/>
              <w:bottom w:type="dxa" w:w="140"/>
              <w:right w:type="dxa" w:w="120"/>
            </w:tcMar>
          </w:tcPr>
          <w:p>
            <w:pPr>
              <w:spacing w:after="40"/>
            </w:pPr>
            <w:r>
              <w:rPr>
                <w:rFonts w:ascii="Arial" w:cs="Arial" w:eastAsia="Arial" w:hAnsi="Arial"/>
                <w:b/>
                <w:bCs/>
                <w:color w:val="FFFFFF"/>
                <w:sz w:val="18"/>
                <w:szCs w:val="18"/>
              </w:rPr>
              <w:t xml:space="preserve">MSI-CGL-BRD-01</w:t>
            </w:r>
          </w:p>
          <w:p>
            <w:pPr>
              <w:spacing w:after="80"/>
            </w:pPr>
            <w:r>
              <w:rPr>
                <w:rFonts w:ascii="Arial" w:cs="Arial" w:eastAsia="Arial" w:hAnsi="Arial"/>
                <w:b/>
                <w:bCs/>
                <w:color w:val="FFFFFF"/>
                <w:sz w:val="26"/>
                <w:szCs w:val="26"/>
              </w:rPr>
              <w:t xml:space="preserve">Broad Form</w:t>
            </w:r>
          </w:p>
          <w:p>
            <w:r>
              <w:rPr>
                <w:rFonts w:ascii="Arial" w:cs="Arial" w:eastAsia="Arial" w:hAnsi="Arial"/>
                <w:color w:val="E0F7FA"/>
                <w:sz w:val="16"/>
                <w:szCs w:val="16"/>
              </w:rPr>
              <w:t xml:space="preserve">Broadened coverage with modified exclusions for qualified risks. Designed for GCs with strong loss history. Extended completed ops tail. Mold as sublimit. Broader AI trigger.</w:t>
            </w:r>
          </w:p>
        </w:tc>
        <w:tc>
          <w:tcPr>
            <w:tcW w:type="dxa" w:w="3680"/>
            <w:tcBorders>
              <w:top w:val="none"/>
              <w:left w:val="none"/>
              <w:bottom w:val="none"/>
              <w:right w:val="none"/>
            </w:tcBorders>
            <w:shd w:fill="C55A11" w:val="clear"/>
            <w:tcMar>
              <w:top w:type="dxa" w:w="140"/>
              <w:left w:type="dxa" w:w="160"/>
              <w:bottom w:type="dxa" w:w="140"/>
              <w:right w:type="dxa" w:w="160"/>
            </w:tcMar>
          </w:tcPr>
          <w:p>
            <w:pPr>
              <w:spacing w:after="40"/>
            </w:pPr>
            <w:r>
              <w:rPr>
                <w:rFonts w:ascii="Arial" w:cs="Arial" w:eastAsia="Arial" w:hAnsi="Arial"/>
                <w:b/>
                <w:bCs/>
                <w:color w:val="FFFFFF"/>
                <w:sz w:val="18"/>
                <w:szCs w:val="18"/>
              </w:rPr>
              <w:t xml:space="preserve">MSI-CGL-RST-01</w:t>
            </w:r>
          </w:p>
          <w:p>
            <w:pPr>
              <w:spacing w:after="80"/>
            </w:pPr>
            <w:r>
              <w:rPr>
                <w:rFonts w:ascii="Arial" w:cs="Arial" w:eastAsia="Arial" w:hAnsi="Arial"/>
                <w:b/>
                <w:bCs/>
                <w:color w:val="FFFFFF"/>
                <w:sz w:val="26"/>
                <w:szCs w:val="26"/>
              </w:rPr>
              <w:t xml:space="preserve">Restricted Form</w:t>
            </w:r>
          </w:p>
          <w:p>
            <w:r>
              <w:rPr>
                <w:rFonts w:ascii="Arial" w:cs="Arial" w:eastAsia="Arial" w:hAnsi="Arial"/>
                <w:color w:val="FFF8E1"/>
                <w:sz w:val="16"/>
                <w:szCs w:val="16"/>
              </w:rPr>
              <w:t xml:space="preserve">Enhanced exclusion schedule for elevated-risk classes, adverse loss history, or nuclear venue concentration. Sublimited completed ops. No residential construction.</w:t>
            </w:r>
          </w:p>
        </w:tc>
      </w:tr>
    </w:tbl>
    <w:p>
      <w:pPr>
        <w:spacing w:after="0" w:before="0"/>
      </w:pPr>
      <w:r>
        <w:t xml:space="preserve"/>
      </w:r>
    </w:p>
    <w:p>
      <w:pPr>
        <w:spacing w:after="120" w:before="240"/>
      </w:pPr>
      <w:r>
        <w:rPr>
          <w:rFonts w:ascii="Arial" w:cs="Arial" w:eastAsia="Arial" w:hAnsi="Arial"/>
          <w:b/>
          <w:bCs/>
          <w:color w:val="1B3A5C"/>
          <w:sz w:val="32"/>
          <w:szCs w:val="32"/>
        </w:rPr>
        <w:t xml:space="preserve">Section 1 — Coverage Comparison Matrix</w:t>
      </w:r>
    </w:p>
    <w:p>
      <w:pPr>
        <w:pBdr>
          <w:bottom w:val="single" w:color="2E75B6" w:sz="6" w:space="1"/>
        </w:pBdr>
        <w:spacing w:after="100" w:before="100"/>
      </w:pPr>
    </w:p>
    <w:p>
      <w:pPr>
        <w:spacing w:after="80" w:before="0"/>
      </w:pPr>
      <w:r>
        <w:rPr>
          <w:rFonts w:ascii="Arial" w:cs="Arial" w:eastAsia="Arial" w:hAnsi="Arial"/>
          <w:color w:val="1A1A1A"/>
          <w:sz w:val="20"/>
          <w:szCs w:val="20"/>
        </w:rPr>
        <w:t xml:space="preserve">The matrix below summarizes the treatment of each material coverage element across all three forms. Full exclusion language for each form appears in Sections 2, 3, and 4.</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100"/>
        <w:gridCol w:w="1480"/>
        <w:gridCol w:w="2000"/>
      </w:tblGrid>
      <w:tr>
        <w:tc>
          <w:tcPr>
            <w:tcW w:type="dxa" w:w="24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80"/>
            </w:tcMar>
            <w:vAlign w:val="bottom"/>
          </w:tcPr>
          <w:p>
            <w:r>
              <w:rPr>
                <w:rFonts w:ascii="Arial" w:cs="Arial" w:eastAsia="Arial" w:hAnsi="Arial"/>
                <w:b/>
                <w:bCs/>
                <w:color w:val="FFFFFF"/>
                <w:sz w:val="18"/>
                <w:szCs w:val="18"/>
              </w:rPr>
              <w:t xml:space="preserve">Coverage Element</w:t>
            </w:r>
          </w:p>
        </w:tc>
        <w:tc>
          <w:tcPr>
            <w:tcW w:type="dxa" w:w="21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STD-01
Standard</w:t>
            </w:r>
          </w:p>
        </w:tc>
        <w:tc>
          <w:tcPr>
            <w:tcW w:type="dxa" w:w="2100"/>
            <w:tcBorders>
              <w:top w:val="single" w:color="006064" w:sz="1"/>
              <w:left w:val="single" w:color="006064" w:sz="1"/>
              <w:bottom w:val="single" w:color="006064" w:sz="1"/>
              <w:right w:val="single" w:color="006064" w:sz="1"/>
            </w:tcBorders>
            <w:shd w:fill="0060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BRD-01
Broad</w:t>
            </w:r>
          </w:p>
        </w:tc>
        <w:tc>
          <w:tcPr>
            <w:tcW w:type="dxa" w:w="1480"/>
            <w:tcBorders>
              <w:top w:val="single" w:color="C55A11" w:sz="1"/>
              <w:left w:val="single" w:color="C55A11" w:sz="1"/>
              <w:bottom w:val="single" w:color="C55A11" w:sz="1"/>
              <w:right w:val="single" w:color="C55A11" w:sz="1"/>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RST-01
Restricted</w:t>
            </w:r>
          </w:p>
        </w:tc>
        <w:tc>
          <w:tcPr>
            <w:tcW w:type="dxa" w:w="20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80"/>
            </w:tcMar>
            <w:vAlign w:val="bottom"/>
          </w:tcPr>
          <w:p>
            <w:r>
              <w:rPr>
                <w:rFonts w:ascii="Arial" w:cs="Arial" w:eastAsia="Arial" w:hAnsi="Arial"/>
                <w:b/>
                <w:bCs/>
                <w:color w:val="FFFFFF"/>
                <w:sz w:val="18"/>
                <w:szCs w:val="18"/>
              </w:rPr>
              <w:t xml:space="preserve">GP Platform Note</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Your Work (l excl.)</w:t>
            </w:r>
          </w:p>
          <w:p>
            <w:pPr>
              <w:spacing w:before="40"/>
            </w:pPr>
            <w:r>
              <w:rPr>
                <w:rFonts w:ascii="Arial" w:cs="Arial" w:eastAsia="Arial" w:hAnsi="Arial"/>
                <w:i/>
                <w:iCs/>
                <w:color w:val="2E75B6"/>
                <w:sz w:val="15"/>
                <w:szCs w:val="15"/>
              </w:rPr>
              <w:t xml:space="preserve">BRD-01 subcontractor exception broadened; STD/RST standard sub exception applies. Key CD driver.</w:t>
            </w:r>
          </w:p>
        </w:tc>
        <w:tc>
          <w:tcPr>
            <w:tcW w:type="dxa" w:w="2100"/>
            <w:tcBorders>
              <w:top w:val="single" w:color="D6DCE4" w:sz="1"/>
              <w:left w:val="single" w:color="D6DCE4" w:sz="1"/>
              <w:bottom w:val="single" w:color="D6DCE4" w:sz="1"/>
              <w:right w:val="single" w:color="D6DCE4"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16"/>
                <w:szCs w:val="16"/>
              </w:rPr>
              <w:t xml:space="preserve">COVERED</w:t>
            </w:r>
          </w:p>
        </w:tc>
        <w:tc>
          <w:tcPr>
            <w:tcW w:type="dxa" w:w="2100"/>
            <w:tcBorders>
              <w:top w:val="single" w:color="D6DCE4" w:sz="1"/>
              <w:left w:val="single" w:color="D6DCE4" w:sz="1"/>
              <w:bottom w:val="single" w:color="D6DCE4" w:sz="1"/>
              <w:right w:val="single" w:color="D6DCE4"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16"/>
                <w:szCs w:val="16"/>
              </w:rPr>
              <w:t xml:space="preserve">BROADENED</w:t>
            </w:r>
          </w:p>
        </w:tc>
        <w:tc>
          <w:tcPr>
            <w:tcW w:type="dxa" w:w="1480"/>
            <w:tcBorders>
              <w:top w:val="single" w:color="D6DCE4" w:sz="1"/>
              <w:left w:val="single" w:color="D6DCE4" w:sz="1"/>
              <w:bottom w:val="single" w:color="D6DCE4" w:sz="1"/>
              <w:right w:val="single" w:color="D6DCE4" w:sz="1"/>
            </w:tcBorders>
            <w:shd w:fill="FFF8E1" w:val="clear"/>
            <w:tcMar>
              <w:top w:type="dxa" w:w="80"/>
              <w:left w:type="dxa" w:w="80"/>
              <w:bottom w:type="dxa" w:w="80"/>
              <w:right w:type="dxa" w:w="80"/>
            </w:tcMar>
            <w:vAlign w:val="center"/>
          </w:tcPr>
          <w:p>
            <w:pPr>
              <w:jc w:val="center"/>
            </w:pPr>
            <w:r>
              <w:rPr>
                <w:rFonts w:ascii="Arial" w:cs="Arial" w:eastAsia="Arial" w:hAnsi="Arial"/>
                <w:b/>
                <w:bCs/>
                <w:color w:val="C55A11"/>
                <w:sz w:val="16"/>
                <w:szCs w:val="16"/>
              </w:rPr>
              <w:t xml:space="preserve">RESTRICTED</w:t>
            </w:r>
          </w:p>
        </w:tc>
      </w:tr>
      <w:tr>
        <w:tc>
          <w:tcPr>
            <w:tcW w:type="dxa" w:w="24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Completed Operations Tail</w:t>
            </w:r>
          </w:p>
          <w:p>
            <w:pPr>
              <w:spacing w:before="40"/>
            </w:pPr>
            <w:r>
              <w:rPr>
                <w:rFonts w:ascii="Arial" w:cs="Arial" w:eastAsia="Arial" w:hAnsi="Arial"/>
                <w:i/>
                <w:iCs/>
                <w:color w:val="2E75B6"/>
                <w:sz w:val="15"/>
                <w:szCs w:val="15"/>
              </w:rPr>
              <w:t xml:space="preserve">BRD-01: 10-yr extended tail. RST-01: $500K sublimit. GP tracks tail period vs. claim date at trigger.</w:t>
            </w:r>
          </w:p>
        </w:tc>
        <w:tc>
          <w:tcPr>
            <w:tcW w:type="dxa" w:w="2100"/>
            <w:tcBorders>
              <w:top w:val="single" w:color="D6DCE4" w:sz="1"/>
              <w:left w:val="single" w:color="D6DCE4" w:sz="1"/>
              <w:bottom w:val="single" w:color="D6DCE4" w:sz="1"/>
              <w:right w:val="single" w:color="D6DCE4"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16"/>
                <w:szCs w:val="16"/>
              </w:rPr>
              <w:t xml:space="preserve">COVERED</w:t>
            </w:r>
          </w:p>
        </w:tc>
        <w:tc>
          <w:tcPr>
            <w:tcW w:type="dxa" w:w="2100"/>
            <w:tcBorders>
              <w:top w:val="single" w:color="D6DCE4" w:sz="1"/>
              <w:left w:val="single" w:color="D6DCE4" w:sz="1"/>
              <w:bottom w:val="single" w:color="D6DCE4" w:sz="1"/>
              <w:right w:val="single" w:color="D6DCE4"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16"/>
                <w:szCs w:val="16"/>
              </w:rPr>
              <w:t xml:space="preserve">BROADENED</w:t>
            </w:r>
          </w:p>
        </w:tc>
        <w:tc>
          <w:tcPr>
            <w:tcW w:type="dxa" w:w="1480"/>
            <w:tcBorders>
              <w:top w:val="single" w:color="D6DCE4" w:sz="1"/>
              <w:left w:val="single" w:color="D6DCE4" w:sz="1"/>
              <w:bottom w:val="single" w:color="D6DCE4" w:sz="1"/>
              <w:right w:val="single" w:color="D6DCE4" w:sz="1"/>
            </w:tcBorders>
            <w:shd w:fill="FFF8E1" w:val="clear"/>
            <w:tcMar>
              <w:top w:type="dxa" w:w="80"/>
              <w:left w:type="dxa" w:w="80"/>
              <w:bottom w:type="dxa" w:w="80"/>
              <w:right w:type="dxa" w:w="80"/>
            </w:tcMar>
            <w:vAlign w:val="center"/>
          </w:tcPr>
          <w:p>
            <w:pPr>
              <w:jc w:val="center"/>
            </w:pPr>
            <w:r>
              <w:rPr>
                <w:rFonts w:ascii="Arial" w:cs="Arial" w:eastAsia="Arial" w:hAnsi="Arial"/>
                <w:b/>
                <w:bCs/>
                <w:color w:val="E65100"/>
                <w:sz w:val="16"/>
                <w:szCs w:val="16"/>
              </w:rPr>
              <w:t xml:space="preserve">SUBLIMIT</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Fungi / Mold / Bacteria</w:t>
            </w:r>
          </w:p>
          <w:p>
            <w:pPr>
              <w:spacing w:before="40"/>
            </w:pPr>
            <w:r>
              <w:rPr>
                <w:rFonts w:ascii="Arial" w:cs="Arial" w:eastAsia="Arial" w:hAnsi="Arial"/>
                <w:i/>
                <w:iCs/>
                <w:color w:val="2E75B6"/>
                <w:sz w:val="15"/>
                <w:szCs w:val="15"/>
              </w:rPr>
              <w:t xml:space="preserve">BRD-01: $100K sublimit per occurrence. STD/RST: exclusion. GP flags form at water intrusion FNOL.</w:t>
            </w:r>
          </w:p>
        </w:tc>
        <w:tc>
          <w:tcPr>
            <w:tcW w:type="dxa" w:w="2100"/>
            <w:tcBorders>
              <w:top w:val="single" w:color="D6DCE4" w:sz="1"/>
              <w:left w:val="single" w:color="D6DCE4" w:sz="1"/>
              <w:bottom w:val="single" w:color="D6DCE4" w:sz="1"/>
              <w:right w:val="single" w:color="D6DCE4" w:sz="1"/>
            </w:tcBorders>
            <w:shd w:fill="FDECEA" w:val="clear"/>
            <w:tcMar>
              <w:top w:type="dxa" w:w="80"/>
              <w:left w:type="dxa" w:w="80"/>
              <w:bottom w:type="dxa" w:w="80"/>
              <w:right w:type="dxa" w:w="80"/>
            </w:tcMar>
            <w:vAlign w:val="center"/>
          </w:tcPr>
          <w:p>
            <w:pPr>
              <w:jc w:val="center"/>
            </w:pPr>
            <w:r>
              <w:rPr>
                <w:rFonts w:ascii="Arial" w:cs="Arial" w:eastAsia="Arial" w:hAnsi="Arial"/>
                <w:b/>
                <w:bCs/>
                <w:color w:val="8B0000"/>
                <w:sz w:val="16"/>
                <w:szCs w:val="16"/>
              </w:rPr>
              <w:t xml:space="preserve">EXCLUDED</w:t>
            </w:r>
          </w:p>
        </w:tc>
        <w:tc>
          <w:tcPr>
            <w:tcW w:type="dxa" w:w="2100"/>
            <w:tcBorders>
              <w:top w:val="single" w:color="D6DCE4" w:sz="1"/>
              <w:left w:val="single" w:color="D6DCE4" w:sz="1"/>
              <w:bottom w:val="single" w:color="D6DCE4" w:sz="1"/>
              <w:right w:val="single" w:color="D6DCE4" w:sz="1"/>
            </w:tcBorders>
            <w:shd w:fill="FFF8E1" w:val="clear"/>
            <w:tcMar>
              <w:top w:type="dxa" w:w="80"/>
              <w:left w:type="dxa" w:w="80"/>
              <w:bottom w:type="dxa" w:w="80"/>
              <w:right w:type="dxa" w:w="80"/>
            </w:tcMar>
            <w:vAlign w:val="center"/>
          </w:tcPr>
          <w:p>
            <w:pPr>
              <w:jc w:val="center"/>
            </w:pPr>
            <w:r>
              <w:rPr>
                <w:rFonts w:ascii="Arial" w:cs="Arial" w:eastAsia="Arial" w:hAnsi="Arial"/>
                <w:b/>
                <w:bCs/>
                <w:color w:val="E65100"/>
                <w:sz w:val="16"/>
                <w:szCs w:val="16"/>
              </w:rPr>
              <w:t xml:space="preserve">SUBLIMIT</w:t>
            </w:r>
          </w:p>
        </w:tc>
        <w:tc>
          <w:tcPr>
            <w:tcW w:type="dxa" w:w="1480"/>
            <w:tcBorders>
              <w:top w:val="single" w:color="D6DCE4" w:sz="1"/>
              <w:left w:val="single" w:color="D6DCE4" w:sz="1"/>
              <w:bottom w:val="single" w:color="D6DCE4" w:sz="1"/>
              <w:right w:val="single" w:color="D6DCE4" w:sz="1"/>
            </w:tcBorders>
            <w:shd w:fill="FDECEA" w:val="clear"/>
            <w:tcMar>
              <w:top w:type="dxa" w:w="80"/>
              <w:left w:type="dxa" w:w="80"/>
              <w:bottom w:type="dxa" w:w="80"/>
              <w:right w:type="dxa" w:w="80"/>
            </w:tcMar>
            <w:vAlign w:val="center"/>
          </w:tcPr>
          <w:p>
            <w:pPr>
              <w:jc w:val="center"/>
            </w:pPr>
            <w:r>
              <w:rPr>
                <w:rFonts w:ascii="Arial" w:cs="Arial" w:eastAsia="Arial" w:hAnsi="Arial"/>
                <w:b/>
                <w:bCs/>
                <w:color w:val="8B0000"/>
                <w:sz w:val="16"/>
                <w:szCs w:val="16"/>
              </w:rPr>
              <w:t xml:space="preserve">ABSOLUTE</w:t>
            </w:r>
          </w:p>
        </w:tc>
      </w:tr>
      <w:tr>
        <w:tc>
          <w:tcPr>
            <w:tcW w:type="dxa" w:w="24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EIFS (Exterior Insulation &amp; Finish)</w:t>
            </w:r>
          </w:p>
          <w:p>
            <w:pPr>
              <w:spacing w:before="40"/>
            </w:pPr>
            <w:r>
              <w:rPr>
                <w:rFonts w:ascii="Arial" w:cs="Arial" w:eastAsia="Arial" w:hAnsi="Arial"/>
                <w:i/>
                <w:iCs/>
                <w:color w:val="2E75B6"/>
                <w:sz w:val="15"/>
                <w:szCs w:val="15"/>
              </w:rPr>
              <w:t xml:space="preserve">BRD-01: write-back for non-residential. Residential EIFS excluded on all forms. See Appetite Notice MSI-ACN-2025-01.</w:t>
            </w:r>
          </w:p>
        </w:tc>
        <w:tc>
          <w:tcPr>
            <w:tcW w:type="dxa" w:w="2100"/>
            <w:tcBorders>
              <w:top w:val="single" w:color="D6DCE4" w:sz="1"/>
              <w:left w:val="single" w:color="D6DCE4" w:sz="1"/>
              <w:bottom w:val="single" w:color="D6DCE4" w:sz="1"/>
              <w:right w:val="single" w:color="D6DCE4" w:sz="1"/>
            </w:tcBorders>
            <w:shd w:fill="FDECEA" w:val="clear"/>
            <w:tcMar>
              <w:top w:type="dxa" w:w="80"/>
              <w:left w:type="dxa" w:w="80"/>
              <w:bottom w:type="dxa" w:w="80"/>
              <w:right w:type="dxa" w:w="80"/>
            </w:tcMar>
            <w:vAlign w:val="center"/>
          </w:tcPr>
          <w:p>
            <w:pPr>
              <w:jc w:val="center"/>
            </w:pPr>
            <w:r>
              <w:rPr>
                <w:rFonts w:ascii="Arial" w:cs="Arial" w:eastAsia="Arial" w:hAnsi="Arial"/>
                <w:b/>
                <w:bCs/>
                <w:color w:val="8B0000"/>
                <w:sz w:val="16"/>
                <w:szCs w:val="16"/>
              </w:rPr>
              <w:t xml:space="preserve">EXCLUDED</w:t>
            </w:r>
          </w:p>
        </w:tc>
        <w:tc>
          <w:tcPr>
            <w:tcW w:type="dxa" w:w="2100"/>
            <w:tcBorders>
              <w:top w:val="single" w:color="D6DCE4" w:sz="1"/>
              <w:left w:val="single" w:color="D6DCE4" w:sz="1"/>
              <w:bottom w:val="single" w:color="D6DCE4" w:sz="1"/>
              <w:right w:val="single" w:color="D6DCE4" w:sz="1"/>
            </w:tcBorders>
            <w:shd w:fill="E0F7FA" w:val="clear"/>
            <w:tcMar>
              <w:top w:type="dxa" w:w="80"/>
              <w:left w:type="dxa" w:w="80"/>
              <w:bottom w:type="dxa" w:w="80"/>
              <w:right w:type="dxa" w:w="80"/>
            </w:tcMar>
            <w:vAlign w:val="center"/>
          </w:tcPr>
          <w:p>
            <w:pPr>
              <w:jc w:val="center"/>
            </w:pPr>
            <w:r>
              <w:rPr>
                <w:rFonts w:ascii="Arial" w:cs="Arial" w:eastAsia="Arial" w:hAnsi="Arial"/>
                <w:b/>
                <w:bCs/>
                <w:color w:val="006064"/>
                <w:sz w:val="16"/>
                <w:szCs w:val="16"/>
              </w:rPr>
              <w:t xml:space="preserve">WRITE-BACK</w:t>
            </w:r>
          </w:p>
        </w:tc>
        <w:tc>
          <w:tcPr>
            <w:tcW w:type="dxa" w:w="1480"/>
            <w:tcBorders>
              <w:top w:val="single" w:color="D6DCE4" w:sz="1"/>
              <w:left w:val="single" w:color="D6DCE4" w:sz="1"/>
              <w:bottom w:val="single" w:color="D6DCE4" w:sz="1"/>
              <w:right w:val="single" w:color="D6DCE4" w:sz="1"/>
            </w:tcBorders>
            <w:shd w:fill="FDECEA" w:val="clear"/>
            <w:tcMar>
              <w:top w:type="dxa" w:w="80"/>
              <w:left w:type="dxa" w:w="80"/>
              <w:bottom w:type="dxa" w:w="80"/>
              <w:right w:type="dxa" w:w="80"/>
            </w:tcMar>
            <w:vAlign w:val="center"/>
          </w:tcPr>
          <w:p>
            <w:pPr>
              <w:jc w:val="center"/>
            </w:pPr>
            <w:r>
              <w:rPr>
                <w:rFonts w:ascii="Arial" w:cs="Arial" w:eastAsia="Arial" w:hAnsi="Arial"/>
                <w:b/>
                <w:bCs/>
                <w:color w:val="8B0000"/>
                <w:sz w:val="16"/>
                <w:szCs w:val="16"/>
              </w:rPr>
              <w:t xml:space="preserve">ABSOLUTE</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Professional / Design-Build Services</w:t>
            </w:r>
          </w:p>
          <w:p>
            <w:pPr>
              <w:spacing w:before="40"/>
            </w:pPr>
            <w:r>
              <w:rPr>
                <w:rFonts w:ascii="Arial" w:cs="Arial" w:eastAsia="Arial" w:hAnsi="Arial"/>
                <w:i/>
                <w:iCs/>
                <w:color w:val="2E75B6"/>
                <w:sz w:val="15"/>
                <w:szCs w:val="15"/>
              </w:rPr>
              <w:t xml:space="preserve">BRD-01: design-assist allowed; pure design excluded. STD/RST: any design services excluded.</w:t>
            </w:r>
          </w:p>
        </w:tc>
        <w:tc>
          <w:tcPr>
            <w:tcW w:type="dxa" w:w="2100"/>
            <w:tcBorders>
              <w:top w:val="single" w:color="D6DCE4" w:sz="1"/>
              <w:left w:val="single" w:color="D6DCE4" w:sz="1"/>
              <w:bottom w:val="single" w:color="D6DCE4" w:sz="1"/>
              <w:right w:val="single" w:color="D6DCE4" w:sz="1"/>
            </w:tcBorders>
            <w:shd w:fill="FDECEA" w:val="clear"/>
            <w:tcMar>
              <w:top w:type="dxa" w:w="80"/>
              <w:left w:type="dxa" w:w="80"/>
              <w:bottom w:type="dxa" w:w="80"/>
              <w:right w:type="dxa" w:w="80"/>
            </w:tcMar>
            <w:vAlign w:val="center"/>
          </w:tcPr>
          <w:p>
            <w:pPr>
              <w:jc w:val="center"/>
            </w:pPr>
            <w:r>
              <w:rPr>
                <w:rFonts w:ascii="Arial" w:cs="Arial" w:eastAsia="Arial" w:hAnsi="Arial"/>
                <w:b/>
                <w:bCs/>
                <w:color w:val="8B0000"/>
                <w:sz w:val="16"/>
                <w:szCs w:val="16"/>
              </w:rPr>
              <w:t xml:space="preserve">EXCLUDED</w:t>
            </w:r>
          </w:p>
        </w:tc>
        <w:tc>
          <w:tcPr>
            <w:tcW w:type="dxa" w:w="2100"/>
            <w:tcBorders>
              <w:top w:val="single" w:color="D6DCE4" w:sz="1"/>
              <w:left w:val="single" w:color="D6DCE4" w:sz="1"/>
              <w:bottom w:val="single" w:color="D6DCE4" w:sz="1"/>
              <w:right w:val="single" w:color="D6DCE4" w:sz="1"/>
            </w:tcBorders>
            <w:shd w:fill="E0F7FA" w:val="clear"/>
            <w:tcMar>
              <w:top w:type="dxa" w:w="80"/>
              <w:left w:type="dxa" w:w="80"/>
              <w:bottom w:type="dxa" w:w="80"/>
              <w:right w:type="dxa" w:w="80"/>
            </w:tcMar>
            <w:vAlign w:val="center"/>
          </w:tcPr>
          <w:p>
            <w:pPr>
              <w:jc w:val="center"/>
            </w:pPr>
            <w:r>
              <w:rPr>
                <w:rFonts w:ascii="Arial" w:cs="Arial" w:eastAsia="Arial" w:hAnsi="Arial"/>
                <w:b/>
                <w:bCs/>
                <w:color w:val="006064"/>
                <w:sz w:val="16"/>
                <w:szCs w:val="16"/>
              </w:rPr>
              <w:t xml:space="preserve">MODIFIED</w:t>
            </w:r>
          </w:p>
        </w:tc>
        <w:tc>
          <w:tcPr>
            <w:tcW w:type="dxa" w:w="1480"/>
            <w:tcBorders>
              <w:top w:val="single" w:color="D6DCE4" w:sz="1"/>
              <w:left w:val="single" w:color="D6DCE4" w:sz="1"/>
              <w:bottom w:val="single" w:color="D6DCE4" w:sz="1"/>
              <w:right w:val="single" w:color="D6DCE4" w:sz="1"/>
            </w:tcBorders>
            <w:shd w:fill="FDECEA" w:val="clear"/>
            <w:tcMar>
              <w:top w:type="dxa" w:w="80"/>
              <w:left w:type="dxa" w:w="80"/>
              <w:bottom w:type="dxa" w:w="80"/>
              <w:right w:type="dxa" w:w="80"/>
            </w:tcMar>
            <w:vAlign w:val="center"/>
          </w:tcPr>
          <w:p>
            <w:pPr>
              <w:jc w:val="center"/>
            </w:pPr>
            <w:r>
              <w:rPr>
                <w:rFonts w:ascii="Arial" w:cs="Arial" w:eastAsia="Arial" w:hAnsi="Arial"/>
                <w:b/>
                <w:bCs/>
                <w:color w:val="8B0000"/>
                <w:sz w:val="16"/>
                <w:szCs w:val="16"/>
              </w:rPr>
              <w:t xml:space="preserve">ABSOLUTE</w:t>
            </w:r>
          </w:p>
        </w:tc>
      </w:tr>
      <w:tr>
        <w:tc>
          <w:tcPr>
            <w:tcW w:type="dxa" w:w="24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Pollution</w:t>
            </w:r>
          </w:p>
          <w:p>
            <w:pPr>
              <w:spacing w:before="40"/>
            </w:pPr>
            <w:r>
              <w:rPr>
                <w:rFonts w:ascii="Arial" w:cs="Arial" w:eastAsia="Arial" w:hAnsi="Arial"/>
                <w:i/>
                <w:iCs/>
                <w:color w:val="2E75B6"/>
                <w:sz w:val="15"/>
                <w:szCs w:val="15"/>
              </w:rPr>
              <w:t xml:space="preserve">BRD-01: sudden &amp; accidental write-back (non-residential). STD/RST: total pollution exclusion.</w:t>
            </w:r>
          </w:p>
        </w:tc>
        <w:tc>
          <w:tcPr>
            <w:tcW w:type="dxa" w:w="2100"/>
            <w:tcBorders>
              <w:top w:val="single" w:color="D6DCE4" w:sz="1"/>
              <w:left w:val="single" w:color="D6DCE4" w:sz="1"/>
              <w:bottom w:val="single" w:color="D6DCE4" w:sz="1"/>
              <w:right w:val="single" w:color="D6DCE4" w:sz="1"/>
            </w:tcBorders>
            <w:shd w:fill="FDECEA" w:val="clear"/>
            <w:tcMar>
              <w:top w:type="dxa" w:w="80"/>
              <w:left w:type="dxa" w:w="80"/>
              <w:bottom w:type="dxa" w:w="80"/>
              <w:right w:type="dxa" w:w="80"/>
            </w:tcMar>
            <w:vAlign w:val="center"/>
          </w:tcPr>
          <w:p>
            <w:pPr>
              <w:jc w:val="center"/>
            </w:pPr>
            <w:r>
              <w:rPr>
                <w:rFonts w:ascii="Arial" w:cs="Arial" w:eastAsia="Arial" w:hAnsi="Arial"/>
                <w:b/>
                <w:bCs/>
                <w:color w:val="8B0000"/>
                <w:sz w:val="16"/>
                <w:szCs w:val="16"/>
              </w:rPr>
              <w:t xml:space="preserve">EXCLUDED</w:t>
            </w:r>
          </w:p>
        </w:tc>
        <w:tc>
          <w:tcPr>
            <w:tcW w:type="dxa" w:w="2100"/>
            <w:tcBorders>
              <w:top w:val="single" w:color="D6DCE4" w:sz="1"/>
              <w:left w:val="single" w:color="D6DCE4" w:sz="1"/>
              <w:bottom w:val="single" w:color="D6DCE4" w:sz="1"/>
              <w:right w:val="single" w:color="D6DCE4" w:sz="1"/>
            </w:tcBorders>
            <w:shd w:fill="E0F7FA" w:val="clear"/>
            <w:tcMar>
              <w:top w:type="dxa" w:w="80"/>
              <w:left w:type="dxa" w:w="80"/>
              <w:bottom w:type="dxa" w:w="80"/>
              <w:right w:type="dxa" w:w="80"/>
            </w:tcMar>
            <w:vAlign w:val="center"/>
          </w:tcPr>
          <w:p>
            <w:pPr>
              <w:jc w:val="center"/>
            </w:pPr>
            <w:r>
              <w:rPr>
                <w:rFonts w:ascii="Arial" w:cs="Arial" w:eastAsia="Arial" w:hAnsi="Arial"/>
                <w:b/>
                <w:bCs/>
                <w:color w:val="006064"/>
                <w:sz w:val="16"/>
                <w:szCs w:val="16"/>
              </w:rPr>
              <w:t xml:space="preserve">MODIFIED</w:t>
            </w:r>
          </w:p>
        </w:tc>
        <w:tc>
          <w:tcPr>
            <w:tcW w:type="dxa" w:w="1480"/>
            <w:tcBorders>
              <w:top w:val="single" w:color="D6DCE4" w:sz="1"/>
              <w:left w:val="single" w:color="D6DCE4" w:sz="1"/>
              <w:bottom w:val="single" w:color="D6DCE4" w:sz="1"/>
              <w:right w:val="single" w:color="D6DCE4" w:sz="1"/>
            </w:tcBorders>
            <w:shd w:fill="FDECEA" w:val="clear"/>
            <w:tcMar>
              <w:top w:type="dxa" w:w="80"/>
              <w:left w:type="dxa" w:w="80"/>
              <w:bottom w:type="dxa" w:w="80"/>
              <w:right w:type="dxa" w:w="80"/>
            </w:tcMar>
            <w:vAlign w:val="center"/>
          </w:tcPr>
          <w:p>
            <w:pPr>
              <w:jc w:val="center"/>
            </w:pPr>
            <w:r>
              <w:rPr>
                <w:rFonts w:ascii="Arial" w:cs="Arial" w:eastAsia="Arial" w:hAnsi="Arial"/>
                <w:b/>
                <w:bCs/>
                <w:color w:val="8B0000"/>
                <w:sz w:val="16"/>
                <w:szCs w:val="16"/>
              </w:rPr>
              <w:t xml:space="preserve">ABSOLUTE</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Subsidence / Earth Movement</w:t>
            </w:r>
          </w:p>
          <w:p>
            <w:pPr>
              <w:spacing w:before="40"/>
            </w:pPr>
            <w:r>
              <w:rPr>
                <w:rFonts w:ascii="Arial" w:cs="Arial" w:eastAsia="Arial" w:hAnsi="Arial"/>
                <w:i/>
                <w:iCs/>
                <w:color w:val="2E75B6"/>
                <w:sz w:val="15"/>
                <w:szCs w:val="15"/>
              </w:rPr>
              <w:t xml:space="preserve">BRD-01: write-back for foundation work with 5-yr loss-free history. All others excluded.</w:t>
            </w:r>
          </w:p>
        </w:tc>
        <w:tc>
          <w:tcPr>
            <w:tcW w:type="dxa" w:w="2100"/>
            <w:tcBorders>
              <w:top w:val="single" w:color="D6DCE4" w:sz="1"/>
              <w:left w:val="single" w:color="D6DCE4" w:sz="1"/>
              <w:bottom w:val="single" w:color="D6DCE4" w:sz="1"/>
              <w:right w:val="single" w:color="D6DCE4" w:sz="1"/>
            </w:tcBorders>
            <w:shd w:fill="FDECEA" w:val="clear"/>
            <w:tcMar>
              <w:top w:type="dxa" w:w="80"/>
              <w:left w:type="dxa" w:w="80"/>
              <w:bottom w:type="dxa" w:w="80"/>
              <w:right w:type="dxa" w:w="80"/>
            </w:tcMar>
            <w:vAlign w:val="center"/>
          </w:tcPr>
          <w:p>
            <w:pPr>
              <w:jc w:val="center"/>
            </w:pPr>
            <w:r>
              <w:rPr>
                <w:rFonts w:ascii="Arial" w:cs="Arial" w:eastAsia="Arial" w:hAnsi="Arial"/>
                <w:b/>
                <w:bCs/>
                <w:color w:val="8B0000"/>
                <w:sz w:val="16"/>
                <w:szCs w:val="16"/>
              </w:rPr>
              <w:t xml:space="preserve">EXCLUDED</w:t>
            </w:r>
          </w:p>
        </w:tc>
        <w:tc>
          <w:tcPr>
            <w:tcW w:type="dxa" w:w="2100"/>
            <w:tcBorders>
              <w:top w:val="single" w:color="D6DCE4" w:sz="1"/>
              <w:left w:val="single" w:color="D6DCE4" w:sz="1"/>
              <w:bottom w:val="single" w:color="D6DCE4" w:sz="1"/>
              <w:right w:val="single" w:color="D6DCE4" w:sz="1"/>
            </w:tcBorders>
            <w:shd w:fill="E0F7FA" w:val="clear"/>
            <w:tcMar>
              <w:top w:type="dxa" w:w="80"/>
              <w:left w:type="dxa" w:w="80"/>
              <w:bottom w:type="dxa" w:w="80"/>
              <w:right w:type="dxa" w:w="80"/>
            </w:tcMar>
            <w:vAlign w:val="center"/>
          </w:tcPr>
          <w:p>
            <w:pPr>
              <w:jc w:val="center"/>
            </w:pPr>
            <w:r>
              <w:rPr>
                <w:rFonts w:ascii="Arial" w:cs="Arial" w:eastAsia="Arial" w:hAnsi="Arial"/>
                <w:b/>
                <w:bCs/>
                <w:color w:val="006064"/>
                <w:sz w:val="16"/>
                <w:szCs w:val="16"/>
              </w:rPr>
              <w:t xml:space="preserve">WRITE-BACK</w:t>
            </w:r>
          </w:p>
        </w:tc>
        <w:tc>
          <w:tcPr>
            <w:tcW w:type="dxa" w:w="1480"/>
            <w:tcBorders>
              <w:top w:val="single" w:color="D6DCE4" w:sz="1"/>
              <w:left w:val="single" w:color="D6DCE4" w:sz="1"/>
              <w:bottom w:val="single" w:color="D6DCE4" w:sz="1"/>
              <w:right w:val="single" w:color="D6DCE4" w:sz="1"/>
            </w:tcBorders>
            <w:shd w:fill="FDECEA" w:val="clear"/>
            <w:tcMar>
              <w:top w:type="dxa" w:w="80"/>
              <w:left w:type="dxa" w:w="80"/>
              <w:bottom w:type="dxa" w:w="80"/>
              <w:right w:type="dxa" w:w="80"/>
            </w:tcMar>
            <w:vAlign w:val="center"/>
          </w:tcPr>
          <w:p>
            <w:pPr>
              <w:jc w:val="center"/>
            </w:pPr>
            <w:r>
              <w:rPr>
                <w:rFonts w:ascii="Arial" w:cs="Arial" w:eastAsia="Arial" w:hAnsi="Arial"/>
                <w:b/>
                <w:bCs/>
                <w:color w:val="8B0000"/>
                <w:sz w:val="16"/>
                <w:szCs w:val="16"/>
              </w:rPr>
              <w:t xml:space="preserve">ABSOLUTE</w:t>
            </w:r>
          </w:p>
        </w:tc>
      </w:tr>
      <w:tr>
        <w:tc>
          <w:tcPr>
            <w:tcW w:type="dxa" w:w="24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Additional Insured — Trigger</w:t>
            </w:r>
          </w:p>
          <w:p>
            <w:pPr>
              <w:spacing w:before="40"/>
            </w:pPr>
            <w:r>
              <w:rPr>
                <w:rFonts w:ascii="Arial" w:cs="Arial" w:eastAsia="Arial" w:hAnsi="Arial"/>
                <w:i/>
                <w:iCs/>
                <w:color w:val="2E75B6"/>
                <w:sz w:val="15"/>
                <w:szCs w:val="15"/>
              </w:rPr>
              <w:t xml:space="preserve">BRD-01: ongoing + completed ops AI per written contract (Broad Form trigger). STD: scheduled only.</w:t>
            </w:r>
          </w:p>
        </w:tc>
        <w:tc>
          <w:tcPr>
            <w:tcW w:type="dxa" w:w="2100"/>
            <w:tcBorders>
              <w:top w:val="single" w:color="D6DCE4" w:sz="1"/>
              <w:left w:val="single" w:color="D6DCE4" w:sz="1"/>
              <w:bottom w:val="single" w:color="D6DCE4" w:sz="1"/>
              <w:right w:val="single" w:color="D6DCE4" w:sz="1"/>
            </w:tcBorders>
            <w:shd w:fill="F2F2F2" w:val="clear"/>
            <w:tcMar>
              <w:top w:type="dxa" w:w="80"/>
              <w:left w:type="dxa" w:w="80"/>
              <w:bottom w:type="dxa" w:w="80"/>
              <w:right w:type="dxa" w:w="80"/>
            </w:tcMar>
            <w:vAlign w:val="center"/>
          </w:tcPr>
          <w:p>
            <w:pPr>
              <w:jc w:val="center"/>
            </w:pPr>
            <w:r>
              <w:rPr>
                <w:rFonts w:ascii="Arial" w:cs="Arial" w:eastAsia="Arial" w:hAnsi="Arial"/>
                <w:b/>
                <w:bCs/>
                <w:color w:val="1A1A1A"/>
                <w:sz w:val="16"/>
                <w:szCs w:val="16"/>
              </w:rPr>
              <w:t xml:space="preserve">SCHEDULED</w:t>
            </w:r>
          </w:p>
        </w:tc>
        <w:tc>
          <w:tcPr>
            <w:tcW w:type="dxa" w:w="2100"/>
            <w:tcBorders>
              <w:top w:val="single" w:color="D6DCE4" w:sz="1"/>
              <w:left w:val="single" w:color="D6DCE4" w:sz="1"/>
              <w:bottom w:val="single" w:color="D6DCE4" w:sz="1"/>
              <w:right w:val="single" w:color="D6DCE4"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16"/>
                <w:szCs w:val="16"/>
              </w:rPr>
              <w:t xml:space="preserve">BROADENED</w:t>
            </w:r>
          </w:p>
        </w:tc>
        <w:tc>
          <w:tcPr>
            <w:tcW w:type="dxa" w:w="1480"/>
            <w:tcBorders>
              <w:top w:val="single" w:color="D6DCE4" w:sz="1"/>
              <w:left w:val="single" w:color="D6DCE4" w:sz="1"/>
              <w:bottom w:val="single" w:color="D6DCE4" w:sz="1"/>
              <w:right w:val="single" w:color="D6DCE4" w:sz="1"/>
            </w:tcBorders>
            <w:shd w:fill="F2F2F2" w:val="clear"/>
            <w:tcMar>
              <w:top w:type="dxa" w:w="80"/>
              <w:left w:type="dxa" w:w="80"/>
              <w:bottom w:type="dxa" w:w="80"/>
              <w:right w:type="dxa" w:w="80"/>
            </w:tcMar>
            <w:vAlign w:val="center"/>
          </w:tcPr>
          <w:p>
            <w:pPr>
              <w:jc w:val="center"/>
            </w:pPr>
            <w:r>
              <w:rPr>
                <w:rFonts w:ascii="Arial" w:cs="Arial" w:eastAsia="Arial" w:hAnsi="Arial"/>
                <w:b/>
                <w:bCs/>
                <w:color w:val="1A1A1A"/>
                <w:sz w:val="16"/>
                <w:szCs w:val="16"/>
              </w:rPr>
              <w:t xml:space="preserve">NOT AVAIL.</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Contractual Liability</w:t>
            </w:r>
          </w:p>
          <w:p>
            <w:pPr>
              <w:spacing w:before="40"/>
            </w:pPr>
            <w:r>
              <w:rPr>
                <w:rFonts w:ascii="Arial" w:cs="Arial" w:eastAsia="Arial" w:hAnsi="Arial"/>
                <w:i/>
                <w:iCs/>
                <w:color w:val="2E75B6"/>
                <w:sz w:val="15"/>
                <w:szCs w:val="15"/>
              </w:rPr>
              <w:t xml:space="preserve">BRD-01: expanded insured contract definition (design-assist included). RST-01: below ISO standard.</w:t>
            </w:r>
          </w:p>
        </w:tc>
        <w:tc>
          <w:tcPr>
            <w:tcW w:type="dxa" w:w="2100"/>
            <w:tcBorders>
              <w:top w:val="single" w:color="D6DCE4" w:sz="1"/>
              <w:left w:val="single" w:color="D6DCE4" w:sz="1"/>
              <w:bottom w:val="single" w:color="D6DCE4" w:sz="1"/>
              <w:right w:val="single" w:color="D6DCE4"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16"/>
                <w:szCs w:val="16"/>
              </w:rPr>
              <w:t xml:space="preserve">COVERED</w:t>
            </w:r>
          </w:p>
        </w:tc>
        <w:tc>
          <w:tcPr>
            <w:tcW w:type="dxa" w:w="2100"/>
            <w:tcBorders>
              <w:top w:val="single" w:color="D6DCE4" w:sz="1"/>
              <w:left w:val="single" w:color="D6DCE4" w:sz="1"/>
              <w:bottom w:val="single" w:color="D6DCE4" w:sz="1"/>
              <w:right w:val="single" w:color="D6DCE4"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16"/>
                <w:szCs w:val="16"/>
              </w:rPr>
              <w:t xml:space="preserve">BROADENED</w:t>
            </w:r>
          </w:p>
        </w:tc>
        <w:tc>
          <w:tcPr>
            <w:tcW w:type="dxa" w:w="1480"/>
            <w:tcBorders>
              <w:top w:val="single" w:color="D6DCE4" w:sz="1"/>
              <w:left w:val="single" w:color="D6DCE4" w:sz="1"/>
              <w:bottom w:val="single" w:color="D6DCE4" w:sz="1"/>
              <w:right w:val="single" w:color="D6DCE4" w:sz="1"/>
            </w:tcBorders>
            <w:shd w:fill="FDECEA" w:val="clear"/>
            <w:tcMar>
              <w:top w:type="dxa" w:w="80"/>
              <w:left w:type="dxa" w:w="80"/>
              <w:bottom w:type="dxa" w:w="80"/>
              <w:right w:type="dxa" w:w="80"/>
            </w:tcMar>
            <w:vAlign w:val="center"/>
          </w:tcPr>
          <w:p>
            <w:pPr>
              <w:jc w:val="center"/>
            </w:pPr>
            <w:r>
              <w:rPr>
                <w:rFonts w:ascii="Arial" w:cs="Arial" w:eastAsia="Arial" w:hAnsi="Arial"/>
                <w:b/>
                <w:bCs/>
                <w:color w:val="8B0000"/>
                <w:sz w:val="16"/>
                <w:szCs w:val="16"/>
              </w:rPr>
              <w:t xml:space="preserve">NARROWED</w:t>
            </w:r>
          </w:p>
        </w:tc>
      </w:tr>
      <w:tr>
        <w:tc>
          <w:tcPr>
            <w:tcW w:type="dxa" w:w="24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Residential Construction</w:t>
            </w:r>
          </w:p>
          <w:p>
            <w:pPr>
              <w:spacing w:before="40"/>
            </w:pPr>
            <w:r>
              <w:rPr>
                <w:rFonts w:ascii="Arial" w:cs="Arial" w:eastAsia="Arial" w:hAnsi="Arial"/>
                <w:i/>
                <w:iCs/>
                <w:color w:val="2E75B6"/>
                <w:sz w:val="15"/>
                <w:szCs w:val="15"/>
              </w:rPr>
              <w:t xml:space="preserve">RST-01: no residential. BRD-01 and STD-01 available per UW guidelines (CA frame restrictions apply).</w:t>
            </w:r>
          </w:p>
        </w:tc>
        <w:tc>
          <w:tcPr>
            <w:tcW w:type="dxa" w:w="2100"/>
            <w:tcBorders>
              <w:top w:val="single" w:color="D6DCE4" w:sz="1"/>
              <w:left w:val="single" w:color="D6DCE4" w:sz="1"/>
              <w:bottom w:val="single" w:color="D6DCE4" w:sz="1"/>
              <w:right w:val="single" w:color="D6DCE4" w:sz="1"/>
            </w:tcBorders>
            <w:shd w:fill="E8EEF5" w:val="clear"/>
            <w:tcMar>
              <w:top w:type="dxa" w:w="80"/>
              <w:left w:type="dxa" w:w="80"/>
              <w:bottom w:type="dxa" w:w="80"/>
              <w:right w:type="dxa" w:w="80"/>
            </w:tcMar>
            <w:vAlign w:val="center"/>
          </w:tcPr>
          <w:p>
            <w:pPr>
              <w:jc w:val="center"/>
            </w:pPr>
            <w:r>
              <w:rPr>
                <w:rFonts w:ascii="Arial" w:cs="Arial" w:eastAsia="Arial" w:hAnsi="Arial"/>
                <w:b/>
                <w:bCs/>
                <w:color w:val="1B3A5C"/>
                <w:sz w:val="16"/>
                <w:szCs w:val="16"/>
              </w:rPr>
              <w:t xml:space="preserve">AVAILABLE</w:t>
            </w:r>
          </w:p>
        </w:tc>
        <w:tc>
          <w:tcPr>
            <w:tcW w:type="dxa" w:w="2100"/>
            <w:tcBorders>
              <w:top w:val="single" w:color="D6DCE4" w:sz="1"/>
              <w:left w:val="single" w:color="D6DCE4" w:sz="1"/>
              <w:bottom w:val="single" w:color="D6DCE4" w:sz="1"/>
              <w:right w:val="single" w:color="D6DCE4" w:sz="1"/>
            </w:tcBorders>
            <w:shd w:fill="E8EEF5" w:val="clear"/>
            <w:tcMar>
              <w:top w:type="dxa" w:w="80"/>
              <w:left w:type="dxa" w:w="80"/>
              <w:bottom w:type="dxa" w:w="80"/>
              <w:right w:type="dxa" w:w="80"/>
            </w:tcMar>
            <w:vAlign w:val="center"/>
          </w:tcPr>
          <w:p>
            <w:pPr>
              <w:jc w:val="center"/>
            </w:pPr>
            <w:r>
              <w:rPr>
                <w:rFonts w:ascii="Arial" w:cs="Arial" w:eastAsia="Arial" w:hAnsi="Arial"/>
                <w:b/>
                <w:bCs/>
                <w:color w:val="1B3A5C"/>
                <w:sz w:val="16"/>
                <w:szCs w:val="16"/>
              </w:rPr>
              <w:t xml:space="preserve">AVAILABLE</w:t>
            </w:r>
          </w:p>
        </w:tc>
        <w:tc>
          <w:tcPr>
            <w:tcW w:type="dxa" w:w="1480"/>
            <w:tcBorders>
              <w:top w:val="single" w:color="D6DCE4" w:sz="1"/>
              <w:left w:val="single" w:color="D6DCE4" w:sz="1"/>
              <w:bottom w:val="single" w:color="D6DCE4" w:sz="1"/>
              <w:right w:val="single" w:color="D6DCE4" w:sz="1"/>
            </w:tcBorders>
            <w:shd w:fill="FDECEA" w:val="clear"/>
            <w:tcMar>
              <w:top w:type="dxa" w:w="80"/>
              <w:left w:type="dxa" w:w="80"/>
              <w:bottom w:type="dxa" w:w="80"/>
              <w:right w:type="dxa" w:w="80"/>
            </w:tcMar>
            <w:vAlign w:val="center"/>
          </w:tcPr>
          <w:p>
            <w:pPr>
              <w:jc w:val="center"/>
            </w:pPr>
            <w:r>
              <w:rPr>
                <w:rFonts w:ascii="Arial" w:cs="Arial" w:eastAsia="Arial" w:hAnsi="Arial"/>
                <w:b/>
                <w:bCs/>
                <w:color w:val="8B0000"/>
                <w:sz w:val="16"/>
                <w:szCs w:val="16"/>
              </w:rPr>
              <w:t xml:space="preserve">ABSOLUTE</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Nuclear Venue Sublimits (CA/NV/FL/CO)</w:t>
            </w:r>
          </w:p>
          <w:p>
            <w:pPr>
              <w:spacing w:before="40"/>
            </w:pPr>
            <w:r>
              <w:rPr>
                <w:rFonts w:ascii="Arial" w:cs="Arial" w:eastAsia="Arial" w:hAnsi="Arial"/>
                <w:i/>
                <w:iCs/>
                <w:color w:val="2E75B6"/>
                <w:sz w:val="15"/>
                <w:szCs w:val="15"/>
              </w:rPr>
              <w:t xml:space="preserve">RST-01 only: optional endorsement for reduced limits in nuclear venues. Not available on BRD/STD.</w:t>
            </w:r>
          </w:p>
        </w:tc>
        <w:tc>
          <w:tcPr>
            <w:tcW w:type="dxa" w:w="2100"/>
            <w:tcBorders>
              <w:top w:val="single" w:color="D6DCE4" w:sz="1"/>
              <w:left w:val="single" w:color="D6DCE4" w:sz="1"/>
              <w:bottom w:val="single" w:color="D6DCE4" w:sz="1"/>
              <w:right w:val="single" w:color="D6DCE4" w:sz="1"/>
            </w:tcBorders>
            <w:shd w:fill="F2F2F2" w:val="clear"/>
            <w:tcMar>
              <w:top w:type="dxa" w:w="80"/>
              <w:left w:type="dxa" w:w="80"/>
              <w:bottom w:type="dxa" w:w="80"/>
              <w:right w:type="dxa" w:w="80"/>
            </w:tcMar>
            <w:vAlign w:val="center"/>
          </w:tcPr>
          <w:p>
            <w:pPr>
              <w:jc w:val="center"/>
            </w:pPr>
            <w:r>
              <w:rPr>
                <w:rFonts w:ascii="Arial" w:cs="Arial" w:eastAsia="Arial" w:hAnsi="Arial"/>
                <w:b/>
                <w:bCs/>
                <w:color w:val="1A1A1A"/>
                <w:sz w:val="16"/>
                <w:szCs w:val="16"/>
              </w:rPr>
              <w:t xml:space="preserve">NOT AVAIL.</w:t>
            </w:r>
          </w:p>
        </w:tc>
        <w:tc>
          <w:tcPr>
            <w:tcW w:type="dxa" w:w="2100"/>
            <w:tcBorders>
              <w:top w:val="single" w:color="D6DCE4" w:sz="1"/>
              <w:left w:val="single" w:color="D6DCE4" w:sz="1"/>
              <w:bottom w:val="single" w:color="D6DCE4" w:sz="1"/>
              <w:right w:val="single" w:color="D6DCE4" w:sz="1"/>
            </w:tcBorders>
            <w:shd w:fill="F2F2F2" w:val="clear"/>
            <w:tcMar>
              <w:top w:type="dxa" w:w="80"/>
              <w:left w:type="dxa" w:w="80"/>
              <w:bottom w:type="dxa" w:w="80"/>
              <w:right w:type="dxa" w:w="80"/>
            </w:tcMar>
            <w:vAlign w:val="center"/>
          </w:tcPr>
          <w:p>
            <w:pPr>
              <w:jc w:val="center"/>
            </w:pPr>
            <w:r>
              <w:rPr>
                <w:rFonts w:ascii="Arial" w:cs="Arial" w:eastAsia="Arial" w:hAnsi="Arial"/>
                <w:b/>
                <w:bCs/>
                <w:color w:val="1A1A1A"/>
                <w:sz w:val="16"/>
                <w:szCs w:val="16"/>
              </w:rPr>
              <w:t xml:space="preserve">NOT AVAIL.</w:t>
            </w:r>
          </w:p>
        </w:tc>
        <w:tc>
          <w:tcPr>
            <w:tcW w:type="dxa" w:w="1480"/>
            <w:tcBorders>
              <w:top w:val="single" w:color="D6DCE4" w:sz="1"/>
              <w:left w:val="single" w:color="D6DCE4" w:sz="1"/>
              <w:bottom w:val="single" w:color="D6DCE4" w:sz="1"/>
              <w:right w:val="single" w:color="D6DCE4" w:sz="1"/>
            </w:tcBorders>
            <w:shd w:fill="E8EEF5" w:val="clear"/>
            <w:tcMar>
              <w:top w:type="dxa" w:w="80"/>
              <w:left w:type="dxa" w:w="80"/>
              <w:bottom w:type="dxa" w:w="80"/>
              <w:right w:type="dxa" w:w="80"/>
            </w:tcMar>
            <w:vAlign w:val="center"/>
          </w:tcPr>
          <w:p>
            <w:pPr>
              <w:jc w:val="center"/>
            </w:pPr>
            <w:r>
              <w:rPr>
                <w:rFonts w:ascii="Arial" w:cs="Arial" w:eastAsia="Arial" w:hAnsi="Arial"/>
                <w:b/>
                <w:bCs/>
                <w:color w:val="1B3A5C"/>
                <w:sz w:val="16"/>
                <w:szCs w:val="16"/>
              </w:rPr>
              <w:t xml:space="preserve">AVAILABLE</w:t>
            </w:r>
          </w:p>
        </w:tc>
      </w:tr>
      <w:tr>
        <w:tc>
          <w:tcPr>
            <w:tcW w:type="dxa" w:w="24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Known Injury / Prior Work Exclusion</w:t>
            </w:r>
          </w:p>
          <w:p>
            <w:pPr>
              <w:spacing w:before="40"/>
            </w:pPr>
            <w:r>
              <w:rPr>
                <w:rFonts w:ascii="Arial" w:cs="Arial" w:eastAsia="Arial" w:hAnsi="Arial"/>
                <w:i/>
                <w:iCs/>
                <w:color w:val="2E75B6"/>
                <w:sz w:val="15"/>
                <w:szCs w:val="15"/>
              </w:rPr>
              <w:t xml:space="preserve">RST-01: extended known prior work exclusion (excludes any work completed &gt;5 yrs prior to policy).</w:t>
            </w:r>
          </w:p>
        </w:tc>
        <w:tc>
          <w:tcPr>
            <w:tcW w:type="dxa" w:w="2100"/>
            <w:tcBorders>
              <w:top w:val="single" w:color="D6DCE4" w:sz="1"/>
              <w:left w:val="single" w:color="D6DCE4" w:sz="1"/>
              <w:bottom w:val="single" w:color="D6DCE4" w:sz="1"/>
              <w:right w:val="single" w:color="D6DCE4"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16"/>
                <w:szCs w:val="16"/>
              </w:rPr>
              <w:t xml:space="preserve">COVERED</w:t>
            </w:r>
          </w:p>
        </w:tc>
        <w:tc>
          <w:tcPr>
            <w:tcW w:type="dxa" w:w="2100"/>
            <w:tcBorders>
              <w:top w:val="single" w:color="D6DCE4" w:sz="1"/>
              <w:left w:val="single" w:color="D6DCE4" w:sz="1"/>
              <w:bottom w:val="single" w:color="D6DCE4" w:sz="1"/>
              <w:right w:val="single" w:color="D6DCE4"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16"/>
                <w:szCs w:val="16"/>
              </w:rPr>
              <w:t xml:space="preserve">COVERED</w:t>
            </w:r>
          </w:p>
        </w:tc>
        <w:tc>
          <w:tcPr>
            <w:tcW w:type="dxa" w:w="1480"/>
            <w:tcBorders>
              <w:top w:val="single" w:color="D6DCE4" w:sz="1"/>
              <w:left w:val="single" w:color="D6DCE4" w:sz="1"/>
              <w:bottom w:val="single" w:color="D6DCE4" w:sz="1"/>
              <w:right w:val="single" w:color="D6DCE4" w:sz="1"/>
            </w:tcBorders>
            <w:shd w:fill="FFF8E1" w:val="clear"/>
            <w:tcMar>
              <w:top w:type="dxa" w:w="80"/>
              <w:left w:type="dxa" w:w="80"/>
              <w:bottom w:type="dxa" w:w="80"/>
              <w:right w:type="dxa" w:w="80"/>
            </w:tcMar>
            <w:vAlign w:val="center"/>
          </w:tcPr>
          <w:p>
            <w:pPr>
              <w:jc w:val="center"/>
            </w:pPr>
            <w:r>
              <w:rPr>
                <w:rFonts w:ascii="Arial" w:cs="Arial" w:eastAsia="Arial" w:hAnsi="Arial"/>
                <w:b/>
                <w:bCs/>
                <w:color w:val="C55A11"/>
                <w:sz w:val="16"/>
                <w:szCs w:val="16"/>
              </w:rPr>
              <w:t xml:space="preserve">RESTRICTED</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Silica / Crystalline Silica</w:t>
            </w:r>
          </w:p>
          <w:p>
            <w:pPr>
              <w:spacing w:before="40"/>
            </w:pPr>
            <w:r>
              <w:rPr>
                <w:rFonts w:ascii="Arial" w:cs="Arial" w:eastAsia="Arial" w:hAnsi="Arial"/>
                <w:i/>
                <w:iCs/>
                <w:color w:val="2E75B6"/>
                <w:sz w:val="15"/>
                <w:szCs w:val="15"/>
              </w:rPr>
              <w:t xml:space="preserve">Excluded on all forms. RST-01 exclusion broader (includes related respiratory conditions).</w:t>
            </w:r>
          </w:p>
        </w:tc>
        <w:tc>
          <w:tcPr>
            <w:tcW w:type="dxa" w:w="2100"/>
            <w:tcBorders>
              <w:top w:val="single" w:color="D6DCE4" w:sz="1"/>
              <w:left w:val="single" w:color="D6DCE4" w:sz="1"/>
              <w:bottom w:val="single" w:color="D6DCE4" w:sz="1"/>
              <w:right w:val="single" w:color="D6DCE4" w:sz="1"/>
            </w:tcBorders>
            <w:shd w:fill="FDECEA" w:val="clear"/>
            <w:tcMar>
              <w:top w:type="dxa" w:w="80"/>
              <w:left w:type="dxa" w:w="80"/>
              <w:bottom w:type="dxa" w:w="80"/>
              <w:right w:type="dxa" w:w="80"/>
            </w:tcMar>
            <w:vAlign w:val="center"/>
          </w:tcPr>
          <w:p>
            <w:pPr>
              <w:jc w:val="center"/>
            </w:pPr>
            <w:r>
              <w:rPr>
                <w:rFonts w:ascii="Arial" w:cs="Arial" w:eastAsia="Arial" w:hAnsi="Arial"/>
                <w:b/>
                <w:bCs/>
                <w:color w:val="8B0000"/>
                <w:sz w:val="16"/>
                <w:szCs w:val="16"/>
              </w:rPr>
              <w:t xml:space="preserve">EXCLUDED</w:t>
            </w:r>
          </w:p>
        </w:tc>
        <w:tc>
          <w:tcPr>
            <w:tcW w:type="dxa" w:w="2100"/>
            <w:tcBorders>
              <w:top w:val="single" w:color="D6DCE4" w:sz="1"/>
              <w:left w:val="single" w:color="D6DCE4" w:sz="1"/>
              <w:bottom w:val="single" w:color="D6DCE4" w:sz="1"/>
              <w:right w:val="single" w:color="D6DCE4" w:sz="1"/>
            </w:tcBorders>
            <w:shd w:fill="FDECEA" w:val="clear"/>
            <w:tcMar>
              <w:top w:type="dxa" w:w="80"/>
              <w:left w:type="dxa" w:w="80"/>
              <w:bottom w:type="dxa" w:w="80"/>
              <w:right w:type="dxa" w:w="80"/>
            </w:tcMar>
            <w:vAlign w:val="center"/>
          </w:tcPr>
          <w:p>
            <w:pPr>
              <w:jc w:val="center"/>
            </w:pPr>
            <w:r>
              <w:rPr>
                <w:rFonts w:ascii="Arial" w:cs="Arial" w:eastAsia="Arial" w:hAnsi="Arial"/>
                <w:b/>
                <w:bCs/>
                <w:color w:val="8B0000"/>
                <w:sz w:val="16"/>
                <w:szCs w:val="16"/>
              </w:rPr>
              <w:t xml:space="preserve">EXCLUDED</w:t>
            </w:r>
          </w:p>
        </w:tc>
        <w:tc>
          <w:tcPr>
            <w:tcW w:type="dxa" w:w="1480"/>
            <w:tcBorders>
              <w:top w:val="single" w:color="D6DCE4" w:sz="1"/>
              <w:left w:val="single" w:color="D6DCE4" w:sz="1"/>
              <w:bottom w:val="single" w:color="D6DCE4" w:sz="1"/>
              <w:right w:val="single" w:color="D6DCE4" w:sz="1"/>
            </w:tcBorders>
            <w:shd w:fill="FDECEA" w:val="clear"/>
            <w:tcMar>
              <w:top w:type="dxa" w:w="80"/>
              <w:left w:type="dxa" w:w="80"/>
              <w:bottom w:type="dxa" w:w="80"/>
              <w:right w:type="dxa" w:w="80"/>
            </w:tcMar>
            <w:vAlign w:val="center"/>
          </w:tcPr>
          <w:p>
            <w:pPr>
              <w:jc w:val="center"/>
            </w:pPr>
            <w:r>
              <w:rPr>
                <w:rFonts w:ascii="Arial" w:cs="Arial" w:eastAsia="Arial" w:hAnsi="Arial"/>
                <w:b/>
                <w:bCs/>
                <w:color w:val="8B0000"/>
                <w:sz w:val="16"/>
                <w:szCs w:val="16"/>
              </w:rPr>
              <w:t xml:space="preserve">ABSOLUTE</w:t>
            </w:r>
          </w:p>
        </w:tc>
      </w:tr>
      <w:tr>
        <w:tc>
          <w:tcPr>
            <w:tcW w:type="dxa" w:w="24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Asbestos / Lead / Hazardous Materials</w:t>
            </w:r>
          </w:p>
          <w:p>
            <w:pPr>
              <w:spacing w:before="40"/>
            </w:pPr>
            <w:r>
              <w:rPr>
                <w:rFonts w:ascii="Arial" w:cs="Arial" w:eastAsia="Arial" w:hAnsi="Arial"/>
                <w:i/>
                <w:iCs/>
                <w:color w:val="2E75B6"/>
                <w:sz w:val="15"/>
                <w:szCs w:val="15"/>
              </w:rPr>
              <w:t xml:space="preserve">Excluded on all forms. RST-01 adds indemnity bar regardless of trigger theory.</w:t>
            </w:r>
          </w:p>
        </w:tc>
        <w:tc>
          <w:tcPr>
            <w:tcW w:type="dxa" w:w="2100"/>
            <w:tcBorders>
              <w:top w:val="single" w:color="D6DCE4" w:sz="1"/>
              <w:left w:val="single" w:color="D6DCE4" w:sz="1"/>
              <w:bottom w:val="single" w:color="D6DCE4" w:sz="1"/>
              <w:right w:val="single" w:color="D6DCE4" w:sz="1"/>
            </w:tcBorders>
            <w:shd w:fill="FDECEA" w:val="clear"/>
            <w:tcMar>
              <w:top w:type="dxa" w:w="80"/>
              <w:left w:type="dxa" w:w="80"/>
              <w:bottom w:type="dxa" w:w="80"/>
              <w:right w:type="dxa" w:w="80"/>
            </w:tcMar>
            <w:vAlign w:val="center"/>
          </w:tcPr>
          <w:p>
            <w:pPr>
              <w:jc w:val="center"/>
            </w:pPr>
            <w:r>
              <w:rPr>
                <w:rFonts w:ascii="Arial" w:cs="Arial" w:eastAsia="Arial" w:hAnsi="Arial"/>
                <w:b/>
                <w:bCs/>
                <w:color w:val="8B0000"/>
                <w:sz w:val="16"/>
                <w:szCs w:val="16"/>
              </w:rPr>
              <w:t xml:space="preserve">EXCLUDED</w:t>
            </w:r>
          </w:p>
        </w:tc>
        <w:tc>
          <w:tcPr>
            <w:tcW w:type="dxa" w:w="2100"/>
            <w:tcBorders>
              <w:top w:val="single" w:color="D6DCE4" w:sz="1"/>
              <w:left w:val="single" w:color="D6DCE4" w:sz="1"/>
              <w:bottom w:val="single" w:color="D6DCE4" w:sz="1"/>
              <w:right w:val="single" w:color="D6DCE4" w:sz="1"/>
            </w:tcBorders>
            <w:shd w:fill="FDECEA" w:val="clear"/>
            <w:tcMar>
              <w:top w:type="dxa" w:w="80"/>
              <w:left w:type="dxa" w:w="80"/>
              <w:bottom w:type="dxa" w:w="80"/>
              <w:right w:type="dxa" w:w="80"/>
            </w:tcMar>
            <w:vAlign w:val="center"/>
          </w:tcPr>
          <w:p>
            <w:pPr>
              <w:jc w:val="center"/>
            </w:pPr>
            <w:r>
              <w:rPr>
                <w:rFonts w:ascii="Arial" w:cs="Arial" w:eastAsia="Arial" w:hAnsi="Arial"/>
                <w:b/>
                <w:bCs/>
                <w:color w:val="8B0000"/>
                <w:sz w:val="16"/>
                <w:szCs w:val="16"/>
              </w:rPr>
              <w:t xml:space="preserve">EXCLUDED</w:t>
            </w:r>
          </w:p>
        </w:tc>
        <w:tc>
          <w:tcPr>
            <w:tcW w:type="dxa" w:w="1480"/>
            <w:tcBorders>
              <w:top w:val="single" w:color="D6DCE4" w:sz="1"/>
              <w:left w:val="single" w:color="D6DCE4" w:sz="1"/>
              <w:bottom w:val="single" w:color="D6DCE4" w:sz="1"/>
              <w:right w:val="single" w:color="D6DCE4" w:sz="1"/>
            </w:tcBorders>
            <w:shd w:fill="FDECEA" w:val="clear"/>
            <w:tcMar>
              <w:top w:type="dxa" w:w="80"/>
              <w:left w:type="dxa" w:w="80"/>
              <w:bottom w:type="dxa" w:w="80"/>
              <w:right w:type="dxa" w:w="80"/>
            </w:tcMar>
            <w:vAlign w:val="center"/>
          </w:tcPr>
          <w:p>
            <w:pPr>
              <w:jc w:val="center"/>
            </w:pPr>
            <w:r>
              <w:rPr>
                <w:rFonts w:ascii="Arial" w:cs="Arial" w:eastAsia="Arial" w:hAnsi="Arial"/>
                <w:b/>
                <w:bCs/>
                <w:color w:val="8B0000"/>
                <w:sz w:val="16"/>
                <w:szCs w:val="16"/>
              </w:rPr>
              <w:t xml:space="preserve">ABSOLUTE</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Cross-Liability / Separation of Insureds</w:t>
            </w:r>
          </w:p>
          <w:p>
            <w:pPr>
              <w:spacing w:before="40"/>
            </w:pPr>
            <w:r>
              <w:rPr>
                <w:rFonts w:ascii="Arial" w:cs="Arial" w:eastAsia="Arial" w:hAnsi="Arial"/>
                <w:i/>
                <w:iCs/>
                <w:color w:val="2E75B6"/>
                <w:sz w:val="15"/>
                <w:szCs w:val="15"/>
              </w:rPr>
              <w:t xml:space="preserve">RST-01: separation of insureds does not apply to named insured cross-claims.</w:t>
            </w:r>
          </w:p>
        </w:tc>
        <w:tc>
          <w:tcPr>
            <w:tcW w:type="dxa" w:w="2100"/>
            <w:tcBorders>
              <w:top w:val="single" w:color="D6DCE4" w:sz="1"/>
              <w:left w:val="single" w:color="D6DCE4" w:sz="1"/>
              <w:bottom w:val="single" w:color="D6DCE4" w:sz="1"/>
              <w:right w:val="single" w:color="D6DCE4"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16"/>
                <w:szCs w:val="16"/>
              </w:rPr>
              <w:t xml:space="preserve">COVERED</w:t>
            </w:r>
          </w:p>
        </w:tc>
        <w:tc>
          <w:tcPr>
            <w:tcW w:type="dxa" w:w="2100"/>
            <w:tcBorders>
              <w:top w:val="single" w:color="D6DCE4" w:sz="1"/>
              <w:left w:val="single" w:color="D6DCE4" w:sz="1"/>
              <w:bottom w:val="single" w:color="D6DCE4" w:sz="1"/>
              <w:right w:val="single" w:color="D6DCE4"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16"/>
                <w:szCs w:val="16"/>
              </w:rPr>
              <w:t xml:space="preserve">COVERED</w:t>
            </w:r>
          </w:p>
        </w:tc>
        <w:tc>
          <w:tcPr>
            <w:tcW w:type="dxa" w:w="1480"/>
            <w:tcBorders>
              <w:top w:val="single" w:color="D6DCE4" w:sz="1"/>
              <w:left w:val="single" w:color="D6DCE4" w:sz="1"/>
              <w:bottom w:val="single" w:color="D6DCE4" w:sz="1"/>
              <w:right w:val="single" w:color="D6DCE4" w:sz="1"/>
            </w:tcBorders>
            <w:shd w:fill="FFF8E1" w:val="clear"/>
            <w:tcMar>
              <w:top w:type="dxa" w:w="80"/>
              <w:left w:type="dxa" w:w="80"/>
              <w:bottom w:type="dxa" w:w="80"/>
              <w:right w:type="dxa" w:w="80"/>
            </w:tcMar>
            <w:vAlign w:val="center"/>
          </w:tcPr>
          <w:p>
            <w:pPr>
              <w:jc w:val="center"/>
            </w:pPr>
            <w:r>
              <w:rPr>
                <w:rFonts w:ascii="Arial" w:cs="Arial" w:eastAsia="Arial" w:hAnsi="Arial"/>
                <w:b/>
                <w:bCs/>
                <w:color w:val="C55A11"/>
                <w:sz w:val="16"/>
                <w:szCs w:val="16"/>
              </w:rPr>
              <w:t xml:space="preserve">RESTRICTED</w:t>
            </w:r>
          </w:p>
        </w:tc>
      </w:tr>
    </w:tbl>
    <w:p>
      <w:pPr>
        <w:spacing w:after="0" w:before="0"/>
      </w:pPr>
      <w:r>
        <w:t xml:space="preserve"/>
      </w:r>
    </w:p>
    <w:p>
      <w:pPr>
        <w:spacing w:after="80" w:before="0"/>
      </w:pPr>
      <w:r>
        <w:rPr>
          <w:rFonts w:ascii="Arial" w:cs="Arial" w:eastAsia="Arial" w:hAnsi="Arial"/>
          <w:b/>
          <w:bCs/>
          <w:color w:val="1A1A1A"/>
          <w:sz w:val="20"/>
          <w:szCs w:val="20"/>
        </w:rPr>
        <w:t xml:space="preserve">Legend: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50"/>
        <w:gridCol w:w="1250"/>
        <w:gridCol w:w="1250"/>
        <w:gridCol w:w="1250"/>
        <w:gridCol w:w="1250"/>
        <w:gridCol w:w="1250"/>
        <w:gridCol w:w="1250"/>
        <w:gridCol w:w="1330"/>
      </w:tblGrid>
      <w:tr>
        <w:tc>
          <w:tcPr>
            <w:tcW w:type="dxa" w:w="1250"/>
            <w:tcBorders>
              <w:top w:val="single" w:color="D6DCE4" w:sz="1"/>
              <w:left w:val="single" w:color="D6DCE4" w:sz="1"/>
              <w:bottom w:val="single" w:color="D6DCE4" w:sz="1"/>
              <w:right w:val="single" w:color="D6DCE4" w:sz="1"/>
            </w:tcBorders>
            <w:shd w:fill="E8F5E9" w:val="clear"/>
            <w:tcMar>
              <w:top w:type="dxa" w:w="60"/>
              <w:left w:type="dxa" w:w="60"/>
              <w:bottom w:type="dxa" w:w="60"/>
              <w:right w:type="dxa" w:w="60"/>
            </w:tcMar>
          </w:tcPr>
          <w:p>
            <w:pPr>
              <w:jc w:val="center"/>
            </w:pPr>
            <w:r>
              <w:rPr>
                <w:rFonts w:ascii="Arial" w:cs="Arial" w:eastAsia="Arial" w:hAnsi="Arial"/>
                <w:b/>
                <w:bCs/>
                <w:color w:val="1B5E20"/>
                <w:sz w:val="15"/>
                <w:szCs w:val="15"/>
              </w:rPr>
              <w:t xml:space="preserve">COVERED</w:t>
            </w:r>
          </w:p>
        </w:tc>
        <w:tc>
          <w:tcPr>
            <w:tcW w:type="dxa" w:w="1250"/>
            <w:tcBorders>
              <w:top w:val="single" w:color="D6DCE4" w:sz="1"/>
              <w:left w:val="single" w:color="D6DCE4" w:sz="1"/>
              <w:bottom w:val="single" w:color="D6DCE4" w:sz="1"/>
              <w:right w:val="single" w:color="D6DCE4" w:sz="1"/>
            </w:tcBorders>
            <w:shd w:fill="E8F5E9" w:val="clear"/>
            <w:tcMar>
              <w:top w:type="dxa" w:w="60"/>
              <w:left w:type="dxa" w:w="60"/>
              <w:bottom w:type="dxa" w:w="60"/>
              <w:right w:type="dxa" w:w="60"/>
            </w:tcMar>
          </w:tcPr>
          <w:p>
            <w:pPr>
              <w:jc w:val="center"/>
            </w:pPr>
            <w:r>
              <w:rPr>
                <w:rFonts w:ascii="Arial" w:cs="Arial" w:eastAsia="Arial" w:hAnsi="Arial"/>
                <w:b/>
                <w:bCs/>
                <w:color w:val="1B5E20"/>
                <w:sz w:val="15"/>
                <w:szCs w:val="15"/>
              </w:rPr>
              <w:t xml:space="preserve">BROADENED</w:t>
            </w:r>
          </w:p>
        </w:tc>
        <w:tc>
          <w:tcPr>
            <w:tcW w:type="dxa" w:w="1250"/>
            <w:tcBorders>
              <w:top w:val="single" w:color="D6DCE4" w:sz="1"/>
              <w:left w:val="single" w:color="D6DCE4" w:sz="1"/>
              <w:bottom w:val="single" w:color="D6DCE4" w:sz="1"/>
              <w:right w:val="single" w:color="D6DCE4" w:sz="1"/>
            </w:tcBorders>
            <w:shd w:fill="FFF8E1" w:val="clear"/>
            <w:tcMar>
              <w:top w:type="dxa" w:w="60"/>
              <w:left w:type="dxa" w:w="60"/>
              <w:bottom w:type="dxa" w:w="60"/>
              <w:right w:type="dxa" w:w="60"/>
            </w:tcMar>
          </w:tcPr>
          <w:p>
            <w:pPr>
              <w:jc w:val="center"/>
            </w:pPr>
            <w:r>
              <w:rPr>
                <w:rFonts w:ascii="Arial" w:cs="Arial" w:eastAsia="Arial" w:hAnsi="Arial"/>
                <w:b/>
                <w:bCs/>
                <w:color w:val="E65100"/>
                <w:sz w:val="15"/>
                <w:szCs w:val="15"/>
              </w:rPr>
              <w:t xml:space="preserve">SUBLIMIT</w:t>
            </w:r>
          </w:p>
        </w:tc>
        <w:tc>
          <w:tcPr>
            <w:tcW w:type="dxa" w:w="1250"/>
            <w:tcBorders>
              <w:top w:val="single" w:color="D6DCE4" w:sz="1"/>
              <w:left w:val="single" w:color="D6DCE4" w:sz="1"/>
              <w:bottom w:val="single" w:color="D6DCE4" w:sz="1"/>
              <w:right w:val="single" w:color="D6DCE4" w:sz="1"/>
            </w:tcBorders>
            <w:shd w:fill="E0F7FA" w:val="clear"/>
            <w:tcMar>
              <w:top w:type="dxa" w:w="60"/>
              <w:left w:type="dxa" w:w="60"/>
              <w:bottom w:type="dxa" w:w="60"/>
              <w:right w:type="dxa" w:w="60"/>
            </w:tcMar>
          </w:tcPr>
          <w:p>
            <w:pPr>
              <w:jc w:val="center"/>
            </w:pPr>
            <w:r>
              <w:rPr>
                <w:rFonts w:ascii="Arial" w:cs="Arial" w:eastAsia="Arial" w:hAnsi="Arial"/>
                <w:b/>
                <w:bCs/>
                <w:color w:val="006064"/>
                <w:sz w:val="15"/>
                <w:szCs w:val="15"/>
              </w:rPr>
              <w:t xml:space="preserve">MODIFIED</w:t>
            </w:r>
          </w:p>
        </w:tc>
        <w:tc>
          <w:tcPr>
            <w:tcW w:type="dxa" w:w="1250"/>
            <w:tcBorders>
              <w:top w:val="single" w:color="D6DCE4" w:sz="1"/>
              <w:left w:val="single" w:color="D6DCE4" w:sz="1"/>
              <w:bottom w:val="single" w:color="D6DCE4" w:sz="1"/>
              <w:right w:val="single" w:color="D6DCE4" w:sz="1"/>
            </w:tcBorders>
            <w:shd w:fill="E0F7FA" w:val="clear"/>
            <w:tcMar>
              <w:top w:type="dxa" w:w="60"/>
              <w:left w:type="dxa" w:w="60"/>
              <w:bottom w:type="dxa" w:w="60"/>
              <w:right w:type="dxa" w:w="60"/>
            </w:tcMar>
          </w:tcPr>
          <w:p>
            <w:pPr>
              <w:jc w:val="center"/>
            </w:pPr>
            <w:r>
              <w:rPr>
                <w:rFonts w:ascii="Arial" w:cs="Arial" w:eastAsia="Arial" w:hAnsi="Arial"/>
                <w:b/>
                <w:bCs/>
                <w:color w:val="006064"/>
                <w:sz w:val="15"/>
                <w:szCs w:val="15"/>
              </w:rPr>
              <w:t xml:space="preserve">WRITE-BACK</w:t>
            </w:r>
          </w:p>
        </w:tc>
        <w:tc>
          <w:tcPr>
            <w:tcW w:type="dxa" w:w="1250"/>
            <w:tcBorders>
              <w:top w:val="single" w:color="D6DCE4" w:sz="1"/>
              <w:left w:val="single" w:color="D6DCE4" w:sz="1"/>
              <w:bottom w:val="single" w:color="D6DCE4" w:sz="1"/>
              <w:right w:val="single" w:color="D6DCE4" w:sz="1"/>
            </w:tcBorders>
            <w:shd w:fill="FFF8E1" w:val="clear"/>
            <w:tcMar>
              <w:top w:type="dxa" w:w="60"/>
              <w:left w:type="dxa" w:w="60"/>
              <w:bottom w:type="dxa" w:w="60"/>
              <w:right w:type="dxa" w:w="60"/>
            </w:tcMar>
          </w:tcPr>
          <w:p>
            <w:pPr>
              <w:jc w:val="center"/>
            </w:pPr>
            <w:r>
              <w:rPr>
                <w:rFonts w:ascii="Arial" w:cs="Arial" w:eastAsia="Arial" w:hAnsi="Arial"/>
                <w:b/>
                <w:bCs/>
                <w:color w:val="C55A11"/>
                <w:sz w:val="15"/>
                <w:szCs w:val="15"/>
              </w:rPr>
              <w:t xml:space="preserve">RESTRICTED</w:t>
            </w:r>
          </w:p>
        </w:tc>
        <w:tc>
          <w:tcPr>
            <w:tcW w:type="dxa" w:w="1250"/>
            <w:tcBorders>
              <w:top w:val="single" w:color="D6DCE4" w:sz="1"/>
              <w:left w:val="single" w:color="D6DCE4" w:sz="1"/>
              <w:bottom w:val="single" w:color="D6DCE4" w:sz="1"/>
              <w:right w:val="single" w:color="D6DCE4" w:sz="1"/>
            </w:tcBorders>
            <w:shd w:fill="FDECEA" w:val="clear"/>
            <w:tcMar>
              <w:top w:type="dxa" w:w="60"/>
              <w:left w:type="dxa" w:w="60"/>
              <w:bottom w:type="dxa" w:w="60"/>
              <w:right w:type="dxa" w:w="60"/>
            </w:tcMar>
          </w:tcPr>
          <w:p>
            <w:pPr>
              <w:jc w:val="center"/>
            </w:pPr>
            <w:r>
              <w:rPr>
                <w:rFonts w:ascii="Arial" w:cs="Arial" w:eastAsia="Arial" w:hAnsi="Arial"/>
                <w:b/>
                <w:bCs/>
                <w:color w:val="8B0000"/>
                <w:sz w:val="15"/>
                <w:szCs w:val="15"/>
              </w:rPr>
              <w:t xml:space="preserve">EXCLUDED</w:t>
            </w:r>
          </w:p>
        </w:tc>
        <w:tc>
          <w:tcPr>
            <w:tcW w:type="dxa" w:w="1330"/>
            <w:tcBorders>
              <w:top w:val="single" w:color="D6DCE4" w:sz="1"/>
              <w:left w:val="single" w:color="D6DCE4" w:sz="1"/>
              <w:bottom w:val="single" w:color="D6DCE4" w:sz="1"/>
              <w:right w:val="single" w:color="D6DCE4" w:sz="1"/>
            </w:tcBorders>
            <w:shd w:fill="FDECEA" w:val="clear"/>
            <w:tcMar>
              <w:top w:type="dxa" w:w="60"/>
              <w:left w:type="dxa" w:w="60"/>
              <w:bottom w:type="dxa" w:w="60"/>
              <w:right w:type="dxa" w:w="60"/>
            </w:tcMar>
          </w:tcPr>
          <w:p>
            <w:pPr>
              <w:jc w:val="center"/>
            </w:pPr>
            <w:r>
              <w:rPr>
                <w:rFonts w:ascii="Arial" w:cs="Arial" w:eastAsia="Arial" w:hAnsi="Arial"/>
                <w:b/>
                <w:bCs/>
                <w:color w:val="8B0000"/>
                <w:sz w:val="15"/>
                <w:szCs w:val="15"/>
              </w:rPr>
              <w:t xml:space="preserve">ABSOLUTE</w:t>
            </w:r>
          </w:p>
        </w:tc>
      </w:tr>
    </w:tbl>
    <w:p>
      <w:pPr>
        <w:spacing w:after="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2E75B6" w:val="clear"/>
            <w:tcMar>
              <w:top w:type="dxa" w:w="160"/>
              <w:left w:type="dxa" w:w="200"/>
              <w:bottom w:type="dxa" w:w="160"/>
              <w:right w:type="dxa" w:w="200"/>
            </w:tcMar>
          </w:tcPr>
          <w:p>
            <w:pPr>
              <w:spacing w:after="40"/>
            </w:pPr>
            <w:r>
              <w:rPr>
                <w:rFonts w:ascii="Arial" w:cs="Arial" w:eastAsia="Arial" w:hAnsi="Arial"/>
                <w:b/>
                <w:bCs/>
                <w:color w:val="FFFFFF"/>
                <w:sz w:val="20"/>
                <w:szCs w:val="20"/>
              </w:rPr>
              <w:t xml:space="preserve">MSI-CGL-STD-01 | Section 2</w:t>
            </w:r>
          </w:p>
          <w:p>
            <w:pPr>
              <w:spacing w:after="0"/>
            </w:pPr>
            <w:r>
              <w:rPr>
                <w:rFonts w:ascii="Arial" w:cs="Arial" w:eastAsia="Arial" w:hAnsi="Arial"/>
                <w:b/>
                <w:bCs/>
                <w:color w:val="FFFFFF"/>
                <w:sz w:val="32"/>
                <w:szCs w:val="32"/>
              </w:rPr>
              <w:t xml:space="preserve">Standard Construction Form</w:t>
            </w:r>
          </w:p>
        </w:tc>
      </w:tr>
    </w:tbl>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6DCE4" w:sz="1"/>
              <w:left w:val="single" w:color="D6DCE4" w:sz="1"/>
              <w:bottom w:val="single" w:color="D6DCE4" w:sz="1"/>
              <w:right w:val="single" w:color="D6DCE4" w:sz="1"/>
            </w:tcBorders>
            <w:shd w:fill="E8EEF5" w:val="clear"/>
            <w:tcMar>
              <w:top w:type="dxa" w:w="100"/>
              <w:left w:type="dxa" w:w="120"/>
              <w:bottom w:type="dxa" w:w="100"/>
              <w:right w:type="dxa" w:w="80"/>
            </w:tcMar>
          </w:tcPr>
          <w:p>
            <w:pPr>
              <w:spacing w:after="60"/>
            </w:pPr>
            <w:r>
              <w:rPr>
                <w:rFonts w:ascii="Arial" w:cs="Arial" w:eastAsia="Arial" w:hAnsi="Arial"/>
                <w:b/>
                <w:bCs/>
                <w:color w:val="1B3A5C"/>
                <w:sz w:val="18"/>
                <w:szCs w:val="18"/>
              </w:rPr>
              <w:t xml:space="preserve">Eligible Classes</w:t>
            </w:r>
          </w:p>
          <w:p>
            <w:r>
              <w:rPr>
                <w:rFonts w:ascii="Arial" w:cs="Arial" w:eastAsia="Arial" w:hAnsi="Arial"/>
                <w:color w:val="1A1A1A"/>
                <w:sz w:val="16"/>
                <w:szCs w:val="16"/>
              </w:rPr>
              <w:t xml:space="preserve">Commercial GC (office, retail, industrial, hospitality). Residential GC multifamily non-CA. Specialty trades (mechanical, electrical, plumbing). Roofing — commercial. Waterproofing. Concrete.</w:t>
            </w:r>
          </w:p>
        </w:tc>
        <w:tc>
          <w:tcPr>
            <w:tcW w:type="dxa" w:w="3360"/>
            <w:tcBorders>
              <w:top w:val="single" w:color="D6DCE4" w:sz="1"/>
              <w:left w:val="single" w:color="D6DCE4" w:sz="1"/>
              <w:bottom w:val="single" w:color="D6DCE4" w:sz="1"/>
              <w:right w:val="single" w:color="D6DCE4" w:sz="1"/>
            </w:tcBorders>
            <w:shd w:fill="E8EEF5" w:val="clear"/>
            <w:tcMar>
              <w:top w:type="dxa" w:w="100"/>
              <w:left w:type="dxa" w:w="120"/>
              <w:bottom w:type="dxa" w:w="100"/>
              <w:right w:type="dxa" w:w="80"/>
            </w:tcMar>
          </w:tcPr>
          <w:p>
            <w:pPr>
              <w:spacing w:after="60"/>
            </w:pPr>
            <w:r>
              <w:rPr>
                <w:rFonts w:ascii="Arial" w:cs="Arial" w:eastAsia="Arial" w:hAnsi="Arial"/>
                <w:b/>
                <w:bCs/>
                <w:color w:val="1B3A5C"/>
                <w:sz w:val="18"/>
                <w:szCs w:val="18"/>
              </w:rPr>
              <w:t xml:space="preserve">Typical Limits</w:t>
            </w:r>
          </w:p>
          <w:p>
            <w:r>
              <w:rPr>
                <w:rFonts w:ascii="Arial" w:cs="Arial" w:eastAsia="Arial" w:hAnsi="Arial"/>
                <w:color w:val="1A1A1A"/>
                <w:sz w:val="16"/>
                <w:szCs w:val="16"/>
              </w:rPr>
              <w:t xml:space="preserve">Each Occurrence: $1M – $2M. General Aggregate: $2M – $4M. Products/Comp Ops: $2M – $4M. Available excess: $5M – $10M.</w:t>
            </w:r>
          </w:p>
        </w:tc>
        <w:tc>
          <w:tcPr>
            <w:tcW w:type="dxa" w:w="3360"/>
            <w:tcBorders>
              <w:top w:val="single" w:color="D6DCE4" w:sz="1"/>
              <w:left w:val="single" w:color="D6DCE4" w:sz="1"/>
              <w:bottom w:val="single" w:color="D6DCE4" w:sz="1"/>
              <w:right w:val="single" w:color="D6DCE4" w:sz="1"/>
            </w:tcBorders>
            <w:shd w:fill="E8EEF5" w:val="clear"/>
            <w:tcMar>
              <w:top w:type="dxa" w:w="100"/>
              <w:left w:type="dxa" w:w="120"/>
              <w:bottom w:type="dxa" w:w="100"/>
              <w:right w:type="dxa" w:w="120"/>
            </w:tcMar>
          </w:tcPr>
          <w:p>
            <w:pPr>
              <w:spacing w:after="60"/>
            </w:pPr>
            <w:r>
              <w:rPr>
                <w:rFonts w:ascii="Arial" w:cs="Arial" w:eastAsia="Arial" w:hAnsi="Arial"/>
                <w:b/>
                <w:bCs/>
                <w:color w:val="1B3A5C"/>
                <w:sz w:val="18"/>
                <w:szCs w:val="18"/>
              </w:rPr>
              <w:t xml:space="preserve">UW Authority</w:t>
            </w:r>
          </w:p>
          <w:p>
            <w:r>
              <w:rPr>
                <w:rFonts w:ascii="Arial" w:cs="Arial" w:eastAsia="Arial" w:hAnsi="Arial"/>
                <w:color w:val="1A1A1A"/>
                <w:sz w:val="16"/>
                <w:szCs w:val="16"/>
              </w:rPr>
              <w:t xml:space="preserve">Standard UW (up to $2M). Senior UW ($2M – $5M). UW Manager ($5M – $10M). CUO above $10M. Per MSI Authority Matrix v4.2.</w:t>
            </w:r>
          </w:p>
        </w:tc>
      </w:tr>
    </w:tbl>
    <w:p>
      <w:pPr>
        <w:spacing w:after="0" w:before="0"/>
      </w:pPr>
      <w:r>
        <w:t xml:space="preserve"/>
      </w:r>
    </w:p>
    <w:p>
      <w:pPr>
        <w:spacing w:after="120" w:before="180"/>
      </w:pPr>
      <w:r>
        <w:rPr>
          <w:rFonts w:ascii="Arial" w:cs="Arial" w:eastAsia="Arial" w:hAnsi="Arial"/>
          <w:b/>
          <w:bCs/>
          <w:color w:val="1B3A5C"/>
          <w:sz w:val="26"/>
          <w:szCs w:val="26"/>
        </w:rPr>
        <w:t xml:space="preserve">Exclusion Schedule — MSI-CGL-STD-01</w:t>
      </w:r>
    </w:p>
    <w:p>
      <w:pPr>
        <w:pBdr>
          <w:bottom w:val="single" w:color="2E75B6" w:sz="6" w:space="1"/>
        </w:pBdr>
        <w:spacing w:after="10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6780"/>
      </w:tblGrid>
      <w:tr>
        <w:tc>
          <w:tcPr>
            <w:tcW w:type="dxa" w:w="1300"/>
            <w:tcBorders>
              <w:top w:val="single" w:color="D6DCE4" w:sz="1"/>
              <w:left w:val="single" w:color="D6DCE4" w:sz="1"/>
              <w:bottom w:val="single" w:color="D6DCE4" w:sz="1"/>
              <w:right w:val="single" w:color="D6DCE4" w:sz="1"/>
            </w:tcBorders>
            <w:shd w:fill="2E75B6" w:val="clear"/>
            <w:tcMar>
              <w:top w:type="dxa" w:w="80"/>
              <w:left w:type="dxa" w:w="100"/>
              <w:bottom w:type="dxa" w:w="80"/>
              <w:right w:type="dxa" w:w="80"/>
            </w:tcMar>
            <w:vAlign w:val="top"/>
          </w:tcPr>
          <w:p>
            <w:r>
              <w:rPr>
                <w:rFonts w:ascii="Arial" w:cs="Arial" w:eastAsia="Arial" w:hAnsi="Arial"/>
                <w:b/>
                <w:bCs/>
                <w:color w:val="FFFFFF"/>
                <w:sz w:val="16"/>
                <w:szCs w:val="16"/>
              </w:rPr>
              <w:t xml:space="preserve">STD-E01</w:t>
            </w:r>
          </w:p>
        </w:tc>
        <w:tc>
          <w:tcPr>
            <w:tcW w:type="dxa" w:w="20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Expected or Intended Injury</w:t>
            </w:r>
          </w:p>
        </w:tc>
        <w:tc>
          <w:tcPr>
            <w:tcW w:type="dxa" w:w="67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r>
              <w:rPr>
                <w:rFonts w:ascii="Arial" w:cs="Arial" w:eastAsia="Arial" w:hAnsi="Arial"/>
                <w:color w:val="1A1A1A"/>
                <w:sz w:val="16"/>
                <w:szCs w:val="16"/>
              </w:rPr>
              <w:t xml:space="preserve">Excludes bodily injury or property damage expected or intended from the standpoint of the insured. Standard ISO language applies without modification.</w:t>
            </w:r>
          </w:p>
        </w:tc>
      </w:tr>
      <w:tr>
        <w:tc>
          <w:tcPr>
            <w:tcW w:type="dxa" w:w="1300"/>
            <w:tcBorders>
              <w:top w:val="single" w:color="D6DCE4" w:sz="1"/>
              <w:left w:val="single" w:color="D6DCE4" w:sz="1"/>
              <w:bottom w:val="single" w:color="D6DCE4" w:sz="1"/>
              <w:right w:val="single" w:color="D6DCE4" w:sz="1"/>
            </w:tcBorders>
            <w:shd w:fill="2E75B6" w:val="clear"/>
            <w:tcMar>
              <w:top w:type="dxa" w:w="80"/>
              <w:left w:type="dxa" w:w="100"/>
              <w:bottom w:type="dxa" w:w="80"/>
              <w:right w:type="dxa" w:w="80"/>
            </w:tcMar>
            <w:vAlign w:val="top"/>
          </w:tcPr>
          <w:p>
            <w:r>
              <w:rPr>
                <w:rFonts w:ascii="Arial" w:cs="Arial" w:eastAsia="Arial" w:hAnsi="Arial"/>
                <w:b/>
                <w:bCs/>
                <w:color w:val="FFFFFF"/>
                <w:sz w:val="16"/>
                <w:szCs w:val="16"/>
              </w:rPr>
              <w:t xml:space="preserve">STD-E02</w:t>
            </w:r>
          </w:p>
        </w:tc>
        <w:tc>
          <w:tcPr>
            <w:tcW w:type="dxa" w:w="20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Contractual Liability</w:t>
            </w:r>
          </w:p>
        </w:tc>
        <w:tc>
          <w:tcPr>
            <w:tcW w:type="dxa" w:w="678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r>
              <w:rPr>
                <w:rFonts w:ascii="Arial" w:cs="Arial" w:eastAsia="Arial" w:hAnsi="Arial"/>
                <w:color w:val="1A1A1A"/>
                <w:sz w:val="16"/>
                <w:szCs w:val="16"/>
              </w:rPr>
              <w:t xml:space="preserve">Excludes liability assumed under a contract or agreement. Exception applies to insured contracts (hold harmless/indemnity in construction contracts meeting ISO definition). No expansion of insured contract definition beyond ISO CG 00 01.</w:t>
            </w:r>
          </w:p>
        </w:tc>
      </w:tr>
      <w:tr>
        <w:tc>
          <w:tcPr>
            <w:tcW w:type="dxa" w:w="1300"/>
            <w:tcBorders>
              <w:top w:val="single" w:color="D6DCE4" w:sz="1"/>
              <w:left w:val="single" w:color="D6DCE4" w:sz="1"/>
              <w:bottom w:val="single" w:color="D6DCE4" w:sz="1"/>
              <w:right w:val="single" w:color="D6DCE4" w:sz="1"/>
            </w:tcBorders>
            <w:shd w:fill="2E75B6" w:val="clear"/>
            <w:tcMar>
              <w:top w:type="dxa" w:w="80"/>
              <w:left w:type="dxa" w:w="100"/>
              <w:bottom w:type="dxa" w:w="80"/>
              <w:right w:type="dxa" w:w="80"/>
            </w:tcMar>
            <w:vAlign w:val="top"/>
          </w:tcPr>
          <w:p>
            <w:r>
              <w:rPr>
                <w:rFonts w:ascii="Arial" w:cs="Arial" w:eastAsia="Arial" w:hAnsi="Arial"/>
                <w:b/>
                <w:bCs/>
                <w:color w:val="FFFFFF"/>
                <w:sz w:val="16"/>
                <w:szCs w:val="16"/>
              </w:rPr>
              <w:t xml:space="preserve">STD-E03</w:t>
            </w:r>
          </w:p>
        </w:tc>
        <w:tc>
          <w:tcPr>
            <w:tcW w:type="dxa" w:w="20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Liquor Liability</w:t>
            </w:r>
          </w:p>
        </w:tc>
        <w:tc>
          <w:tcPr>
            <w:tcW w:type="dxa" w:w="67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r>
              <w:rPr>
                <w:rFonts w:ascii="Arial" w:cs="Arial" w:eastAsia="Arial" w:hAnsi="Arial"/>
                <w:color w:val="1A1A1A"/>
                <w:sz w:val="16"/>
                <w:szCs w:val="16"/>
              </w:rPr>
              <w:t xml:space="preserve">Excludes liability arising from the manufacture, distribution, sale, or service of alcoholic beverages.</w:t>
            </w:r>
          </w:p>
        </w:tc>
      </w:tr>
      <w:tr>
        <w:tc>
          <w:tcPr>
            <w:tcW w:type="dxa" w:w="1300"/>
            <w:tcBorders>
              <w:top w:val="single" w:color="D6DCE4" w:sz="1"/>
              <w:left w:val="single" w:color="D6DCE4" w:sz="1"/>
              <w:bottom w:val="single" w:color="D6DCE4" w:sz="1"/>
              <w:right w:val="single" w:color="D6DCE4" w:sz="1"/>
            </w:tcBorders>
            <w:shd w:fill="2E75B6" w:val="clear"/>
            <w:tcMar>
              <w:top w:type="dxa" w:w="80"/>
              <w:left w:type="dxa" w:w="100"/>
              <w:bottom w:type="dxa" w:w="80"/>
              <w:right w:type="dxa" w:w="80"/>
            </w:tcMar>
            <w:vAlign w:val="top"/>
          </w:tcPr>
          <w:p>
            <w:r>
              <w:rPr>
                <w:rFonts w:ascii="Arial" w:cs="Arial" w:eastAsia="Arial" w:hAnsi="Arial"/>
                <w:b/>
                <w:bCs/>
                <w:color w:val="FFFFFF"/>
                <w:sz w:val="16"/>
                <w:szCs w:val="16"/>
              </w:rPr>
              <w:t xml:space="preserve">STD-E04</w:t>
            </w:r>
          </w:p>
        </w:tc>
        <w:tc>
          <w:tcPr>
            <w:tcW w:type="dxa" w:w="20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Workers Compensation &amp; Employers Liability</w:t>
            </w:r>
          </w:p>
        </w:tc>
        <w:tc>
          <w:tcPr>
            <w:tcW w:type="dxa" w:w="678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r>
              <w:rPr>
                <w:rFonts w:ascii="Arial" w:cs="Arial" w:eastAsia="Arial" w:hAnsi="Arial"/>
                <w:color w:val="1A1A1A"/>
                <w:sz w:val="16"/>
                <w:szCs w:val="16"/>
              </w:rPr>
              <w:t xml:space="preserve">Excludes bodily injury to employees of the insured arising out of and in the course of employment. Standard ISO language. Separate employers liability policy required.</w:t>
            </w:r>
          </w:p>
        </w:tc>
      </w:tr>
      <w:tr>
        <w:tc>
          <w:tcPr>
            <w:tcW w:type="dxa" w:w="1300"/>
            <w:tcBorders>
              <w:top w:val="single" w:color="D6DCE4" w:sz="1"/>
              <w:left w:val="single" w:color="D6DCE4" w:sz="1"/>
              <w:bottom w:val="single" w:color="D6DCE4" w:sz="1"/>
              <w:right w:val="single" w:color="D6DCE4" w:sz="1"/>
            </w:tcBorders>
            <w:shd w:fill="2E75B6" w:val="clear"/>
            <w:tcMar>
              <w:top w:type="dxa" w:w="80"/>
              <w:left w:type="dxa" w:w="100"/>
              <w:bottom w:type="dxa" w:w="80"/>
              <w:right w:type="dxa" w:w="80"/>
            </w:tcMar>
            <w:vAlign w:val="top"/>
          </w:tcPr>
          <w:p>
            <w:r>
              <w:rPr>
                <w:rFonts w:ascii="Arial" w:cs="Arial" w:eastAsia="Arial" w:hAnsi="Arial"/>
                <w:b/>
                <w:bCs/>
                <w:color w:val="FFFFFF"/>
                <w:sz w:val="16"/>
                <w:szCs w:val="16"/>
              </w:rPr>
              <w:t xml:space="preserve">STD-E05</w:t>
            </w:r>
          </w:p>
        </w:tc>
        <w:tc>
          <w:tcPr>
            <w:tcW w:type="dxa" w:w="20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Auto</w:t>
            </w:r>
          </w:p>
        </w:tc>
        <w:tc>
          <w:tcPr>
            <w:tcW w:type="dxa" w:w="67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r>
              <w:rPr>
                <w:rFonts w:ascii="Arial" w:cs="Arial" w:eastAsia="Arial" w:hAnsi="Arial"/>
                <w:color w:val="1A1A1A"/>
                <w:sz w:val="16"/>
                <w:szCs w:val="16"/>
              </w:rPr>
              <w:t xml:space="preserve">Excludes bodily injury or property damage arising out of the ownership, maintenance, use, or entrustment of any auto. Applies to owned, non-owned, and hired auto. Separate auto policy required.</w:t>
            </w:r>
          </w:p>
        </w:tc>
      </w:tr>
      <w:tr>
        <w:tc>
          <w:tcPr>
            <w:tcW w:type="dxa" w:w="1300"/>
            <w:tcBorders>
              <w:top w:val="single" w:color="D6DCE4" w:sz="1"/>
              <w:left w:val="single" w:color="D6DCE4" w:sz="1"/>
              <w:bottom w:val="single" w:color="D6DCE4" w:sz="1"/>
              <w:right w:val="single" w:color="D6DCE4" w:sz="1"/>
            </w:tcBorders>
            <w:shd w:fill="2E75B6" w:val="clear"/>
            <w:tcMar>
              <w:top w:type="dxa" w:w="80"/>
              <w:left w:type="dxa" w:w="100"/>
              <w:bottom w:type="dxa" w:w="80"/>
              <w:right w:type="dxa" w:w="80"/>
            </w:tcMar>
            <w:vAlign w:val="top"/>
          </w:tcPr>
          <w:p>
            <w:r>
              <w:rPr>
                <w:rFonts w:ascii="Arial" w:cs="Arial" w:eastAsia="Arial" w:hAnsi="Arial"/>
                <w:b/>
                <w:bCs/>
                <w:color w:val="FFFFFF"/>
                <w:sz w:val="16"/>
                <w:szCs w:val="16"/>
              </w:rPr>
              <w:t xml:space="preserve">STD-E06</w:t>
            </w:r>
          </w:p>
        </w:tc>
        <w:tc>
          <w:tcPr>
            <w:tcW w:type="dxa" w:w="20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Pollution — Total Exclusion</w:t>
            </w:r>
          </w:p>
        </w:tc>
        <w:tc>
          <w:tcPr>
            <w:tcW w:type="dxa" w:w="678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r>
              <w:rPr>
                <w:rFonts w:ascii="Arial" w:cs="Arial" w:eastAsia="Arial" w:hAnsi="Arial"/>
                <w:color w:val="1A1A1A"/>
                <w:sz w:val="16"/>
                <w:szCs w:val="16"/>
              </w:rPr>
              <w:t xml:space="preserve">Excludes all bodily injury, property damage, or cleanup costs arising out of the actual, alleged, or threatened discharge, dispersal, seepage, migration, release, or escape of pollutants. No sudden and accidental write-back. No premises exception.</w:t>
            </w:r>
          </w:p>
        </w:tc>
      </w:tr>
      <w:tr>
        <w:tc>
          <w:tcPr>
            <w:tcW w:type="dxa" w:w="1300"/>
            <w:tcBorders>
              <w:top w:val="single" w:color="D6DCE4" w:sz="1"/>
              <w:left w:val="single" w:color="D6DCE4" w:sz="1"/>
              <w:bottom w:val="single" w:color="D6DCE4" w:sz="1"/>
              <w:right w:val="single" w:color="D6DCE4" w:sz="1"/>
            </w:tcBorders>
            <w:shd w:fill="2E75B6" w:val="clear"/>
            <w:tcMar>
              <w:top w:type="dxa" w:w="80"/>
              <w:left w:type="dxa" w:w="100"/>
              <w:bottom w:type="dxa" w:w="80"/>
              <w:right w:type="dxa" w:w="80"/>
            </w:tcMar>
            <w:vAlign w:val="top"/>
          </w:tcPr>
          <w:p>
            <w:r>
              <w:rPr>
                <w:rFonts w:ascii="Arial" w:cs="Arial" w:eastAsia="Arial" w:hAnsi="Arial"/>
                <w:b/>
                <w:bCs/>
                <w:color w:val="FFFFFF"/>
                <w:sz w:val="16"/>
                <w:szCs w:val="16"/>
              </w:rPr>
              <w:t xml:space="preserve">STD-E07</w:t>
            </w:r>
          </w:p>
        </w:tc>
        <w:tc>
          <w:tcPr>
            <w:tcW w:type="dxa" w:w="20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Aircraft / Watercraft</w:t>
            </w:r>
          </w:p>
        </w:tc>
        <w:tc>
          <w:tcPr>
            <w:tcW w:type="dxa" w:w="67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r>
              <w:rPr>
                <w:rFonts w:ascii="Arial" w:cs="Arial" w:eastAsia="Arial" w:hAnsi="Arial"/>
                <w:color w:val="1A1A1A"/>
                <w:sz w:val="16"/>
                <w:szCs w:val="16"/>
              </w:rPr>
              <w:t xml:space="preserve">Excludes bodily injury or property damage arising out of the ownership, maintenance, use, or entrustment of any aircraft or watercraft. Standard ISO language.</w:t>
            </w:r>
          </w:p>
        </w:tc>
      </w:tr>
      <w:tr>
        <w:tc>
          <w:tcPr>
            <w:tcW w:type="dxa" w:w="1300"/>
            <w:tcBorders>
              <w:top w:val="single" w:color="D6DCE4" w:sz="1"/>
              <w:left w:val="single" w:color="D6DCE4" w:sz="1"/>
              <w:bottom w:val="single" w:color="D6DCE4" w:sz="1"/>
              <w:right w:val="single" w:color="D6DCE4" w:sz="1"/>
            </w:tcBorders>
            <w:shd w:fill="2E75B6" w:val="clear"/>
            <w:tcMar>
              <w:top w:type="dxa" w:w="80"/>
              <w:left w:type="dxa" w:w="100"/>
              <w:bottom w:type="dxa" w:w="80"/>
              <w:right w:type="dxa" w:w="80"/>
            </w:tcMar>
            <w:vAlign w:val="top"/>
          </w:tcPr>
          <w:p>
            <w:r>
              <w:rPr>
                <w:rFonts w:ascii="Arial" w:cs="Arial" w:eastAsia="Arial" w:hAnsi="Arial"/>
                <w:b/>
                <w:bCs/>
                <w:color w:val="FFFFFF"/>
                <w:sz w:val="16"/>
                <w:szCs w:val="16"/>
              </w:rPr>
              <w:t xml:space="preserve">STD-E08</w:t>
            </w:r>
          </w:p>
        </w:tc>
        <w:tc>
          <w:tcPr>
            <w:tcW w:type="dxa" w:w="20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War</w:t>
            </w:r>
          </w:p>
        </w:tc>
        <w:tc>
          <w:tcPr>
            <w:tcW w:type="dxa" w:w="678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r>
              <w:rPr>
                <w:rFonts w:ascii="Arial" w:cs="Arial" w:eastAsia="Arial" w:hAnsi="Arial"/>
                <w:color w:val="1A1A1A"/>
                <w:sz w:val="16"/>
                <w:szCs w:val="16"/>
              </w:rPr>
              <w:t xml:space="preserve">Excludes bodily injury or property damage arising out of war, including undeclared or civil war, warlike action, insurrection, rebellion, or revolution.</w:t>
            </w:r>
          </w:p>
        </w:tc>
      </w:tr>
      <w:tr>
        <w:tc>
          <w:tcPr>
            <w:tcW w:type="dxa" w:w="1300"/>
            <w:tcBorders>
              <w:top w:val="single" w:color="D6DCE4" w:sz="1"/>
              <w:left w:val="single" w:color="D6DCE4" w:sz="1"/>
              <w:bottom w:val="single" w:color="D6DCE4" w:sz="1"/>
              <w:right w:val="single" w:color="D6DCE4" w:sz="1"/>
            </w:tcBorders>
            <w:shd w:fill="2E75B6" w:val="clear"/>
            <w:tcMar>
              <w:top w:type="dxa" w:w="80"/>
              <w:left w:type="dxa" w:w="100"/>
              <w:bottom w:type="dxa" w:w="80"/>
              <w:right w:type="dxa" w:w="80"/>
            </w:tcMar>
            <w:vAlign w:val="top"/>
          </w:tcPr>
          <w:p>
            <w:r>
              <w:rPr>
                <w:rFonts w:ascii="Arial" w:cs="Arial" w:eastAsia="Arial" w:hAnsi="Arial"/>
                <w:b/>
                <w:bCs/>
                <w:color w:val="FFFFFF"/>
                <w:sz w:val="16"/>
                <w:szCs w:val="16"/>
              </w:rPr>
              <w:t xml:space="preserve">STD-E09</w:t>
            </w:r>
          </w:p>
        </w:tc>
        <w:tc>
          <w:tcPr>
            <w:tcW w:type="dxa" w:w="20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Professional Services / Design-Build</w:t>
            </w:r>
          </w:p>
        </w:tc>
        <w:tc>
          <w:tcPr>
            <w:tcW w:type="dxa" w:w="67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r>
              <w:rPr>
                <w:rFonts w:ascii="Arial" w:cs="Arial" w:eastAsia="Arial" w:hAnsi="Arial"/>
                <w:color w:val="1A1A1A"/>
                <w:sz w:val="16"/>
                <w:szCs w:val="16"/>
              </w:rPr>
              <w:t xml:space="preserve">Excludes bodily injury or property damage arising out of the rendering of or failure to render any professional services, including architectural or engineering services, design, specifications, opinions, reports, surveys, or change orders. Applies to design-build and construction management roles.</w:t>
            </w:r>
          </w:p>
        </w:tc>
      </w:tr>
      <w:tr>
        <w:tc>
          <w:tcPr>
            <w:tcW w:type="dxa" w:w="1300"/>
            <w:tcBorders>
              <w:top w:val="single" w:color="D6DCE4" w:sz="1"/>
              <w:left w:val="single" w:color="D6DCE4" w:sz="1"/>
              <w:bottom w:val="single" w:color="D6DCE4" w:sz="1"/>
              <w:right w:val="single" w:color="D6DCE4" w:sz="1"/>
            </w:tcBorders>
            <w:shd w:fill="2E75B6" w:val="clear"/>
            <w:tcMar>
              <w:top w:type="dxa" w:w="80"/>
              <w:left w:type="dxa" w:w="100"/>
              <w:bottom w:type="dxa" w:w="80"/>
              <w:right w:type="dxa" w:w="80"/>
            </w:tcMar>
            <w:vAlign w:val="top"/>
          </w:tcPr>
          <w:p>
            <w:r>
              <w:rPr>
                <w:rFonts w:ascii="Arial" w:cs="Arial" w:eastAsia="Arial" w:hAnsi="Arial"/>
                <w:b/>
                <w:bCs/>
                <w:color w:val="FFFFFF"/>
                <w:sz w:val="16"/>
                <w:szCs w:val="16"/>
              </w:rPr>
              <w:t xml:space="preserve">STD-E10</w:t>
            </w:r>
          </w:p>
        </w:tc>
        <w:tc>
          <w:tcPr>
            <w:tcW w:type="dxa" w:w="20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Fungi / Bacteria / Mold</w:t>
            </w:r>
          </w:p>
        </w:tc>
        <w:tc>
          <w:tcPr>
            <w:tcW w:type="dxa" w:w="678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r>
              <w:rPr>
                <w:rFonts w:ascii="Arial" w:cs="Arial" w:eastAsia="Arial" w:hAnsi="Arial"/>
                <w:color w:val="1A1A1A"/>
                <w:sz w:val="16"/>
                <w:szCs w:val="16"/>
              </w:rPr>
              <w:t xml:space="preserve">Excludes all bodily injury or property damage arising out of the actual or alleged presence, growth, proliferation, or any activity of fungi, mold, mildew, bacteria, or mycotoxins. No sublimit available on Standard Form.</w:t>
            </w:r>
          </w:p>
        </w:tc>
      </w:tr>
      <w:tr>
        <w:tc>
          <w:tcPr>
            <w:tcW w:type="dxa" w:w="1300"/>
            <w:tcBorders>
              <w:top w:val="single" w:color="D6DCE4" w:sz="1"/>
              <w:left w:val="single" w:color="D6DCE4" w:sz="1"/>
              <w:bottom w:val="single" w:color="D6DCE4" w:sz="1"/>
              <w:right w:val="single" w:color="D6DCE4" w:sz="1"/>
            </w:tcBorders>
            <w:shd w:fill="2E75B6" w:val="clear"/>
            <w:tcMar>
              <w:top w:type="dxa" w:w="80"/>
              <w:left w:type="dxa" w:w="100"/>
              <w:bottom w:type="dxa" w:w="80"/>
              <w:right w:type="dxa" w:w="80"/>
            </w:tcMar>
            <w:vAlign w:val="top"/>
          </w:tcPr>
          <w:p>
            <w:r>
              <w:rPr>
                <w:rFonts w:ascii="Arial" w:cs="Arial" w:eastAsia="Arial" w:hAnsi="Arial"/>
                <w:b/>
                <w:bCs/>
                <w:color w:val="FFFFFF"/>
                <w:sz w:val="16"/>
                <w:szCs w:val="16"/>
              </w:rPr>
              <w:t xml:space="preserve">STD-E11</w:t>
            </w:r>
          </w:p>
        </w:tc>
        <w:tc>
          <w:tcPr>
            <w:tcW w:type="dxa" w:w="20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EIFS — Exterior Insulation &amp; Finish Systems</w:t>
            </w:r>
          </w:p>
        </w:tc>
        <w:tc>
          <w:tcPr>
            <w:tcW w:type="dxa" w:w="67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r>
              <w:rPr>
                <w:rFonts w:ascii="Arial" w:cs="Arial" w:eastAsia="Arial" w:hAnsi="Arial"/>
                <w:color w:val="1A1A1A"/>
                <w:sz w:val="16"/>
                <w:szCs w:val="16"/>
              </w:rPr>
              <w:t xml:space="preserve">Excludes all property damage, bodily injury, or personal and advertising injury arising out of the installation, removal, repair, or replacement of EIFS or any EIFS-related component. Applies to work performed directly or through subcontractors.</w:t>
            </w:r>
          </w:p>
        </w:tc>
      </w:tr>
      <w:tr>
        <w:tc>
          <w:tcPr>
            <w:tcW w:type="dxa" w:w="1300"/>
            <w:tcBorders>
              <w:top w:val="single" w:color="D6DCE4" w:sz="1"/>
              <w:left w:val="single" w:color="D6DCE4" w:sz="1"/>
              <w:bottom w:val="single" w:color="D6DCE4" w:sz="1"/>
              <w:right w:val="single" w:color="D6DCE4" w:sz="1"/>
            </w:tcBorders>
            <w:shd w:fill="2E75B6" w:val="clear"/>
            <w:tcMar>
              <w:top w:type="dxa" w:w="80"/>
              <w:left w:type="dxa" w:w="100"/>
              <w:bottom w:type="dxa" w:w="80"/>
              <w:right w:type="dxa" w:w="80"/>
            </w:tcMar>
            <w:vAlign w:val="top"/>
          </w:tcPr>
          <w:p>
            <w:r>
              <w:rPr>
                <w:rFonts w:ascii="Arial" w:cs="Arial" w:eastAsia="Arial" w:hAnsi="Arial"/>
                <w:b/>
                <w:bCs/>
                <w:color w:val="FFFFFF"/>
                <w:sz w:val="16"/>
                <w:szCs w:val="16"/>
              </w:rPr>
              <w:t xml:space="preserve">STD-E12</w:t>
            </w:r>
          </w:p>
        </w:tc>
        <w:tc>
          <w:tcPr>
            <w:tcW w:type="dxa" w:w="20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Subsidence / Earth Movement</w:t>
            </w:r>
          </w:p>
        </w:tc>
        <w:tc>
          <w:tcPr>
            <w:tcW w:type="dxa" w:w="678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r>
              <w:rPr>
                <w:rFonts w:ascii="Arial" w:cs="Arial" w:eastAsia="Arial" w:hAnsi="Arial"/>
                <w:color w:val="1A1A1A"/>
                <w:sz w:val="16"/>
                <w:szCs w:val="16"/>
              </w:rPr>
              <w:t xml:space="preserve">Excludes property damage or bodily injury caused by land settling, sinking, shifting, or earth movement, including but not limited to earthquake, landslide, mudslide, or subsidence. No write-back available on Standard Form.</w:t>
            </w:r>
          </w:p>
        </w:tc>
      </w:tr>
      <w:tr>
        <w:tc>
          <w:tcPr>
            <w:tcW w:type="dxa" w:w="1300"/>
            <w:tcBorders>
              <w:top w:val="single" w:color="D6DCE4" w:sz="1"/>
              <w:left w:val="single" w:color="D6DCE4" w:sz="1"/>
              <w:bottom w:val="single" w:color="D6DCE4" w:sz="1"/>
              <w:right w:val="single" w:color="D6DCE4" w:sz="1"/>
            </w:tcBorders>
            <w:shd w:fill="2E75B6" w:val="clear"/>
            <w:tcMar>
              <w:top w:type="dxa" w:w="80"/>
              <w:left w:type="dxa" w:w="100"/>
              <w:bottom w:type="dxa" w:w="80"/>
              <w:right w:type="dxa" w:w="80"/>
            </w:tcMar>
            <w:vAlign w:val="top"/>
          </w:tcPr>
          <w:p>
            <w:r>
              <w:rPr>
                <w:rFonts w:ascii="Arial" w:cs="Arial" w:eastAsia="Arial" w:hAnsi="Arial"/>
                <w:b/>
                <w:bCs/>
                <w:color w:val="FFFFFF"/>
                <w:sz w:val="16"/>
                <w:szCs w:val="16"/>
              </w:rPr>
              <w:t xml:space="preserve">STD-E13</w:t>
            </w:r>
          </w:p>
        </w:tc>
        <w:tc>
          <w:tcPr>
            <w:tcW w:type="dxa" w:w="20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Damage to Your Work (l exclusion)</w:t>
            </w:r>
          </w:p>
        </w:tc>
        <w:tc>
          <w:tcPr>
            <w:tcW w:type="dxa" w:w="67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r>
              <w:rPr>
                <w:rFonts w:ascii="Arial" w:cs="Arial" w:eastAsia="Arial" w:hAnsi="Arial"/>
                <w:color w:val="1A1A1A"/>
                <w:sz w:val="16"/>
                <w:szCs w:val="16"/>
              </w:rPr>
              <w:t xml:space="preserve">Excludes property damage to 'your work' arising out of it or any part of it. Subcontractor exception applies: exclusion does not apply to damage to your work if the damaged work or the work out of which the damage arises was performed on your behalf by a subcontractor. Standard ISO language without broadening.</w:t>
            </w:r>
          </w:p>
        </w:tc>
      </w:tr>
      <w:tr>
        <w:tc>
          <w:tcPr>
            <w:tcW w:type="dxa" w:w="1300"/>
            <w:tcBorders>
              <w:top w:val="single" w:color="D6DCE4" w:sz="1"/>
              <w:left w:val="single" w:color="D6DCE4" w:sz="1"/>
              <w:bottom w:val="single" w:color="D6DCE4" w:sz="1"/>
              <w:right w:val="single" w:color="D6DCE4" w:sz="1"/>
            </w:tcBorders>
            <w:shd w:fill="2E75B6" w:val="clear"/>
            <w:tcMar>
              <w:top w:type="dxa" w:w="80"/>
              <w:left w:type="dxa" w:w="100"/>
              <w:bottom w:type="dxa" w:w="80"/>
              <w:right w:type="dxa" w:w="80"/>
            </w:tcMar>
            <w:vAlign w:val="top"/>
          </w:tcPr>
          <w:p>
            <w:r>
              <w:rPr>
                <w:rFonts w:ascii="Arial" w:cs="Arial" w:eastAsia="Arial" w:hAnsi="Arial"/>
                <w:b/>
                <w:bCs/>
                <w:color w:val="FFFFFF"/>
                <w:sz w:val="16"/>
                <w:szCs w:val="16"/>
              </w:rPr>
              <w:t xml:space="preserve">STD-E14</w:t>
            </w:r>
          </w:p>
        </w:tc>
        <w:tc>
          <w:tcPr>
            <w:tcW w:type="dxa" w:w="20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Damage to Your Product (k exclusion)</w:t>
            </w:r>
          </w:p>
        </w:tc>
        <w:tc>
          <w:tcPr>
            <w:tcW w:type="dxa" w:w="678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r>
              <w:rPr>
                <w:rFonts w:ascii="Arial" w:cs="Arial" w:eastAsia="Arial" w:hAnsi="Arial"/>
                <w:color w:val="1A1A1A"/>
                <w:sz w:val="16"/>
                <w:szCs w:val="16"/>
              </w:rPr>
              <w:t xml:space="preserve">Excludes property damage to 'your product' arising out of it or any part of it. Standard ISO language.</w:t>
            </w:r>
          </w:p>
        </w:tc>
      </w:tr>
      <w:tr>
        <w:tc>
          <w:tcPr>
            <w:tcW w:type="dxa" w:w="1300"/>
            <w:tcBorders>
              <w:top w:val="single" w:color="D6DCE4" w:sz="1"/>
              <w:left w:val="single" w:color="D6DCE4" w:sz="1"/>
              <w:bottom w:val="single" w:color="D6DCE4" w:sz="1"/>
              <w:right w:val="single" w:color="D6DCE4" w:sz="1"/>
            </w:tcBorders>
            <w:shd w:fill="2E75B6" w:val="clear"/>
            <w:tcMar>
              <w:top w:type="dxa" w:w="80"/>
              <w:left w:type="dxa" w:w="100"/>
              <w:bottom w:type="dxa" w:w="80"/>
              <w:right w:type="dxa" w:w="80"/>
            </w:tcMar>
            <w:vAlign w:val="top"/>
          </w:tcPr>
          <w:p>
            <w:r>
              <w:rPr>
                <w:rFonts w:ascii="Arial" w:cs="Arial" w:eastAsia="Arial" w:hAnsi="Arial"/>
                <w:b/>
                <w:bCs/>
                <w:color w:val="FFFFFF"/>
                <w:sz w:val="16"/>
                <w:szCs w:val="16"/>
              </w:rPr>
              <w:t xml:space="preserve">STD-E15</w:t>
            </w:r>
          </w:p>
        </w:tc>
        <w:tc>
          <w:tcPr>
            <w:tcW w:type="dxa" w:w="20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Impaired Property (m exclusion)</w:t>
            </w:r>
          </w:p>
        </w:tc>
        <w:tc>
          <w:tcPr>
            <w:tcW w:type="dxa" w:w="67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r>
              <w:rPr>
                <w:rFonts w:ascii="Arial" w:cs="Arial" w:eastAsia="Arial" w:hAnsi="Arial"/>
                <w:color w:val="1A1A1A"/>
                <w:sz w:val="16"/>
                <w:szCs w:val="16"/>
              </w:rPr>
              <w:t xml:space="preserve">Excludes property damage to 'impaired property' or property that has not been physically injured, arising out of a defect, deficiency, inadequacy, or dangerous condition in 'your product' or 'your work.' Standard ISO language.</w:t>
            </w:r>
          </w:p>
        </w:tc>
      </w:tr>
      <w:tr>
        <w:tc>
          <w:tcPr>
            <w:tcW w:type="dxa" w:w="1300"/>
            <w:tcBorders>
              <w:top w:val="single" w:color="D6DCE4" w:sz="1"/>
              <w:left w:val="single" w:color="D6DCE4" w:sz="1"/>
              <w:bottom w:val="single" w:color="D6DCE4" w:sz="1"/>
              <w:right w:val="single" w:color="D6DCE4" w:sz="1"/>
            </w:tcBorders>
            <w:shd w:fill="2E75B6" w:val="clear"/>
            <w:tcMar>
              <w:top w:type="dxa" w:w="80"/>
              <w:left w:type="dxa" w:w="100"/>
              <w:bottom w:type="dxa" w:w="80"/>
              <w:right w:type="dxa" w:w="80"/>
            </w:tcMar>
            <w:vAlign w:val="top"/>
          </w:tcPr>
          <w:p>
            <w:r>
              <w:rPr>
                <w:rFonts w:ascii="Arial" w:cs="Arial" w:eastAsia="Arial" w:hAnsi="Arial"/>
                <w:b/>
                <w:bCs/>
                <w:color w:val="FFFFFF"/>
                <w:sz w:val="16"/>
                <w:szCs w:val="16"/>
              </w:rPr>
              <w:t xml:space="preserve">STD-E16</w:t>
            </w:r>
          </w:p>
        </w:tc>
        <w:tc>
          <w:tcPr>
            <w:tcW w:type="dxa" w:w="20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Recall of Products (n exclusion)</w:t>
            </w:r>
          </w:p>
        </w:tc>
        <w:tc>
          <w:tcPr>
            <w:tcW w:type="dxa" w:w="678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r>
              <w:rPr>
                <w:rFonts w:ascii="Arial" w:cs="Arial" w:eastAsia="Arial" w:hAnsi="Arial"/>
                <w:color w:val="1A1A1A"/>
                <w:sz w:val="16"/>
                <w:szCs w:val="16"/>
              </w:rPr>
              <w:t xml:space="preserve">Excludes damages claimed for any loss, cost, or expense incurred by you or others for the loss of use, withdrawal, recall, inspection, repair, replacement, adjustment, removal, or disposal of 'your product' or 'your work.'</w:t>
            </w:r>
          </w:p>
        </w:tc>
      </w:tr>
      <w:tr>
        <w:tc>
          <w:tcPr>
            <w:tcW w:type="dxa" w:w="1300"/>
            <w:tcBorders>
              <w:top w:val="single" w:color="D6DCE4" w:sz="1"/>
              <w:left w:val="single" w:color="D6DCE4" w:sz="1"/>
              <w:bottom w:val="single" w:color="D6DCE4" w:sz="1"/>
              <w:right w:val="single" w:color="D6DCE4" w:sz="1"/>
            </w:tcBorders>
            <w:shd w:fill="2E75B6" w:val="clear"/>
            <w:tcMar>
              <w:top w:type="dxa" w:w="80"/>
              <w:left w:type="dxa" w:w="100"/>
              <w:bottom w:type="dxa" w:w="80"/>
              <w:right w:type="dxa" w:w="80"/>
            </w:tcMar>
            <w:vAlign w:val="top"/>
          </w:tcPr>
          <w:p>
            <w:r>
              <w:rPr>
                <w:rFonts w:ascii="Arial" w:cs="Arial" w:eastAsia="Arial" w:hAnsi="Arial"/>
                <w:b/>
                <w:bCs/>
                <w:color w:val="FFFFFF"/>
                <w:sz w:val="16"/>
                <w:szCs w:val="16"/>
              </w:rPr>
              <w:t xml:space="preserve">STD-E17</w:t>
            </w:r>
          </w:p>
        </w:tc>
        <w:tc>
          <w:tcPr>
            <w:tcW w:type="dxa" w:w="20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Silica / Crystalline Silica</w:t>
            </w:r>
          </w:p>
        </w:tc>
        <w:tc>
          <w:tcPr>
            <w:tcW w:type="dxa" w:w="67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r>
              <w:rPr>
                <w:rFonts w:ascii="Arial" w:cs="Arial" w:eastAsia="Arial" w:hAnsi="Arial"/>
                <w:color w:val="1A1A1A"/>
                <w:sz w:val="16"/>
                <w:szCs w:val="16"/>
              </w:rPr>
              <w:t xml:space="preserve">Excludes all bodily injury, property damage, or personal and advertising injury arising out of silica or crystalline silica in any form. Includes claims related to silicosis or any silica-related condition. Consistent across Standard, Broad, and Restricted forms.</w:t>
            </w:r>
          </w:p>
        </w:tc>
      </w:tr>
      <w:tr>
        <w:tc>
          <w:tcPr>
            <w:tcW w:type="dxa" w:w="1300"/>
            <w:tcBorders>
              <w:top w:val="single" w:color="D6DCE4" w:sz="1"/>
              <w:left w:val="single" w:color="D6DCE4" w:sz="1"/>
              <w:bottom w:val="single" w:color="D6DCE4" w:sz="1"/>
              <w:right w:val="single" w:color="D6DCE4" w:sz="1"/>
            </w:tcBorders>
            <w:shd w:fill="2E75B6" w:val="clear"/>
            <w:tcMar>
              <w:top w:type="dxa" w:w="80"/>
              <w:left w:type="dxa" w:w="100"/>
              <w:bottom w:type="dxa" w:w="80"/>
              <w:right w:type="dxa" w:w="80"/>
            </w:tcMar>
            <w:vAlign w:val="top"/>
          </w:tcPr>
          <w:p>
            <w:r>
              <w:rPr>
                <w:rFonts w:ascii="Arial" w:cs="Arial" w:eastAsia="Arial" w:hAnsi="Arial"/>
                <w:b/>
                <w:bCs/>
                <w:color w:val="FFFFFF"/>
                <w:sz w:val="16"/>
                <w:szCs w:val="16"/>
              </w:rPr>
              <w:t xml:space="preserve">STD-E18</w:t>
            </w:r>
          </w:p>
        </w:tc>
        <w:tc>
          <w:tcPr>
            <w:tcW w:type="dxa" w:w="20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Asbestos / Lead / Hazardous Materials</w:t>
            </w:r>
          </w:p>
        </w:tc>
        <w:tc>
          <w:tcPr>
            <w:tcW w:type="dxa" w:w="678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r>
              <w:rPr>
                <w:rFonts w:ascii="Arial" w:cs="Arial" w:eastAsia="Arial" w:hAnsi="Arial"/>
                <w:color w:val="1A1A1A"/>
                <w:sz w:val="16"/>
                <w:szCs w:val="16"/>
              </w:rPr>
              <w:t xml:space="preserve">Excludes all injury or damage arising out of asbestos, lead, or any designated hazardous material as defined by applicable federal or state law. Standard language consistent across all forms.</w:t>
            </w:r>
          </w:p>
        </w:tc>
      </w:tr>
      <w:tr>
        <w:tc>
          <w:tcPr>
            <w:tcW w:type="dxa" w:w="1300"/>
            <w:tcBorders>
              <w:top w:val="single" w:color="D6DCE4" w:sz="1"/>
              <w:left w:val="single" w:color="D6DCE4" w:sz="1"/>
              <w:bottom w:val="single" w:color="D6DCE4" w:sz="1"/>
              <w:right w:val="single" w:color="D6DCE4" w:sz="1"/>
            </w:tcBorders>
            <w:shd w:fill="2E75B6" w:val="clear"/>
            <w:tcMar>
              <w:top w:type="dxa" w:w="80"/>
              <w:left w:type="dxa" w:w="100"/>
              <w:bottom w:type="dxa" w:w="80"/>
              <w:right w:type="dxa" w:w="80"/>
            </w:tcMar>
            <w:vAlign w:val="top"/>
          </w:tcPr>
          <w:p>
            <w:r>
              <w:rPr>
                <w:rFonts w:ascii="Arial" w:cs="Arial" w:eastAsia="Arial" w:hAnsi="Arial"/>
                <w:b/>
                <w:bCs/>
                <w:color w:val="FFFFFF"/>
                <w:sz w:val="16"/>
                <w:szCs w:val="16"/>
              </w:rPr>
              <w:t xml:space="preserve">STD-E19</w:t>
            </w:r>
          </w:p>
        </w:tc>
        <w:tc>
          <w:tcPr>
            <w:tcW w:type="dxa" w:w="20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Electronic Data</w:t>
            </w:r>
          </w:p>
        </w:tc>
        <w:tc>
          <w:tcPr>
            <w:tcW w:type="dxa" w:w="67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r>
              <w:rPr>
                <w:rFonts w:ascii="Arial" w:cs="Arial" w:eastAsia="Arial" w:hAnsi="Arial"/>
                <w:color w:val="1A1A1A"/>
                <w:sz w:val="16"/>
                <w:szCs w:val="16"/>
              </w:rPr>
              <w:t xml:space="preserve">Excludes damages arising out of the loss of, loss of use of, damage to, corruption of, inability to access, or inability to manipulate electronic data. Standard ISO language.</w:t>
            </w:r>
          </w:p>
        </w:tc>
      </w:tr>
      <w:tr>
        <w:tc>
          <w:tcPr>
            <w:tcW w:type="dxa" w:w="1300"/>
            <w:tcBorders>
              <w:top w:val="single" w:color="D6DCE4" w:sz="1"/>
              <w:left w:val="single" w:color="D6DCE4" w:sz="1"/>
              <w:bottom w:val="single" w:color="D6DCE4" w:sz="1"/>
              <w:right w:val="single" w:color="D6DCE4" w:sz="1"/>
            </w:tcBorders>
            <w:shd w:fill="2E75B6" w:val="clear"/>
            <w:tcMar>
              <w:top w:type="dxa" w:w="80"/>
              <w:left w:type="dxa" w:w="100"/>
              <w:bottom w:type="dxa" w:w="80"/>
              <w:right w:type="dxa" w:w="80"/>
            </w:tcMar>
            <w:vAlign w:val="top"/>
          </w:tcPr>
          <w:p>
            <w:r>
              <w:rPr>
                <w:rFonts w:ascii="Arial" w:cs="Arial" w:eastAsia="Arial" w:hAnsi="Arial"/>
                <w:b/>
                <w:bCs/>
                <w:color w:val="FFFFFF"/>
                <w:sz w:val="16"/>
                <w:szCs w:val="16"/>
              </w:rPr>
              <w:t xml:space="preserve">STD-E20</w:t>
            </w:r>
          </w:p>
        </w:tc>
        <w:tc>
          <w:tcPr>
            <w:tcW w:type="dxa" w:w="20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Recording and Distribution of Material or Information</w:t>
            </w:r>
          </w:p>
        </w:tc>
        <w:tc>
          <w:tcPr>
            <w:tcW w:type="dxa" w:w="678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r>
              <w:rPr>
                <w:rFonts w:ascii="Arial" w:cs="Arial" w:eastAsia="Arial" w:hAnsi="Arial"/>
                <w:color w:val="1A1A1A"/>
                <w:sz w:val="16"/>
                <w:szCs w:val="16"/>
              </w:rPr>
              <w:t xml:space="preserve">Excludes personal and advertising injury arising out of any violation of the Telephone Consumer Protection Act, CAN-SPAM Act, or any similar statutes. Standard ISO language.</w:t>
            </w:r>
          </w:p>
        </w:tc>
      </w:tr>
    </w:tbl>
    <w:p>
      <w:pPr>
        <w:spacing w:after="0" w:before="0"/>
      </w:pPr>
      <w:r>
        <w:t xml:space="preserve"/>
      </w:r>
    </w:p>
    <w:p>
      <w:pPr>
        <w:spacing w:after="80" w:before="0"/>
      </w:pPr>
      <w:r>
        <w:rPr>
          <w:rFonts w:ascii="Arial" w:cs="Arial" w:eastAsia="Arial" w:hAnsi="Arial"/>
          <w:i/>
          <w:iCs/>
          <w:color w:val="1A1A1A"/>
          <w:sz w:val="20"/>
          <w:szCs w:val="20"/>
        </w:rPr>
        <w:t xml:space="preserve">Additional Insured Endorsements (Standard Form): Scheduled AI only. Available endorsements: CG 20 10 (Ongoing Operations), CG 20 37 (Completed Operations). Broad Form AI (per-written-contract trigger) is NOT available on MSI-CGL-STD-01.</w:t>
      </w:r>
    </w:p>
    <w:p>
      <w:pPr>
        <w:spacing w:after="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06064" w:val="clear"/>
            <w:tcMar>
              <w:top w:type="dxa" w:w="160"/>
              <w:left w:type="dxa" w:w="200"/>
              <w:bottom w:type="dxa" w:w="160"/>
              <w:right w:type="dxa" w:w="200"/>
            </w:tcMar>
          </w:tcPr>
          <w:p>
            <w:pPr>
              <w:spacing w:after="40"/>
            </w:pPr>
            <w:r>
              <w:rPr>
                <w:rFonts w:ascii="Arial" w:cs="Arial" w:eastAsia="Arial" w:hAnsi="Arial"/>
                <w:b/>
                <w:bCs/>
                <w:color w:val="FFFFFF"/>
                <w:sz w:val="20"/>
                <w:szCs w:val="20"/>
              </w:rPr>
              <w:t xml:space="preserve">MSI-CGL-BRD-01 | Section 3</w:t>
            </w:r>
          </w:p>
          <w:p>
            <w:pPr>
              <w:spacing w:after="0"/>
            </w:pPr>
            <w:r>
              <w:rPr>
                <w:rFonts w:ascii="Arial" w:cs="Arial" w:eastAsia="Arial" w:hAnsi="Arial"/>
                <w:b/>
                <w:bCs/>
                <w:color w:val="FFFFFF"/>
                <w:sz w:val="32"/>
                <w:szCs w:val="32"/>
              </w:rPr>
              <w:t xml:space="preserve">Broad Construction Form</w:t>
            </w:r>
          </w:p>
        </w:tc>
      </w:tr>
    </w:tbl>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6064" w:sz="8"/>
              <w:left w:val="single" w:color="006064" w:sz="8"/>
              <w:bottom w:val="single" w:color="006064" w:sz="8"/>
              <w:right w:val="single" w:color="006064" w:sz="8"/>
            </w:tcBorders>
            <w:shd w:fill="E0F7FA" w:val="clear"/>
            <w:tcMar>
              <w:top w:type="dxa" w:w="120"/>
              <w:left w:type="dxa" w:w="180"/>
              <w:bottom w:type="dxa" w:w="120"/>
              <w:right w:type="dxa" w:w="180"/>
            </w:tcMar>
          </w:tcPr>
          <w:p>
            <w:pPr>
              <w:spacing w:after="60" w:before="0"/>
            </w:pPr>
            <w:r>
              <w:rPr>
                <w:rFonts w:ascii="Arial" w:cs="Arial" w:eastAsia="Arial" w:hAnsi="Arial"/>
                <w:b/>
                <w:bCs/>
                <w:color w:val="006064"/>
                <w:sz w:val="20"/>
                <w:szCs w:val="20"/>
              </w:rPr>
              <w:t xml:space="preserve">GROWTH PROTOCOL PLATFORM NOTE — Broad Form (MSI-CGL-BRD-01)</w:t>
            </w:r>
          </w:p>
          <w:p>
            <w:pPr>
              <w:spacing w:after="60" w:before="0"/>
            </w:pPr>
            <w:r>
              <w:rPr>
                <w:rFonts w:ascii="Arial" w:cs="Arial" w:eastAsia="Arial" w:hAnsi="Arial"/>
                <w:b w:val="false"/>
                <w:bCs w:val="false"/>
                <w:color w:val="006064"/>
                <w:sz w:val="18"/>
                <w:szCs w:val="18"/>
              </w:rPr>
              <w:t xml:space="preserve">GP cross-domain analysis has identified that Pacific Rim Specialty (BRK-016) placed the following 2021 UY policies on this form: MSI-2021-04821 (Pacific Crest Builders), MSI-2021-04103 (Golden State Builders), MSI-2021-04224 (Bay Builders Group). All three generated large CA residential CD claims. The broader mold sublimit ($100K), extended completed ops tail (10 yr), and Broad Form AI trigger on this form are material contributors to claims severity and coverage complexity. GP Underwriting DP-U9: portfolio concentration on Broad Form for CA residential GC from single broker warrants review.</w:t>
            </w:r>
          </w:p>
        </w:tc>
      </w:tr>
    </w:tbl>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6DCE4" w:sz="1"/>
              <w:left w:val="single" w:color="D6DCE4" w:sz="1"/>
              <w:bottom w:val="single" w:color="D6DCE4" w:sz="1"/>
              <w:right w:val="single" w:color="D6DCE4" w:sz="1"/>
            </w:tcBorders>
            <w:shd w:fill="E0F7FA" w:val="clear"/>
            <w:tcMar>
              <w:top w:type="dxa" w:w="100"/>
              <w:left w:type="dxa" w:w="120"/>
              <w:bottom w:type="dxa" w:w="100"/>
              <w:right w:type="dxa" w:w="80"/>
            </w:tcMar>
          </w:tcPr>
          <w:p>
            <w:pPr>
              <w:spacing w:after="60"/>
            </w:pPr>
            <w:r>
              <w:rPr>
                <w:rFonts w:ascii="Arial" w:cs="Arial" w:eastAsia="Arial" w:hAnsi="Arial"/>
                <w:b/>
                <w:bCs/>
                <w:color w:val="006064"/>
                <w:sz w:val="18"/>
                <w:szCs w:val="18"/>
              </w:rPr>
              <w:t xml:space="preserve">Eligible Classes</w:t>
            </w:r>
          </w:p>
          <w:p>
            <w:r>
              <w:rPr>
                <w:rFonts w:ascii="Arial" w:cs="Arial" w:eastAsia="Arial" w:hAnsi="Arial"/>
                <w:color w:val="1A1A1A"/>
                <w:sz w:val="16"/>
                <w:szCs w:val="16"/>
              </w:rPr>
              <w:t xml:space="preserve">GC (commercial and residential) with minimum 5-year loss-free history. Gross revenue &gt;$10M. Senior UW approval required. Not available for EIFS, roofing (residential), or waterproofing-only risks.</w:t>
            </w:r>
          </w:p>
        </w:tc>
        <w:tc>
          <w:tcPr>
            <w:tcW w:type="dxa" w:w="3360"/>
            <w:tcBorders>
              <w:top w:val="single" w:color="D6DCE4" w:sz="1"/>
              <w:left w:val="single" w:color="D6DCE4" w:sz="1"/>
              <w:bottom w:val="single" w:color="D6DCE4" w:sz="1"/>
              <w:right w:val="single" w:color="D6DCE4" w:sz="1"/>
            </w:tcBorders>
            <w:shd w:fill="E0F7FA" w:val="clear"/>
            <w:tcMar>
              <w:top w:type="dxa" w:w="100"/>
              <w:left w:type="dxa" w:w="120"/>
              <w:bottom w:type="dxa" w:w="100"/>
              <w:right w:type="dxa" w:w="80"/>
            </w:tcMar>
          </w:tcPr>
          <w:p>
            <w:pPr>
              <w:spacing w:after="60"/>
            </w:pPr>
            <w:r>
              <w:rPr>
                <w:rFonts w:ascii="Arial" w:cs="Arial" w:eastAsia="Arial" w:hAnsi="Arial"/>
                <w:b/>
                <w:bCs/>
                <w:color w:val="006064"/>
                <w:sz w:val="18"/>
                <w:szCs w:val="18"/>
              </w:rPr>
              <w:t xml:space="preserve">Typical Limits</w:t>
            </w:r>
          </w:p>
          <w:p>
            <w:r>
              <w:rPr>
                <w:rFonts w:ascii="Arial" w:cs="Arial" w:eastAsia="Arial" w:hAnsi="Arial"/>
                <w:color w:val="1A1A1A"/>
                <w:sz w:val="16"/>
                <w:szCs w:val="16"/>
              </w:rPr>
              <w:t xml:space="preserve">Each Occurrence: $2M. General Aggregate: $4M. Products/Comp Ops: $4M. Fungi/Mold Sublimit: $100,000 per occurrence / $200,000 aggregate.</w:t>
            </w:r>
          </w:p>
        </w:tc>
        <w:tc>
          <w:tcPr>
            <w:tcW w:type="dxa" w:w="3360"/>
            <w:tcBorders>
              <w:top w:val="single" w:color="D6DCE4" w:sz="1"/>
              <w:left w:val="single" w:color="D6DCE4" w:sz="1"/>
              <w:bottom w:val="single" w:color="D6DCE4" w:sz="1"/>
              <w:right w:val="single" w:color="D6DCE4" w:sz="1"/>
            </w:tcBorders>
            <w:shd w:fill="E0F7FA" w:val="clear"/>
            <w:tcMar>
              <w:top w:type="dxa" w:w="100"/>
              <w:left w:type="dxa" w:w="120"/>
              <w:bottom w:type="dxa" w:w="100"/>
              <w:right w:type="dxa" w:w="120"/>
            </w:tcMar>
          </w:tcPr>
          <w:p>
            <w:pPr>
              <w:spacing w:after="60"/>
            </w:pPr>
            <w:r>
              <w:rPr>
                <w:rFonts w:ascii="Arial" w:cs="Arial" w:eastAsia="Arial" w:hAnsi="Arial"/>
                <w:b/>
                <w:bCs/>
                <w:color w:val="006064"/>
                <w:sz w:val="18"/>
                <w:szCs w:val="18"/>
              </w:rPr>
              <w:t xml:space="preserve">UW Authority</w:t>
            </w:r>
          </w:p>
          <w:p>
            <w:r>
              <w:rPr>
                <w:rFonts w:ascii="Arial" w:cs="Arial" w:eastAsia="Arial" w:hAnsi="Arial"/>
                <w:color w:val="1A1A1A"/>
                <w:sz w:val="16"/>
                <w:szCs w:val="16"/>
              </w:rPr>
              <w:t xml:space="preserve">Senior UW minimum (cannot be bound at standard UW level). CA residential GC on Broad Form requires UW Manager approval. Portfolio concentration review required if &gt;3 risks from same broker on Broad Form.</w:t>
            </w:r>
          </w:p>
        </w:tc>
      </w:tr>
    </w:tbl>
    <w:p>
      <w:pPr>
        <w:spacing w:after="0" w:before="0"/>
      </w:pPr>
      <w:r>
        <w:t xml:space="preserve"/>
      </w:r>
    </w:p>
    <w:p>
      <w:pPr>
        <w:spacing w:after="120" w:before="180"/>
      </w:pPr>
      <w:r>
        <w:rPr>
          <w:rFonts w:ascii="Arial" w:cs="Arial" w:eastAsia="Arial" w:hAnsi="Arial"/>
          <w:b/>
          <w:bCs/>
          <w:color w:val="1B3A5C"/>
          <w:sz w:val="26"/>
          <w:szCs w:val="26"/>
        </w:rPr>
        <w:t xml:space="preserve">Exclusion Schedule — MSI-CGL-BRD-01</w:t>
      </w:r>
    </w:p>
    <w:p>
      <w:pPr>
        <w:pBdr>
          <w:bottom w:val="single" w:color="006064" w:sz="6" w:space="1"/>
        </w:pBdr>
        <w:spacing w:after="100" w:before="100"/>
      </w:pPr>
    </w:p>
    <w:p>
      <w:pPr>
        <w:spacing w:after="80" w:before="0"/>
      </w:pPr>
      <w:r>
        <w:rPr>
          <w:rFonts w:ascii="Arial" w:cs="Arial" w:eastAsia="Arial" w:hAnsi="Arial"/>
          <w:i/>
          <w:iCs/>
          <w:color w:val="1A1A1A"/>
          <w:sz w:val="20"/>
          <w:szCs w:val="20"/>
        </w:rPr>
        <w:t xml:space="preserve">Exclusions marked [BROADENED vs. STD-01] reflect a write-back, removal, or narrowing of a restriction that appears on the Standard Form. All ISO standard exclusions not specifically modified below remain in effect.</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6780"/>
      </w:tblGrid>
      <w:tr>
        <w:tc>
          <w:tcPr>
            <w:tcW w:type="dxa" w:w="1300"/>
            <w:tcBorders>
              <w:top w:val="single" w:color="D6DCE4" w:sz="1"/>
              <w:left w:val="single" w:color="D6DCE4" w:sz="1"/>
              <w:bottom w:val="single" w:color="D6DCE4" w:sz="1"/>
              <w:right w:val="single" w:color="D6DCE4" w:sz="1"/>
            </w:tcBorders>
            <w:shd w:fill="006064" w:val="clear"/>
            <w:tcMar>
              <w:top w:type="dxa" w:w="80"/>
              <w:left w:type="dxa" w:w="100"/>
              <w:bottom w:type="dxa" w:w="80"/>
              <w:right w:type="dxa" w:w="80"/>
            </w:tcMar>
            <w:vAlign w:val="top"/>
          </w:tcPr>
          <w:p>
            <w:r>
              <w:rPr>
                <w:rFonts w:ascii="Arial" w:cs="Arial" w:eastAsia="Arial" w:hAnsi="Arial"/>
                <w:b/>
                <w:bCs/>
                <w:color w:val="FFFFFF"/>
                <w:sz w:val="16"/>
                <w:szCs w:val="16"/>
              </w:rPr>
              <w:t xml:space="preserve">BRD-E01</w:t>
            </w:r>
          </w:p>
        </w:tc>
        <w:tc>
          <w:tcPr>
            <w:tcW w:type="dxa" w:w="20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Expected or Intended Injury</w:t>
            </w:r>
          </w:p>
        </w:tc>
        <w:tc>
          <w:tcPr>
            <w:tcW w:type="dxa" w:w="67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r>
              <w:rPr>
                <w:rFonts w:ascii="Arial" w:cs="Arial" w:eastAsia="Arial" w:hAnsi="Arial"/>
                <w:color w:val="1A1A1A"/>
                <w:sz w:val="16"/>
                <w:szCs w:val="16"/>
              </w:rPr>
              <w:t xml:space="preserve">Standard ISO language applies without modification. Consistent across all three forms.</w:t>
            </w:r>
          </w:p>
        </w:tc>
      </w:tr>
      <w:tr>
        <w:tc>
          <w:tcPr>
            <w:tcW w:type="dxa" w:w="1300"/>
            <w:tcBorders>
              <w:top w:val="single" w:color="D6DCE4" w:sz="1"/>
              <w:left w:val="single" w:color="D6DCE4" w:sz="1"/>
              <w:bottom w:val="single" w:color="D6DCE4" w:sz="1"/>
              <w:right w:val="single" w:color="D6DCE4" w:sz="1"/>
            </w:tcBorders>
            <w:shd w:fill="006064" w:val="clear"/>
            <w:tcMar>
              <w:top w:type="dxa" w:w="80"/>
              <w:left w:type="dxa" w:w="100"/>
              <w:bottom w:type="dxa" w:w="80"/>
              <w:right w:type="dxa" w:w="80"/>
            </w:tcMar>
            <w:vAlign w:val="top"/>
          </w:tcPr>
          <w:p>
            <w:r>
              <w:rPr>
                <w:rFonts w:ascii="Arial" w:cs="Arial" w:eastAsia="Arial" w:hAnsi="Arial"/>
                <w:b/>
                <w:bCs/>
                <w:color w:val="FFFFFF"/>
                <w:sz w:val="16"/>
                <w:szCs w:val="16"/>
              </w:rPr>
              <w:t xml:space="preserve">BRD-E02</w:t>
            </w:r>
          </w:p>
        </w:tc>
        <w:tc>
          <w:tcPr>
            <w:tcW w:type="dxa" w:w="20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Contractual Liability [BROADENED vs. STD-01]</w:t>
            </w:r>
          </w:p>
        </w:tc>
        <w:tc>
          <w:tcPr>
            <w:tcW w:type="dxa" w:w="678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r>
              <w:rPr>
                <w:rFonts w:ascii="Arial" w:cs="Arial" w:eastAsia="Arial" w:hAnsi="Arial"/>
                <w:color w:val="1A1A1A"/>
                <w:sz w:val="16"/>
                <w:szCs w:val="16"/>
              </w:rPr>
              <w:t xml:space="preserve">ISO insured contract definition expanded to include design-assist agreements where the insured provides performance specifications but does not prepare engineered drawings. Hold harmless and indemnity provisions in standard GC-subcontract templates approved by MSI are automatically deemed insured contracts.</w:t>
            </w:r>
          </w:p>
        </w:tc>
      </w:tr>
      <w:tr>
        <w:tc>
          <w:tcPr>
            <w:tcW w:type="dxa" w:w="1300"/>
            <w:tcBorders>
              <w:top w:val="single" w:color="D6DCE4" w:sz="1"/>
              <w:left w:val="single" w:color="D6DCE4" w:sz="1"/>
              <w:bottom w:val="single" w:color="D6DCE4" w:sz="1"/>
              <w:right w:val="single" w:color="D6DCE4" w:sz="1"/>
            </w:tcBorders>
            <w:shd w:fill="006064" w:val="clear"/>
            <w:tcMar>
              <w:top w:type="dxa" w:w="80"/>
              <w:left w:type="dxa" w:w="100"/>
              <w:bottom w:type="dxa" w:w="80"/>
              <w:right w:type="dxa" w:w="80"/>
            </w:tcMar>
            <w:vAlign w:val="top"/>
          </w:tcPr>
          <w:p>
            <w:r>
              <w:rPr>
                <w:rFonts w:ascii="Arial" w:cs="Arial" w:eastAsia="Arial" w:hAnsi="Arial"/>
                <w:b/>
                <w:bCs/>
                <w:color w:val="FFFFFF"/>
                <w:sz w:val="16"/>
                <w:szCs w:val="16"/>
              </w:rPr>
              <w:t xml:space="preserve">BRD-E03</w:t>
            </w:r>
          </w:p>
        </w:tc>
        <w:tc>
          <w:tcPr>
            <w:tcW w:type="dxa" w:w="20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Workers Compensation &amp; Employers Liability</w:t>
            </w:r>
          </w:p>
        </w:tc>
        <w:tc>
          <w:tcPr>
            <w:tcW w:type="dxa" w:w="67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r>
              <w:rPr>
                <w:rFonts w:ascii="Arial" w:cs="Arial" w:eastAsia="Arial" w:hAnsi="Arial"/>
                <w:color w:val="1A1A1A"/>
                <w:sz w:val="16"/>
                <w:szCs w:val="16"/>
              </w:rPr>
              <w:t xml:space="preserve">Standard ISO language. No modification.</w:t>
            </w:r>
          </w:p>
        </w:tc>
      </w:tr>
      <w:tr>
        <w:tc>
          <w:tcPr>
            <w:tcW w:type="dxa" w:w="1300"/>
            <w:tcBorders>
              <w:top w:val="single" w:color="D6DCE4" w:sz="1"/>
              <w:left w:val="single" w:color="D6DCE4" w:sz="1"/>
              <w:bottom w:val="single" w:color="D6DCE4" w:sz="1"/>
              <w:right w:val="single" w:color="D6DCE4" w:sz="1"/>
            </w:tcBorders>
            <w:shd w:fill="006064" w:val="clear"/>
            <w:tcMar>
              <w:top w:type="dxa" w:w="80"/>
              <w:left w:type="dxa" w:w="100"/>
              <w:bottom w:type="dxa" w:w="80"/>
              <w:right w:type="dxa" w:w="80"/>
            </w:tcMar>
            <w:vAlign w:val="top"/>
          </w:tcPr>
          <w:p>
            <w:r>
              <w:rPr>
                <w:rFonts w:ascii="Arial" w:cs="Arial" w:eastAsia="Arial" w:hAnsi="Arial"/>
                <w:b/>
                <w:bCs/>
                <w:color w:val="FFFFFF"/>
                <w:sz w:val="16"/>
                <w:szCs w:val="16"/>
              </w:rPr>
              <w:t xml:space="preserve">BRD-E04</w:t>
            </w:r>
          </w:p>
        </w:tc>
        <w:tc>
          <w:tcPr>
            <w:tcW w:type="dxa" w:w="20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Auto</w:t>
            </w:r>
          </w:p>
        </w:tc>
        <w:tc>
          <w:tcPr>
            <w:tcW w:type="dxa" w:w="678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r>
              <w:rPr>
                <w:rFonts w:ascii="Arial" w:cs="Arial" w:eastAsia="Arial" w:hAnsi="Arial"/>
                <w:color w:val="1A1A1A"/>
                <w:sz w:val="16"/>
                <w:szCs w:val="16"/>
              </w:rPr>
              <w:t xml:space="preserve">Standard ISO language. No modification.</w:t>
            </w:r>
          </w:p>
        </w:tc>
      </w:tr>
      <w:tr>
        <w:tc>
          <w:tcPr>
            <w:tcW w:type="dxa" w:w="1300"/>
            <w:tcBorders>
              <w:top w:val="single" w:color="D6DCE4" w:sz="1"/>
              <w:left w:val="single" w:color="D6DCE4" w:sz="1"/>
              <w:bottom w:val="single" w:color="D6DCE4" w:sz="1"/>
              <w:right w:val="single" w:color="D6DCE4" w:sz="1"/>
            </w:tcBorders>
            <w:shd w:fill="006064" w:val="clear"/>
            <w:tcMar>
              <w:top w:type="dxa" w:w="80"/>
              <w:left w:type="dxa" w:w="100"/>
              <w:bottom w:type="dxa" w:w="80"/>
              <w:right w:type="dxa" w:w="80"/>
            </w:tcMar>
            <w:vAlign w:val="top"/>
          </w:tcPr>
          <w:p>
            <w:r>
              <w:rPr>
                <w:rFonts w:ascii="Arial" w:cs="Arial" w:eastAsia="Arial" w:hAnsi="Arial"/>
                <w:b/>
                <w:bCs/>
                <w:color w:val="FFFFFF"/>
                <w:sz w:val="16"/>
                <w:szCs w:val="16"/>
              </w:rPr>
              <w:t xml:space="preserve">BRD-E05</w:t>
            </w:r>
          </w:p>
        </w:tc>
        <w:tc>
          <w:tcPr>
            <w:tcW w:type="dxa" w:w="20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Pollution [WRITE-BACK vs. STD-01]</w:t>
            </w:r>
          </w:p>
        </w:tc>
        <w:tc>
          <w:tcPr>
            <w:tcW w:type="dxa" w:w="67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r>
              <w:rPr>
                <w:rFonts w:ascii="Arial" w:cs="Arial" w:eastAsia="Arial" w:hAnsi="Arial"/>
                <w:color w:val="1A1A1A"/>
                <w:sz w:val="16"/>
                <w:szCs w:val="16"/>
              </w:rPr>
              <w:t xml:space="preserve">Total pollution exclusion is modified to restore coverage for bodily injury or property damage arising from a sudden and accidental release of pollutants during construction operations on non-residential projects. The write-back does not apply to intentional discharge, gradual release, or any release on residential construction projects. Fuel spills from mobile equipment used in direct construction operations are covered subject to this write-back.</w:t>
            </w:r>
          </w:p>
        </w:tc>
      </w:tr>
      <w:tr>
        <w:tc>
          <w:tcPr>
            <w:tcW w:type="dxa" w:w="1300"/>
            <w:tcBorders>
              <w:top w:val="single" w:color="D6DCE4" w:sz="1"/>
              <w:left w:val="single" w:color="D6DCE4" w:sz="1"/>
              <w:bottom w:val="single" w:color="D6DCE4" w:sz="1"/>
              <w:right w:val="single" w:color="D6DCE4" w:sz="1"/>
            </w:tcBorders>
            <w:shd w:fill="006064" w:val="clear"/>
            <w:tcMar>
              <w:top w:type="dxa" w:w="80"/>
              <w:left w:type="dxa" w:w="100"/>
              <w:bottom w:type="dxa" w:w="80"/>
              <w:right w:type="dxa" w:w="80"/>
            </w:tcMar>
            <w:vAlign w:val="top"/>
          </w:tcPr>
          <w:p>
            <w:r>
              <w:rPr>
                <w:rFonts w:ascii="Arial" w:cs="Arial" w:eastAsia="Arial" w:hAnsi="Arial"/>
                <w:b/>
                <w:bCs/>
                <w:color w:val="FFFFFF"/>
                <w:sz w:val="16"/>
                <w:szCs w:val="16"/>
              </w:rPr>
              <w:t xml:space="preserve">BRD-E06</w:t>
            </w:r>
          </w:p>
        </w:tc>
        <w:tc>
          <w:tcPr>
            <w:tcW w:type="dxa" w:w="20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Aircraft / Watercraft</w:t>
            </w:r>
          </w:p>
        </w:tc>
        <w:tc>
          <w:tcPr>
            <w:tcW w:type="dxa" w:w="678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r>
              <w:rPr>
                <w:rFonts w:ascii="Arial" w:cs="Arial" w:eastAsia="Arial" w:hAnsi="Arial"/>
                <w:color w:val="1A1A1A"/>
                <w:sz w:val="16"/>
                <w:szCs w:val="16"/>
              </w:rPr>
              <w:t xml:space="preserve">Standard ISO language. No modification.</w:t>
            </w:r>
          </w:p>
        </w:tc>
      </w:tr>
      <w:tr>
        <w:tc>
          <w:tcPr>
            <w:tcW w:type="dxa" w:w="1300"/>
            <w:tcBorders>
              <w:top w:val="single" w:color="D6DCE4" w:sz="1"/>
              <w:left w:val="single" w:color="D6DCE4" w:sz="1"/>
              <w:bottom w:val="single" w:color="D6DCE4" w:sz="1"/>
              <w:right w:val="single" w:color="D6DCE4" w:sz="1"/>
            </w:tcBorders>
            <w:shd w:fill="006064" w:val="clear"/>
            <w:tcMar>
              <w:top w:type="dxa" w:w="80"/>
              <w:left w:type="dxa" w:w="100"/>
              <w:bottom w:type="dxa" w:w="80"/>
              <w:right w:type="dxa" w:w="80"/>
            </w:tcMar>
            <w:vAlign w:val="top"/>
          </w:tcPr>
          <w:p>
            <w:r>
              <w:rPr>
                <w:rFonts w:ascii="Arial" w:cs="Arial" w:eastAsia="Arial" w:hAnsi="Arial"/>
                <w:b/>
                <w:bCs/>
                <w:color w:val="FFFFFF"/>
                <w:sz w:val="16"/>
                <w:szCs w:val="16"/>
              </w:rPr>
              <w:t xml:space="preserve">BRD-E07</w:t>
            </w:r>
          </w:p>
        </w:tc>
        <w:tc>
          <w:tcPr>
            <w:tcW w:type="dxa" w:w="20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War</w:t>
            </w:r>
          </w:p>
        </w:tc>
        <w:tc>
          <w:tcPr>
            <w:tcW w:type="dxa" w:w="67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r>
              <w:rPr>
                <w:rFonts w:ascii="Arial" w:cs="Arial" w:eastAsia="Arial" w:hAnsi="Arial"/>
                <w:color w:val="1A1A1A"/>
                <w:sz w:val="16"/>
                <w:szCs w:val="16"/>
              </w:rPr>
              <w:t xml:space="preserve">Standard ISO language. No modification.</w:t>
            </w:r>
          </w:p>
        </w:tc>
      </w:tr>
      <w:tr>
        <w:tc>
          <w:tcPr>
            <w:tcW w:type="dxa" w:w="1300"/>
            <w:tcBorders>
              <w:top w:val="single" w:color="D6DCE4" w:sz="1"/>
              <w:left w:val="single" w:color="D6DCE4" w:sz="1"/>
              <w:bottom w:val="single" w:color="D6DCE4" w:sz="1"/>
              <w:right w:val="single" w:color="D6DCE4" w:sz="1"/>
            </w:tcBorders>
            <w:shd w:fill="006064" w:val="clear"/>
            <w:tcMar>
              <w:top w:type="dxa" w:w="80"/>
              <w:left w:type="dxa" w:w="100"/>
              <w:bottom w:type="dxa" w:w="80"/>
              <w:right w:type="dxa" w:w="80"/>
            </w:tcMar>
            <w:vAlign w:val="top"/>
          </w:tcPr>
          <w:p>
            <w:r>
              <w:rPr>
                <w:rFonts w:ascii="Arial" w:cs="Arial" w:eastAsia="Arial" w:hAnsi="Arial"/>
                <w:b/>
                <w:bCs/>
                <w:color w:val="FFFFFF"/>
                <w:sz w:val="16"/>
                <w:szCs w:val="16"/>
              </w:rPr>
              <w:t xml:space="preserve">BRD-E08</w:t>
            </w:r>
          </w:p>
        </w:tc>
        <w:tc>
          <w:tcPr>
            <w:tcW w:type="dxa" w:w="20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Professional Services [MODIFIED vs. STD-01]</w:t>
            </w:r>
          </w:p>
        </w:tc>
        <w:tc>
          <w:tcPr>
            <w:tcW w:type="dxa" w:w="678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r>
              <w:rPr>
                <w:rFonts w:ascii="Arial" w:cs="Arial" w:eastAsia="Arial" w:hAnsi="Arial"/>
                <w:color w:val="1A1A1A"/>
                <w:sz w:val="16"/>
                <w:szCs w:val="16"/>
              </w:rPr>
              <w:t xml:space="preserve">Exclusion is narrowed. The following are NOT excluded on the Broad Form: (a) design-assist services where the insured provides performance input but a licensed engineer of record prepares and stamps drawings; (b) value engineering recommendations provided to owner on a non-binding basis. The following remain excluded: pure design services, preparation of architectural or engineering drawings, construction management-at-risk roles, and any service for which the insured charges a separate professional fee.</w:t>
            </w:r>
          </w:p>
        </w:tc>
      </w:tr>
      <w:tr>
        <w:tc>
          <w:tcPr>
            <w:tcW w:type="dxa" w:w="1300"/>
            <w:tcBorders>
              <w:top w:val="single" w:color="D6DCE4" w:sz="1"/>
              <w:left w:val="single" w:color="D6DCE4" w:sz="1"/>
              <w:bottom w:val="single" w:color="D6DCE4" w:sz="1"/>
              <w:right w:val="single" w:color="D6DCE4" w:sz="1"/>
            </w:tcBorders>
            <w:shd w:fill="006064" w:val="clear"/>
            <w:tcMar>
              <w:top w:type="dxa" w:w="80"/>
              <w:left w:type="dxa" w:w="100"/>
              <w:bottom w:type="dxa" w:w="80"/>
              <w:right w:type="dxa" w:w="80"/>
            </w:tcMar>
            <w:vAlign w:val="top"/>
          </w:tcPr>
          <w:p>
            <w:r>
              <w:rPr>
                <w:rFonts w:ascii="Arial" w:cs="Arial" w:eastAsia="Arial" w:hAnsi="Arial"/>
                <w:b/>
                <w:bCs/>
                <w:color w:val="FFFFFF"/>
                <w:sz w:val="16"/>
                <w:szCs w:val="16"/>
              </w:rPr>
              <w:t xml:space="preserve">BRD-E09</w:t>
            </w:r>
          </w:p>
        </w:tc>
        <w:tc>
          <w:tcPr>
            <w:tcW w:type="dxa" w:w="20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Fungi / Bacteria / Mold [SUBLIMIT vs. STD-01]</w:t>
            </w:r>
          </w:p>
        </w:tc>
        <w:tc>
          <w:tcPr>
            <w:tcW w:type="dxa" w:w="67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r>
              <w:rPr>
                <w:rFonts w:ascii="Arial" w:cs="Arial" w:eastAsia="Arial" w:hAnsi="Arial"/>
                <w:color w:val="1A1A1A"/>
                <w:sz w:val="16"/>
                <w:szCs w:val="16"/>
              </w:rPr>
              <w:t xml:space="preserve">Coverage is provided on a sublimited basis rather than excluded. The fungi, bacteria, and mold sublimit is $100,000 per occurrence and $200,000 in the aggregate, included within (not in addition to) the policy limits. The sublimit applies to property damage arising from mold, mildew, mycotoxins, or any fungal organism resulting from construction operations, including water intrusion during or after the policy period. This sublimit is a material coverage broadening compared to the Standard Form.</w:t>
            </w:r>
          </w:p>
        </w:tc>
      </w:tr>
      <w:tr>
        <w:tc>
          <w:tcPr>
            <w:tcW w:type="dxa" w:w="1300"/>
            <w:tcBorders>
              <w:top w:val="single" w:color="D6DCE4" w:sz="1"/>
              <w:left w:val="single" w:color="D6DCE4" w:sz="1"/>
              <w:bottom w:val="single" w:color="D6DCE4" w:sz="1"/>
              <w:right w:val="single" w:color="D6DCE4" w:sz="1"/>
            </w:tcBorders>
            <w:shd w:fill="006064" w:val="clear"/>
            <w:tcMar>
              <w:top w:type="dxa" w:w="80"/>
              <w:left w:type="dxa" w:w="100"/>
              <w:bottom w:type="dxa" w:w="80"/>
              <w:right w:type="dxa" w:w="80"/>
            </w:tcMar>
            <w:vAlign w:val="top"/>
          </w:tcPr>
          <w:p>
            <w:r>
              <w:rPr>
                <w:rFonts w:ascii="Arial" w:cs="Arial" w:eastAsia="Arial" w:hAnsi="Arial"/>
                <w:b/>
                <w:bCs/>
                <w:color w:val="FFFFFF"/>
                <w:sz w:val="16"/>
                <w:szCs w:val="16"/>
              </w:rPr>
              <w:t xml:space="preserve">BRD-E10</w:t>
            </w:r>
          </w:p>
        </w:tc>
        <w:tc>
          <w:tcPr>
            <w:tcW w:type="dxa" w:w="20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EIFS [WRITE-BACK vs. STD-01]</w:t>
            </w:r>
          </w:p>
        </w:tc>
        <w:tc>
          <w:tcPr>
            <w:tcW w:type="dxa" w:w="678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r>
              <w:rPr>
                <w:rFonts w:ascii="Arial" w:cs="Arial" w:eastAsia="Arial" w:hAnsi="Arial"/>
                <w:color w:val="1A1A1A"/>
                <w:sz w:val="16"/>
                <w:szCs w:val="16"/>
              </w:rPr>
              <w:t xml:space="preserve">The EIFS exclusion is partially written back for non-residential construction. Coverage is restored for property damage or bodily injury arising from EIFS installation on commercial, office, industrial, or hospitality projects, provided: (a) the insured has a documented EIFS quality control program on file with MSI; and (b) the project EIFS manufacturer provides a warranty of not less than 10 years. The exclusion remains in full effect for all residential construction projects (including multifamily), consistent with Appetite Change Notice MSI-ACN-2025-01.</w:t>
            </w:r>
          </w:p>
        </w:tc>
      </w:tr>
      <w:tr>
        <w:tc>
          <w:tcPr>
            <w:tcW w:type="dxa" w:w="1300"/>
            <w:tcBorders>
              <w:top w:val="single" w:color="D6DCE4" w:sz="1"/>
              <w:left w:val="single" w:color="D6DCE4" w:sz="1"/>
              <w:bottom w:val="single" w:color="D6DCE4" w:sz="1"/>
              <w:right w:val="single" w:color="D6DCE4" w:sz="1"/>
            </w:tcBorders>
            <w:shd w:fill="006064" w:val="clear"/>
            <w:tcMar>
              <w:top w:type="dxa" w:w="80"/>
              <w:left w:type="dxa" w:w="100"/>
              <w:bottom w:type="dxa" w:w="80"/>
              <w:right w:type="dxa" w:w="80"/>
            </w:tcMar>
            <w:vAlign w:val="top"/>
          </w:tcPr>
          <w:p>
            <w:r>
              <w:rPr>
                <w:rFonts w:ascii="Arial" w:cs="Arial" w:eastAsia="Arial" w:hAnsi="Arial"/>
                <w:b/>
                <w:bCs/>
                <w:color w:val="FFFFFF"/>
                <w:sz w:val="16"/>
                <w:szCs w:val="16"/>
              </w:rPr>
              <w:t xml:space="preserve">BRD-E11</w:t>
            </w:r>
          </w:p>
        </w:tc>
        <w:tc>
          <w:tcPr>
            <w:tcW w:type="dxa" w:w="20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Subsidence / Earth Movement [WRITE-BACK vs. STD-01]</w:t>
            </w:r>
          </w:p>
        </w:tc>
        <w:tc>
          <w:tcPr>
            <w:tcW w:type="dxa" w:w="67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r>
              <w:rPr>
                <w:rFonts w:ascii="Arial" w:cs="Arial" w:eastAsia="Arial" w:hAnsi="Arial"/>
                <w:color w:val="1A1A1A"/>
                <w:sz w:val="16"/>
                <w:szCs w:val="16"/>
              </w:rPr>
              <w:t xml:space="preserve">The subsidence exclusion is partially written back for foundation and site work performed by the insured on commercial projects, subject to: (a) the insured's prior 5-year loss history contains no subsidence or earth movement claims; and (b) a licensed geotechnical report was prepared for the project prior to commencement of work. The write-back does not apply to residential construction, retaining walls over 8 feet, or projects in geologically mapped landslide zones.</w:t>
            </w:r>
          </w:p>
        </w:tc>
      </w:tr>
      <w:tr>
        <w:tc>
          <w:tcPr>
            <w:tcW w:type="dxa" w:w="1300"/>
            <w:tcBorders>
              <w:top w:val="single" w:color="D6DCE4" w:sz="1"/>
              <w:left w:val="single" w:color="D6DCE4" w:sz="1"/>
              <w:bottom w:val="single" w:color="D6DCE4" w:sz="1"/>
              <w:right w:val="single" w:color="D6DCE4" w:sz="1"/>
            </w:tcBorders>
            <w:shd w:fill="006064" w:val="clear"/>
            <w:tcMar>
              <w:top w:type="dxa" w:w="80"/>
              <w:left w:type="dxa" w:w="100"/>
              <w:bottom w:type="dxa" w:w="80"/>
              <w:right w:type="dxa" w:w="80"/>
            </w:tcMar>
            <w:vAlign w:val="top"/>
          </w:tcPr>
          <w:p>
            <w:r>
              <w:rPr>
                <w:rFonts w:ascii="Arial" w:cs="Arial" w:eastAsia="Arial" w:hAnsi="Arial"/>
                <w:b/>
                <w:bCs/>
                <w:color w:val="FFFFFF"/>
                <w:sz w:val="16"/>
                <w:szCs w:val="16"/>
              </w:rPr>
              <w:t xml:space="preserve">BRD-E12</w:t>
            </w:r>
          </w:p>
        </w:tc>
        <w:tc>
          <w:tcPr>
            <w:tcW w:type="dxa" w:w="20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Damage to Your Work (l exclusion) [BROADENED vs. STD-01]</w:t>
            </w:r>
          </w:p>
        </w:tc>
        <w:tc>
          <w:tcPr>
            <w:tcW w:type="dxa" w:w="678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r>
              <w:rPr>
                <w:rFonts w:ascii="Arial" w:cs="Arial" w:eastAsia="Arial" w:hAnsi="Arial"/>
                <w:color w:val="1A1A1A"/>
                <w:sz w:val="16"/>
                <w:szCs w:val="16"/>
              </w:rPr>
              <w:t xml:space="preserve">The standard 'your work' exclusion applies, but the subcontractor exception is broadened. On the Standard Form, the exception requires only that a subcontractor performed the damaged work. On the Broad Form, the exception also applies where the insured performed the work with its own forces provided: (a) the insured can document written quality control procedures and site inspections were conducted; and (b) the loss arises from work performed under a prior policy period (completed operations). This broadening is a material factor in completed operations CD claims.</w:t>
            </w:r>
          </w:p>
        </w:tc>
      </w:tr>
      <w:tr>
        <w:tc>
          <w:tcPr>
            <w:tcW w:type="dxa" w:w="1300"/>
            <w:tcBorders>
              <w:top w:val="single" w:color="D6DCE4" w:sz="1"/>
              <w:left w:val="single" w:color="D6DCE4" w:sz="1"/>
              <w:bottom w:val="single" w:color="D6DCE4" w:sz="1"/>
              <w:right w:val="single" w:color="D6DCE4" w:sz="1"/>
            </w:tcBorders>
            <w:shd w:fill="006064" w:val="clear"/>
            <w:tcMar>
              <w:top w:type="dxa" w:w="80"/>
              <w:left w:type="dxa" w:w="100"/>
              <w:bottom w:type="dxa" w:w="80"/>
              <w:right w:type="dxa" w:w="80"/>
            </w:tcMar>
            <w:vAlign w:val="top"/>
          </w:tcPr>
          <w:p>
            <w:r>
              <w:rPr>
                <w:rFonts w:ascii="Arial" w:cs="Arial" w:eastAsia="Arial" w:hAnsi="Arial"/>
                <w:b/>
                <w:bCs/>
                <w:color w:val="FFFFFF"/>
                <w:sz w:val="16"/>
                <w:szCs w:val="16"/>
              </w:rPr>
              <w:t xml:space="preserve">BRD-E13</w:t>
            </w:r>
          </w:p>
        </w:tc>
        <w:tc>
          <w:tcPr>
            <w:tcW w:type="dxa" w:w="20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Completed Operations Tail [BROADENED vs. STD-01]</w:t>
            </w:r>
          </w:p>
        </w:tc>
        <w:tc>
          <w:tcPr>
            <w:tcW w:type="dxa" w:w="67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r>
              <w:rPr>
                <w:rFonts w:ascii="Arial" w:cs="Arial" w:eastAsia="Arial" w:hAnsi="Arial"/>
                <w:color w:val="1A1A1A"/>
                <w:sz w:val="16"/>
                <w:szCs w:val="16"/>
              </w:rPr>
              <w:t xml:space="preserve">Products and completed operations coverage is extended to 10 years from the date of project completion, in contrast to the policy period limitation under the Standard Form. The extended tail is included within the policy aggregate. Continuous trigger theory language is incorporated: coverage applies to property damage that first occurs, continues, or resumes during the policy period, regardless of when the damage was first discovered.</w:t>
            </w:r>
          </w:p>
        </w:tc>
      </w:tr>
      <w:tr>
        <w:tc>
          <w:tcPr>
            <w:tcW w:type="dxa" w:w="1300"/>
            <w:tcBorders>
              <w:top w:val="single" w:color="D6DCE4" w:sz="1"/>
              <w:left w:val="single" w:color="D6DCE4" w:sz="1"/>
              <w:bottom w:val="single" w:color="D6DCE4" w:sz="1"/>
              <w:right w:val="single" w:color="D6DCE4" w:sz="1"/>
            </w:tcBorders>
            <w:shd w:fill="006064" w:val="clear"/>
            <w:tcMar>
              <w:top w:type="dxa" w:w="80"/>
              <w:left w:type="dxa" w:w="100"/>
              <w:bottom w:type="dxa" w:w="80"/>
              <w:right w:type="dxa" w:w="80"/>
            </w:tcMar>
            <w:vAlign w:val="top"/>
          </w:tcPr>
          <w:p>
            <w:r>
              <w:rPr>
                <w:rFonts w:ascii="Arial" w:cs="Arial" w:eastAsia="Arial" w:hAnsi="Arial"/>
                <w:b/>
                <w:bCs/>
                <w:color w:val="FFFFFF"/>
                <w:sz w:val="16"/>
                <w:szCs w:val="16"/>
              </w:rPr>
              <w:t xml:space="preserve">BRD-E14</w:t>
            </w:r>
          </w:p>
        </w:tc>
        <w:tc>
          <w:tcPr>
            <w:tcW w:type="dxa" w:w="20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Additional Insured — Per Written Contract [BROADENED vs. STD-01]</w:t>
            </w:r>
          </w:p>
        </w:tc>
        <w:tc>
          <w:tcPr>
            <w:tcW w:type="dxa" w:w="678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r>
              <w:rPr>
                <w:rFonts w:ascii="Arial" w:cs="Arial" w:eastAsia="Arial" w:hAnsi="Arial"/>
                <w:color w:val="1A1A1A"/>
                <w:sz w:val="16"/>
                <w:szCs w:val="16"/>
              </w:rPr>
              <w:t xml:space="preserve">Coverage is extended to additional insureds on a Broad Form basis for any person or organization where required by a written contract or agreement. The AI endorsement (MSI equivalent of CG 20 26) includes coverage for completed operations as well as ongoing operations, provided the contract in place at the time of the occurrence requires such coverage. AI coverage includes defense costs subject to the policy's SIR/deductible. Note: The existence of a Broad Form AI provision on this policy form has been a source of coverage dispute where the additional insured has tendered absent a valid underlying contract — see GP Platform note above and Anchor Claim 1 (MSI-CL-2023-0847).</w:t>
            </w:r>
          </w:p>
        </w:tc>
      </w:tr>
      <w:tr>
        <w:tc>
          <w:tcPr>
            <w:tcW w:type="dxa" w:w="1300"/>
            <w:tcBorders>
              <w:top w:val="single" w:color="D6DCE4" w:sz="1"/>
              <w:left w:val="single" w:color="D6DCE4" w:sz="1"/>
              <w:bottom w:val="single" w:color="D6DCE4" w:sz="1"/>
              <w:right w:val="single" w:color="D6DCE4" w:sz="1"/>
            </w:tcBorders>
            <w:shd w:fill="006064" w:val="clear"/>
            <w:tcMar>
              <w:top w:type="dxa" w:w="80"/>
              <w:left w:type="dxa" w:w="100"/>
              <w:bottom w:type="dxa" w:w="80"/>
              <w:right w:type="dxa" w:w="80"/>
            </w:tcMar>
            <w:vAlign w:val="top"/>
          </w:tcPr>
          <w:p>
            <w:r>
              <w:rPr>
                <w:rFonts w:ascii="Arial" w:cs="Arial" w:eastAsia="Arial" w:hAnsi="Arial"/>
                <w:b/>
                <w:bCs/>
                <w:color w:val="FFFFFF"/>
                <w:sz w:val="16"/>
                <w:szCs w:val="16"/>
              </w:rPr>
              <w:t xml:space="preserve">BRD-E15</w:t>
            </w:r>
          </w:p>
        </w:tc>
        <w:tc>
          <w:tcPr>
            <w:tcW w:type="dxa" w:w="20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Damage to Your Product / Impaired Property</w:t>
            </w:r>
          </w:p>
        </w:tc>
        <w:tc>
          <w:tcPr>
            <w:tcW w:type="dxa" w:w="67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r>
              <w:rPr>
                <w:rFonts w:ascii="Arial" w:cs="Arial" w:eastAsia="Arial" w:hAnsi="Arial"/>
                <w:color w:val="1A1A1A"/>
                <w:sz w:val="16"/>
                <w:szCs w:val="16"/>
              </w:rPr>
              <w:t xml:space="preserve">Standard ISO language. No modification.</w:t>
            </w:r>
          </w:p>
        </w:tc>
      </w:tr>
      <w:tr>
        <w:tc>
          <w:tcPr>
            <w:tcW w:type="dxa" w:w="1300"/>
            <w:tcBorders>
              <w:top w:val="single" w:color="D6DCE4" w:sz="1"/>
              <w:left w:val="single" w:color="D6DCE4" w:sz="1"/>
              <w:bottom w:val="single" w:color="D6DCE4" w:sz="1"/>
              <w:right w:val="single" w:color="D6DCE4" w:sz="1"/>
            </w:tcBorders>
            <w:shd w:fill="006064" w:val="clear"/>
            <w:tcMar>
              <w:top w:type="dxa" w:w="80"/>
              <w:left w:type="dxa" w:w="100"/>
              <w:bottom w:type="dxa" w:w="80"/>
              <w:right w:type="dxa" w:w="80"/>
            </w:tcMar>
            <w:vAlign w:val="top"/>
          </w:tcPr>
          <w:p>
            <w:r>
              <w:rPr>
                <w:rFonts w:ascii="Arial" w:cs="Arial" w:eastAsia="Arial" w:hAnsi="Arial"/>
                <w:b/>
                <w:bCs/>
                <w:color w:val="FFFFFF"/>
                <w:sz w:val="16"/>
                <w:szCs w:val="16"/>
              </w:rPr>
              <w:t xml:space="preserve">BRD-E16</w:t>
            </w:r>
          </w:p>
        </w:tc>
        <w:tc>
          <w:tcPr>
            <w:tcW w:type="dxa" w:w="20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Silica / Crystalline Silica</w:t>
            </w:r>
          </w:p>
        </w:tc>
        <w:tc>
          <w:tcPr>
            <w:tcW w:type="dxa" w:w="678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r>
              <w:rPr>
                <w:rFonts w:ascii="Arial" w:cs="Arial" w:eastAsia="Arial" w:hAnsi="Arial"/>
                <w:color w:val="1A1A1A"/>
                <w:sz w:val="16"/>
                <w:szCs w:val="16"/>
              </w:rPr>
              <w:t xml:space="preserve">Excluded. Consistent across all forms. No modification on Broad Form.</w:t>
            </w:r>
          </w:p>
        </w:tc>
      </w:tr>
      <w:tr>
        <w:tc>
          <w:tcPr>
            <w:tcW w:type="dxa" w:w="1300"/>
            <w:tcBorders>
              <w:top w:val="single" w:color="D6DCE4" w:sz="1"/>
              <w:left w:val="single" w:color="D6DCE4" w:sz="1"/>
              <w:bottom w:val="single" w:color="D6DCE4" w:sz="1"/>
              <w:right w:val="single" w:color="D6DCE4" w:sz="1"/>
            </w:tcBorders>
            <w:shd w:fill="006064" w:val="clear"/>
            <w:tcMar>
              <w:top w:type="dxa" w:w="80"/>
              <w:left w:type="dxa" w:w="100"/>
              <w:bottom w:type="dxa" w:w="80"/>
              <w:right w:type="dxa" w:w="80"/>
            </w:tcMar>
            <w:vAlign w:val="top"/>
          </w:tcPr>
          <w:p>
            <w:r>
              <w:rPr>
                <w:rFonts w:ascii="Arial" w:cs="Arial" w:eastAsia="Arial" w:hAnsi="Arial"/>
                <w:b/>
                <w:bCs/>
                <w:color w:val="FFFFFF"/>
                <w:sz w:val="16"/>
                <w:szCs w:val="16"/>
              </w:rPr>
              <w:t xml:space="preserve">BRD-E17</w:t>
            </w:r>
          </w:p>
        </w:tc>
        <w:tc>
          <w:tcPr>
            <w:tcW w:type="dxa" w:w="20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Asbestos / Lead / Hazardous Materials</w:t>
            </w:r>
          </w:p>
        </w:tc>
        <w:tc>
          <w:tcPr>
            <w:tcW w:type="dxa" w:w="67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r>
              <w:rPr>
                <w:rFonts w:ascii="Arial" w:cs="Arial" w:eastAsia="Arial" w:hAnsi="Arial"/>
                <w:color w:val="1A1A1A"/>
                <w:sz w:val="16"/>
                <w:szCs w:val="16"/>
              </w:rPr>
              <w:t xml:space="preserve">Excluded. Consistent across all forms. No modification on Broad Form.</w:t>
            </w:r>
          </w:p>
        </w:tc>
      </w:tr>
      <w:tr>
        <w:tc>
          <w:tcPr>
            <w:tcW w:type="dxa" w:w="1300"/>
            <w:tcBorders>
              <w:top w:val="single" w:color="D6DCE4" w:sz="1"/>
              <w:left w:val="single" w:color="D6DCE4" w:sz="1"/>
              <w:bottom w:val="single" w:color="D6DCE4" w:sz="1"/>
              <w:right w:val="single" w:color="D6DCE4" w:sz="1"/>
            </w:tcBorders>
            <w:shd w:fill="006064" w:val="clear"/>
            <w:tcMar>
              <w:top w:type="dxa" w:w="80"/>
              <w:left w:type="dxa" w:w="100"/>
              <w:bottom w:type="dxa" w:w="80"/>
              <w:right w:type="dxa" w:w="80"/>
            </w:tcMar>
            <w:vAlign w:val="top"/>
          </w:tcPr>
          <w:p>
            <w:r>
              <w:rPr>
                <w:rFonts w:ascii="Arial" w:cs="Arial" w:eastAsia="Arial" w:hAnsi="Arial"/>
                <w:b/>
                <w:bCs/>
                <w:color w:val="FFFFFF"/>
                <w:sz w:val="16"/>
                <w:szCs w:val="16"/>
              </w:rPr>
              <w:t xml:space="preserve">BRD-E18</w:t>
            </w:r>
          </w:p>
        </w:tc>
        <w:tc>
          <w:tcPr>
            <w:tcW w:type="dxa" w:w="20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Electronic Data</w:t>
            </w:r>
          </w:p>
        </w:tc>
        <w:tc>
          <w:tcPr>
            <w:tcW w:type="dxa" w:w="678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r>
              <w:rPr>
                <w:rFonts w:ascii="Arial" w:cs="Arial" w:eastAsia="Arial" w:hAnsi="Arial"/>
                <w:color w:val="1A1A1A"/>
                <w:sz w:val="16"/>
                <w:szCs w:val="16"/>
              </w:rPr>
              <w:t xml:space="preserve">Standard ISO language. No modification.</w:t>
            </w:r>
          </w:p>
        </w:tc>
      </w:tr>
      <w:tr>
        <w:tc>
          <w:tcPr>
            <w:tcW w:type="dxa" w:w="1300"/>
            <w:tcBorders>
              <w:top w:val="single" w:color="D6DCE4" w:sz="1"/>
              <w:left w:val="single" w:color="D6DCE4" w:sz="1"/>
              <w:bottom w:val="single" w:color="D6DCE4" w:sz="1"/>
              <w:right w:val="single" w:color="D6DCE4" w:sz="1"/>
            </w:tcBorders>
            <w:shd w:fill="006064" w:val="clear"/>
            <w:tcMar>
              <w:top w:type="dxa" w:w="80"/>
              <w:left w:type="dxa" w:w="100"/>
              <w:bottom w:type="dxa" w:w="80"/>
              <w:right w:type="dxa" w:w="80"/>
            </w:tcMar>
            <w:vAlign w:val="top"/>
          </w:tcPr>
          <w:p>
            <w:r>
              <w:rPr>
                <w:rFonts w:ascii="Arial" w:cs="Arial" w:eastAsia="Arial" w:hAnsi="Arial"/>
                <w:b/>
                <w:bCs/>
                <w:color w:val="FFFFFF"/>
                <w:sz w:val="16"/>
                <w:szCs w:val="16"/>
              </w:rPr>
              <w:t xml:space="preserve">BRD-E19</w:t>
            </w:r>
          </w:p>
        </w:tc>
        <w:tc>
          <w:tcPr>
            <w:tcW w:type="dxa" w:w="20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Recording and Distribution of Material or Information</w:t>
            </w:r>
          </w:p>
        </w:tc>
        <w:tc>
          <w:tcPr>
            <w:tcW w:type="dxa" w:w="67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r>
              <w:rPr>
                <w:rFonts w:ascii="Arial" w:cs="Arial" w:eastAsia="Arial" w:hAnsi="Arial"/>
                <w:color w:val="1A1A1A"/>
                <w:sz w:val="16"/>
                <w:szCs w:val="16"/>
              </w:rPr>
              <w:t xml:space="preserve">Standard ISO language. No modification.</w:t>
            </w:r>
          </w:p>
        </w:tc>
      </w:tr>
    </w:tbl>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55A11" w:sz="8"/>
              <w:left w:val="single" w:color="C55A11" w:sz="8"/>
              <w:bottom w:val="single" w:color="C55A11" w:sz="8"/>
              <w:right w:val="single" w:color="C55A11" w:sz="8"/>
            </w:tcBorders>
            <w:shd w:fill="FFF8E1" w:val="clear"/>
            <w:tcMar>
              <w:top w:type="dxa" w:w="120"/>
              <w:left w:type="dxa" w:w="180"/>
              <w:bottom w:type="dxa" w:w="120"/>
              <w:right w:type="dxa" w:w="180"/>
            </w:tcMar>
          </w:tcPr>
          <w:p>
            <w:pPr>
              <w:spacing w:after="60" w:before="0"/>
            </w:pPr>
            <w:r>
              <w:rPr>
                <w:rFonts w:ascii="Arial" w:cs="Arial" w:eastAsia="Arial" w:hAnsi="Arial"/>
                <w:b/>
                <w:bCs/>
                <w:color w:val="C55A11"/>
                <w:sz w:val="20"/>
                <w:szCs w:val="20"/>
              </w:rPr>
              <w:t xml:space="preserve">MSI-CGL-BRD-01 — Underwriting Controls</w:t>
            </w:r>
          </w:p>
          <w:p>
            <w:pPr>
              <w:spacing w:after="60" w:before="0"/>
            </w:pPr>
            <w:r>
              <w:rPr>
                <w:rFonts w:ascii="Arial" w:cs="Arial" w:eastAsia="Arial" w:hAnsi="Arial"/>
                <w:b w:val="false"/>
                <w:bCs w:val="false"/>
                <w:color w:val="C55A11"/>
                <w:sz w:val="18"/>
                <w:szCs w:val="18"/>
              </w:rPr>
              <w:t xml:space="preserve">1. Minimum 5-year loss-free history required for Broad Form binding. Loss runs required at every renewal.</w:t>
            </w:r>
          </w:p>
          <w:p>
            <w:pPr>
              <w:spacing w:after="60" w:before="0"/>
            </w:pPr>
            <w:r>
              <w:rPr>
                <w:rFonts w:ascii="Arial" w:cs="Arial" w:eastAsia="Arial" w:hAnsi="Arial"/>
                <w:b w:val="false"/>
                <w:bCs w:val="false"/>
                <w:color w:val="C55A11"/>
                <w:sz w:val="18"/>
                <w:szCs w:val="18"/>
              </w:rPr>
              <w:t xml:space="preserve">2. CA residential GC on Broad Form: UW Manager approval required. Aggregate concentration cap: no more than 25% of CA residential GC book on Broad Form in any one underwriting year.</w:t>
            </w:r>
          </w:p>
          <w:p>
            <w:pPr>
              <w:spacing w:after="60" w:before="0"/>
            </w:pPr>
            <w:r>
              <w:rPr>
                <w:rFonts w:ascii="Arial" w:cs="Arial" w:eastAsia="Arial" w:hAnsi="Arial"/>
                <w:b w:val="false"/>
                <w:bCs w:val="false"/>
                <w:color w:val="C55A11"/>
                <w:sz w:val="18"/>
                <w:szCs w:val="18"/>
              </w:rPr>
              <w:t xml:space="preserve">3. Broker concentration review: if more than 3 Broad Form risks from a single wholesale broker in a single UY, UW Manager review required before additional binds.</w:t>
            </w:r>
          </w:p>
          <w:p>
            <w:pPr>
              <w:spacing w:after="60" w:before="0"/>
            </w:pPr>
            <w:r>
              <w:rPr>
                <w:rFonts w:ascii="Arial" w:cs="Arial" w:eastAsia="Arial" w:hAnsi="Arial"/>
                <w:b w:val="false"/>
                <w:bCs w:val="false"/>
                <w:color w:val="C55A11"/>
                <w:sz w:val="18"/>
                <w:szCs w:val="18"/>
              </w:rPr>
              <w:t xml:space="preserve">4. GP Platform monitoring: Broad Form policies flagged automatically in the reserve adequacy and coverage position decision points (DP-C2, DP-C5). Cross-domain alert fires if Broad Form policy generates reserve &gt;$500K in nuclear venue state.</w:t>
            </w:r>
          </w:p>
        </w:tc>
      </w:tr>
    </w:tbl>
    <w:p>
      <w:pPr>
        <w:spacing w:after="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C55A11" w:val="clear"/>
            <w:tcMar>
              <w:top w:type="dxa" w:w="160"/>
              <w:left w:type="dxa" w:w="200"/>
              <w:bottom w:type="dxa" w:w="160"/>
              <w:right w:type="dxa" w:w="200"/>
            </w:tcMar>
          </w:tcPr>
          <w:p>
            <w:pPr>
              <w:spacing w:after="40"/>
            </w:pPr>
            <w:r>
              <w:rPr>
                <w:rFonts w:ascii="Arial" w:cs="Arial" w:eastAsia="Arial" w:hAnsi="Arial"/>
                <w:b/>
                <w:bCs/>
                <w:color w:val="FFFFFF"/>
                <w:sz w:val="20"/>
                <w:szCs w:val="20"/>
              </w:rPr>
              <w:t xml:space="preserve">MSI-CGL-RST-01 | Section 4</w:t>
            </w:r>
          </w:p>
          <w:p>
            <w:pPr>
              <w:spacing w:after="0"/>
            </w:pPr>
            <w:r>
              <w:rPr>
                <w:rFonts w:ascii="Arial" w:cs="Arial" w:eastAsia="Arial" w:hAnsi="Arial"/>
                <w:b/>
                <w:bCs/>
                <w:color w:val="FFFFFF"/>
                <w:sz w:val="32"/>
                <w:szCs w:val="32"/>
              </w:rPr>
              <w:t xml:space="preserve">Restricted Construction Form</w:t>
            </w:r>
          </w:p>
        </w:tc>
      </w:tr>
    </w:tbl>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6DCE4" w:sz="1"/>
              <w:left w:val="single" w:color="D6DCE4" w:sz="1"/>
              <w:bottom w:val="single" w:color="D6DCE4" w:sz="1"/>
              <w:right w:val="single" w:color="D6DCE4" w:sz="1"/>
            </w:tcBorders>
            <w:shd w:fill="FFF8E1" w:val="clear"/>
            <w:tcMar>
              <w:top w:type="dxa" w:w="100"/>
              <w:left w:type="dxa" w:w="120"/>
              <w:bottom w:type="dxa" w:w="100"/>
              <w:right w:type="dxa" w:w="80"/>
            </w:tcMar>
          </w:tcPr>
          <w:p>
            <w:pPr>
              <w:spacing w:after="60"/>
            </w:pPr>
            <w:r>
              <w:rPr>
                <w:rFonts w:ascii="Arial" w:cs="Arial" w:eastAsia="Arial" w:hAnsi="Arial"/>
                <w:b/>
                <w:bCs/>
                <w:color w:val="C55A11"/>
                <w:sz w:val="18"/>
                <w:szCs w:val="18"/>
              </w:rPr>
              <w:t xml:space="preserve">Eligible Classes</w:t>
            </w:r>
          </w:p>
          <w:p>
            <w:r>
              <w:rPr>
                <w:rFonts w:ascii="Arial" w:cs="Arial" w:eastAsia="Arial" w:hAnsi="Arial"/>
                <w:color w:val="1A1A1A"/>
                <w:sz w:val="16"/>
                <w:szCs w:val="16"/>
              </w:rPr>
              <w:t xml:space="preserve">Commercial GC with adverse loss history. Specialty trades (roofing, waterproofing, concrete) requiring broader exclusion package. Not available for residential construction, EIFS, or design-build.</w:t>
            </w:r>
          </w:p>
        </w:tc>
        <w:tc>
          <w:tcPr>
            <w:tcW w:type="dxa" w:w="3360"/>
            <w:tcBorders>
              <w:top w:val="single" w:color="D6DCE4" w:sz="1"/>
              <w:left w:val="single" w:color="D6DCE4" w:sz="1"/>
              <w:bottom w:val="single" w:color="D6DCE4" w:sz="1"/>
              <w:right w:val="single" w:color="D6DCE4" w:sz="1"/>
            </w:tcBorders>
            <w:shd w:fill="FFF8E1" w:val="clear"/>
            <w:tcMar>
              <w:top w:type="dxa" w:w="100"/>
              <w:left w:type="dxa" w:w="120"/>
              <w:bottom w:type="dxa" w:w="100"/>
              <w:right w:type="dxa" w:w="80"/>
            </w:tcMar>
          </w:tcPr>
          <w:p>
            <w:pPr>
              <w:spacing w:after="60"/>
            </w:pPr>
            <w:r>
              <w:rPr>
                <w:rFonts w:ascii="Arial" w:cs="Arial" w:eastAsia="Arial" w:hAnsi="Arial"/>
                <w:b/>
                <w:bCs/>
                <w:color w:val="C55A11"/>
                <w:sz w:val="18"/>
                <w:szCs w:val="18"/>
              </w:rPr>
              <w:t xml:space="preserve">Typical Limits</w:t>
            </w:r>
          </w:p>
          <w:p>
            <w:r>
              <w:rPr>
                <w:rFonts w:ascii="Arial" w:cs="Arial" w:eastAsia="Arial" w:hAnsi="Arial"/>
                <w:color w:val="1A1A1A"/>
                <w:sz w:val="16"/>
                <w:szCs w:val="16"/>
              </w:rPr>
              <w:t xml:space="preserve">Each Occurrence: $1M – $2M. General Aggregate: $2M – $4M. Completed Ops Sublimit: $500,000. Nuclear venue sublimit endorsement available.</w:t>
            </w:r>
          </w:p>
        </w:tc>
        <w:tc>
          <w:tcPr>
            <w:tcW w:type="dxa" w:w="3360"/>
            <w:tcBorders>
              <w:top w:val="single" w:color="D6DCE4" w:sz="1"/>
              <w:left w:val="single" w:color="D6DCE4" w:sz="1"/>
              <w:bottom w:val="single" w:color="D6DCE4" w:sz="1"/>
              <w:right w:val="single" w:color="D6DCE4" w:sz="1"/>
            </w:tcBorders>
            <w:shd w:fill="FFF8E1" w:val="clear"/>
            <w:tcMar>
              <w:top w:type="dxa" w:w="100"/>
              <w:left w:type="dxa" w:w="120"/>
              <w:bottom w:type="dxa" w:w="100"/>
              <w:right w:type="dxa" w:w="120"/>
            </w:tcMar>
          </w:tcPr>
          <w:p>
            <w:pPr>
              <w:spacing w:after="60"/>
            </w:pPr>
            <w:r>
              <w:rPr>
                <w:rFonts w:ascii="Arial" w:cs="Arial" w:eastAsia="Arial" w:hAnsi="Arial"/>
                <w:b/>
                <w:bCs/>
                <w:color w:val="C55A11"/>
                <w:sz w:val="18"/>
                <w:szCs w:val="18"/>
              </w:rPr>
              <w:t xml:space="preserve">UW Authority</w:t>
            </w:r>
          </w:p>
          <w:p>
            <w:r>
              <w:rPr>
                <w:rFonts w:ascii="Arial" w:cs="Arial" w:eastAsia="Arial" w:hAnsi="Arial"/>
                <w:color w:val="1A1A1A"/>
                <w:sz w:val="16"/>
                <w:szCs w:val="16"/>
              </w:rPr>
              <w:t xml:space="preserve">Standard UW (up to $1M). Senior UW ($1M–$2M). Adverse loss history at Senior UW level regardless of limit. No Broad Form AI available. AI endorsements not available.</w:t>
            </w:r>
          </w:p>
        </w:tc>
      </w:tr>
    </w:tbl>
    <w:p>
      <w:pPr>
        <w:spacing w:after="0" w:before="0"/>
      </w:pPr>
      <w:r>
        <w:t xml:space="preserve"/>
      </w:r>
    </w:p>
    <w:p>
      <w:pPr>
        <w:spacing w:after="120" w:before="180"/>
      </w:pPr>
      <w:r>
        <w:rPr>
          <w:rFonts w:ascii="Arial" w:cs="Arial" w:eastAsia="Arial" w:hAnsi="Arial"/>
          <w:b/>
          <w:bCs/>
          <w:color w:val="1B3A5C"/>
          <w:sz w:val="26"/>
          <w:szCs w:val="26"/>
        </w:rPr>
        <w:t xml:space="preserve">Exclusion Schedule — MSI-CGL-RST-01</w:t>
      </w:r>
    </w:p>
    <w:p>
      <w:pPr>
        <w:pBdr>
          <w:bottom w:val="single" w:color="C55A11" w:sz="6" w:space="1"/>
        </w:pBdr>
        <w:spacing w:after="100" w:before="100"/>
      </w:pPr>
    </w:p>
    <w:p>
      <w:pPr>
        <w:spacing w:after="80" w:before="0"/>
      </w:pPr>
      <w:r>
        <w:rPr>
          <w:rFonts w:ascii="Arial" w:cs="Arial" w:eastAsia="Arial" w:hAnsi="Arial"/>
          <w:i/>
          <w:iCs/>
          <w:color w:val="1A1A1A"/>
          <w:sz w:val="20"/>
          <w:szCs w:val="20"/>
        </w:rPr>
        <w:t xml:space="preserve">Exclusions marked [ENHANCED vs. STD-01] reflect a broader, stricter, or more absolute version of an exclusion that appears on the Standard Form. These enhancements reduce coverage compared to both the Standard and Broad Forms.</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6780"/>
      </w:tblGrid>
      <w:tr>
        <w:tc>
          <w:tcPr>
            <w:tcW w:type="dxa" w:w="1300"/>
            <w:tcBorders>
              <w:top w:val="single" w:color="D6DCE4" w:sz="1"/>
              <w:left w:val="single" w:color="D6DCE4" w:sz="1"/>
              <w:bottom w:val="single" w:color="D6DCE4" w:sz="1"/>
              <w:right w:val="single" w:color="D6DCE4" w:sz="1"/>
            </w:tcBorders>
            <w:shd w:fill="C55A11" w:val="clear"/>
            <w:tcMar>
              <w:top w:type="dxa" w:w="80"/>
              <w:left w:type="dxa" w:w="100"/>
              <w:bottom w:type="dxa" w:w="80"/>
              <w:right w:type="dxa" w:w="80"/>
            </w:tcMar>
            <w:vAlign w:val="top"/>
          </w:tcPr>
          <w:p>
            <w:r>
              <w:rPr>
                <w:rFonts w:ascii="Arial" w:cs="Arial" w:eastAsia="Arial" w:hAnsi="Arial"/>
                <w:b/>
                <w:bCs/>
                <w:color w:val="FFFFFF"/>
                <w:sz w:val="16"/>
                <w:szCs w:val="16"/>
              </w:rPr>
              <w:t xml:space="preserve">RST-E01</w:t>
            </w:r>
          </w:p>
        </w:tc>
        <w:tc>
          <w:tcPr>
            <w:tcW w:type="dxa" w:w="20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Expected or Intended Injury</w:t>
            </w:r>
          </w:p>
        </w:tc>
        <w:tc>
          <w:tcPr>
            <w:tcW w:type="dxa" w:w="67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r>
              <w:rPr>
                <w:rFonts w:ascii="Arial" w:cs="Arial" w:eastAsia="Arial" w:hAnsi="Arial"/>
                <w:color w:val="1A1A1A"/>
                <w:sz w:val="16"/>
                <w:szCs w:val="16"/>
              </w:rPr>
              <w:t xml:space="preserve">Standard ISO language. No modification from Standard Form.</w:t>
            </w:r>
          </w:p>
        </w:tc>
      </w:tr>
      <w:tr>
        <w:tc>
          <w:tcPr>
            <w:tcW w:type="dxa" w:w="1300"/>
            <w:tcBorders>
              <w:top w:val="single" w:color="D6DCE4" w:sz="1"/>
              <w:left w:val="single" w:color="D6DCE4" w:sz="1"/>
              <w:bottom w:val="single" w:color="D6DCE4" w:sz="1"/>
              <w:right w:val="single" w:color="D6DCE4" w:sz="1"/>
            </w:tcBorders>
            <w:shd w:fill="C55A11" w:val="clear"/>
            <w:tcMar>
              <w:top w:type="dxa" w:w="80"/>
              <w:left w:type="dxa" w:w="100"/>
              <w:bottom w:type="dxa" w:w="80"/>
              <w:right w:type="dxa" w:w="80"/>
            </w:tcMar>
            <w:vAlign w:val="top"/>
          </w:tcPr>
          <w:p>
            <w:r>
              <w:rPr>
                <w:rFonts w:ascii="Arial" w:cs="Arial" w:eastAsia="Arial" w:hAnsi="Arial"/>
                <w:b/>
                <w:bCs/>
                <w:color w:val="FFFFFF"/>
                <w:sz w:val="16"/>
                <w:szCs w:val="16"/>
              </w:rPr>
              <w:t xml:space="preserve">RST-E02</w:t>
            </w:r>
          </w:p>
        </w:tc>
        <w:tc>
          <w:tcPr>
            <w:tcW w:type="dxa" w:w="20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Contractual Liability [NARROWED vs. STD-01]</w:t>
            </w:r>
          </w:p>
        </w:tc>
        <w:tc>
          <w:tcPr>
            <w:tcW w:type="dxa" w:w="678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r>
              <w:rPr>
                <w:rFonts w:ascii="Arial" w:cs="Arial" w:eastAsia="Arial" w:hAnsi="Arial"/>
                <w:color w:val="1A1A1A"/>
                <w:sz w:val="16"/>
                <w:szCs w:val="16"/>
              </w:rPr>
              <w:t xml:space="preserve">The insured contract definition is narrowed below ISO CG 00 01 standard. The exception does not apply to: (a) any hold harmless or indemnity agreement not in the standard approved MSI GC-subcontract form; (b) any agreement entered into after the commencement of operations; or (c) any agreement where the insured assumes liability in excess of its proportionate share of the loss. Verbal agreements and unapproved contract templates do not constitute insured contracts.</w:t>
            </w:r>
          </w:p>
        </w:tc>
      </w:tr>
      <w:tr>
        <w:tc>
          <w:tcPr>
            <w:tcW w:type="dxa" w:w="1300"/>
            <w:tcBorders>
              <w:top w:val="single" w:color="D6DCE4" w:sz="1"/>
              <w:left w:val="single" w:color="D6DCE4" w:sz="1"/>
              <w:bottom w:val="single" w:color="D6DCE4" w:sz="1"/>
              <w:right w:val="single" w:color="D6DCE4" w:sz="1"/>
            </w:tcBorders>
            <w:shd w:fill="C55A11" w:val="clear"/>
            <w:tcMar>
              <w:top w:type="dxa" w:w="80"/>
              <w:left w:type="dxa" w:w="100"/>
              <w:bottom w:type="dxa" w:w="80"/>
              <w:right w:type="dxa" w:w="80"/>
            </w:tcMar>
            <w:vAlign w:val="top"/>
          </w:tcPr>
          <w:p>
            <w:r>
              <w:rPr>
                <w:rFonts w:ascii="Arial" w:cs="Arial" w:eastAsia="Arial" w:hAnsi="Arial"/>
                <w:b/>
                <w:bCs/>
                <w:color w:val="FFFFFF"/>
                <w:sz w:val="16"/>
                <w:szCs w:val="16"/>
              </w:rPr>
              <w:t xml:space="preserve">RST-E03</w:t>
            </w:r>
          </w:p>
        </w:tc>
        <w:tc>
          <w:tcPr>
            <w:tcW w:type="dxa" w:w="20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Workers Compensation &amp; Employers Liability</w:t>
            </w:r>
          </w:p>
        </w:tc>
        <w:tc>
          <w:tcPr>
            <w:tcW w:type="dxa" w:w="67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r>
              <w:rPr>
                <w:rFonts w:ascii="Arial" w:cs="Arial" w:eastAsia="Arial" w:hAnsi="Arial"/>
                <w:color w:val="1A1A1A"/>
                <w:sz w:val="16"/>
                <w:szCs w:val="16"/>
              </w:rPr>
              <w:t xml:space="preserve">Standard ISO language. No modification.</w:t>
            </w:r>
          </w:p>
        </w:tc>
      </w:tr>
      <w:tr>
        <w:tc>
          <w:tcPr>
            <w:tcW w:type="dxa" w:w="1300"/>
            <w:tcBorders>
              <w:top w:val="single" w:color="D6DCE4" w:sz="1"/>
              <w:left w:val="single" w:color="D6DCE4" w:sz="1"/>
              <w:bottom w:val="single" w:color="D6DCE4" w:sz="1"/>
              <w:right w:val="single" w:color="D6DCE4" w:sz="1"/>
            </w:tcBorders>
            <w:shd w:fill="C55A11" w:val="clear"/>
            <w:tcMar>
              <w:top w:type="dxa" w:w="80"/>
              <w:left w:type="dxa" w:w="100"/>
              <w:bottom w:type="dxa" w:w="80"/>
              <w:right w:type="dxa" w:w="80"/>
            </w:tcMar>
            <w:vAlign w:val="top"/>
          </w:tcPr>
          <w:p>
            <w:r>
              <w:rPr>
                <w:rFonts w:ascii="Arial" w:cs="Arial" w:eastAsia="Arial" w:hAnsi="Arial"/>
                <w:b/>
                <w:bCs/>
                <w:color w:val="FFFFFF"/>
                <w:sz w:val="16"/>
                <w:szCs w:val="16"/>
              </w:rPr>
              <w:t xml:space="preserve">RST-E04</w:t>
            </w:r>
          </w:p>
        </w:tc>
        <w:tc>
          <w:tcPr>
            <w:tcW w:type="dxa" w:w="20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Auto</w:t>
            </w:r>
          </w:p>
        </w:tc>
        <w:tc>
          <w:tcPr>
            <w:tcW w:type="dxa" w:w="678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r>
              <w:rPr>
                <w:rFonts w:ascii="Arial" w:cs="Arial" w:eastAsia="Arial" w:hAnsi="Arial"/>
                <w:color w:val="1A1A1A"/>
                <w:sz w:val="16"/>
                <w:szCs w:val="16"/>
              </w:rPr>
              <w:t xml:space="preserve">Standard ISO language. No modification.</w:t>
            </w:r>
          </w:p>
        </w:tc>
      </w:tr>
      <w:tr>
        <w:tc>
          <w:tcPr>
            <w:tcW w:type="dxa" w:w="1300"/>
            <w:tcBorders>
              <w:top w:val="single" w:color="D6DCE4" w:sz="1"/>
              <w:left w:val="single" w:color="D6DCE4" w:sz="1"/>
              <w:bottom w:val="single" w:color="D6DCE4" w:sz="1"/>
              <w:right w:val="single" w:color="D6DCE4" w:sz="1"/>
            </w:tcBorders>
            <w:shd w:fill="C55A11" w:val="clear"/>
            <w:tcMar>
              <w:top w:type="dxa" w:w="80"/>
              <w:left w:type="dxa" w:w="100"/>
              <w:bottom w:type="dxa" w:w="80"/>
              <w:right w:type="dxa" w:w="80"/>
            </w:tcMar>
            <w:vAlign w:val="top"/>
          </w:tcPr>
          <w:p>
            <w:r>
              <w:rPr>
                <w:rFonts w:ascii="Arial" w:cs="Arial" w:eastAsia="Arial" w:hAnsi="Arial"/>
                <w:b/>
                <w:bCs/>
                <w:color w:val="FFFFFF"/>
                <w:sz w:val="16"/>
                <w:szCs w:val="16"/>
              </w:rPr>
              <w:t xml:space="preserve">RST-E05</w:t>
            </w:r>
          </w:p>
        </w:tc>
        <w:tc>
          <w:tcPr>
            <w:tcW w:type="dxa" w:w="20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Pollution — Total Exclusion [ENHANCED vs. STD-01]</w:t>
            </w:r>
          </w:p>
        </w:tc>
        <w:tc>
          <w:tcPr>
            <w:tcW w:type="dxa" w:w="67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r>
              <w:rPr>
                <w:rFonts w:ascii="Arial" w:cs="Arial" w:eastAsia="Arial" w:hAnsi="Arial"/>
                <w:color w:val="1A1A1A"/>
                <w:sz w:val="16"/>
                <w:szCs w:val="16"/>
              </w:rPr>
              <w:t xml:space="preserve">Absolute total pollution exclusion with no exceptions. Applies to any discharge, dispersal, seepage, migration, release, or escape of pollutants regardless of whether sudden, accidental, or intentional. No premises exception. No contractor operations exception. Consistent with Standard Form but explicitly bars all write-backs.</w:t>
            </w:r>
          </w:p>
        </w:tc>
      </w:tr>
      <w:tr>
        <w:tc>
          <w:tcPr>
            <w:tcW w:type="dxa" w:w="1300"/>
            <w:tcBorders>
              <w:top w:val="single" w:color="D6DCE4" w:sz="1"/>
              <w:left w:val="single" w:color="D6DCE4" w:sz="1"/>
              <w:bottom w:val="single" w:color="D6DCE4" w:sz="1"/>
              <w:right w:val="single" w:color="D6DCE4" w:sz="1"/>
            </w:tcBorders>
            <w:shd w:fill="C55A11" w:val="clear"/>
            <w:tcMar>
              <w:top w:type="dxa" w:w="80"/>
              <w:left w:type="dxa" w:w="100"/>
              <w:bottom w:type="dxa" w:w="80"/>
              <w:right w:type="dxa" w:w="80"/>
            </w:tcMar>
            <w:vAlign w:val="top"/>
          </w:tcPr>
          <w:p>
            <w:r>
              <w:rPr>
                <w:rFonts w:ascii="Arial" w:cs="Arial" w:eastAsia="Arial" w:hAnsi="Arial"/>
                <w:b/>
                <w:bCs/>
                <w:color w:val="FFFFFF"/>
                <w:sz w:val="16"/>
                <w:szCs w:val="16"/>
              </w:rPr>
              <w:t xml:space="preserve">RST-E06</w:t>
            </w:r>
          </w:p>
        </w:tc>
        <w:tc>
          <w:tcPr>
            <w:tcW w:type="dxa" w:w="20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Aircraft / Watercraft</w:t>
            </w:r>
          </w:p>
        </w:tc>
        <w:tc>
          <w:tcPr>
            <w:tcW w:type="dxa" w:w="678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r>
              <w:rPr>
                <w:rFonts w:ascii="Arial" w:cs="Arial" w:eastAsia="Arial" w:hAnsi="Arial"/>
                <w:color w:val="1A1A1A"/>
                <w:sz w:val="16"/>
                <w:szCs w:val="16"/>
              </w:rPr>
              <w:t xml:space="preserve">Standard ISO language. No modification.</w:t>
            </w:r>
          </w:p>
        </w:tc>
      </w:tr>
      <w:tr>
        <w:tc>
          <w:tcPr>
            <w:tcW w:type="dxa" w:w="1300"/>
            <w:tcBorders>
              <w:top w:val="single" w:color="D6DCE4" w:sz="1"/>
              <w:left w:val="single" w:color="D6DCE4" w:sz="1"/>
              <w:bottom w:val="single" w:color="D6DCE4" w:sz="1"/>
              <w:right w:val="single" w:color="D6DCE4" w:sz="1"/>
            </w:tcBorders>
            <w:shd w:fill="C55A11" w:val="clear"/>
            <w:tcMar>
              <w:top w:type="dxa" w:w="80"/>
              <w:left w:type="dxa" w:w="100"/>
              <w:bottom w:type="dxa" w:w="80"/>
              <w:right w:type="dxa" w:w="80"/>
            </w:tcMar>
            <w:vAlign w:val="top"/>
          </w:tcPr>
          <w:p>
            <w:r>
              <w:rPr>
                <w:rFonts w:ascii="Arial" w:cs="Arial" w:eastAsia="Arial" w:hAnsi="Arial"/>
                <w:b/>
                <w:bCs/>
                <w:color w:val="FFFFFF"/>
                <w:sz w:val="16"/>
                <w:szCs w:val="16"/>
              </w:rPr>
              <w:t xml:space="preserve">RST-E07</w:t>
            </w:r>
          </w:p>
        </w:tc>
        <w:tc>
          <w:tcPr>
            <w:tcW w:type="dxa" w:w="20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War</w:t>
            </w:r>
          </w:p>
        </w:tc>
        <w:tc>
          <w:tcPr>
            <w:tcW w:type="dxa" w:w="67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r>
              <w:rPr>
                <w:rFonts w:ascii="Arial" w:cs="Arial" w:eastAsia="Arial" w:hAnsi="Arial"/>
                <w:color w:val="1A1A1A"/>
                <w:sz w:val="16"/>
                <w:szCs w:val="16"/>
              </w:rPr>
              <w:t xml:space="preserve">Standard ISO language. No modification.</w:t>
            </w:r>
          </w:p>
        </w:tc>
      </w:tr>
      <w:tr>
        <w:tc>
          <w:tcPr>
            <w:tcW w:type="dxa" w:w="1300"/>
            <w:tcBorders>
              <w:top w:val="single" w:color="D6DCE4" w:sz="1"/>
              <w:left w:val="single" w:color="D6DCE4" w:sz="1"/>
              <w:bottom w:val="single" w:color="D6DCE4" w:sz="1"/>
              <w:right w:val="single" w:color="D6DCE4" w:sz="1"/>
            </w:tcBorders>
            <w:shd w:fill="C55A11" w:val="clear"/>
            <w:tcMar>
              <w:top w:type="dxa" w:w="80"/>
              <w:left w:type="dxa" w:w="100"/>
              <w:bottom w:type="dxa" w:w="80"/>
              <w:right w:type="dxa" w:w="80"/>
            </w:tcMar>
            <w:vAlign w:val="top"/>
          </w:tcPr>
          <w:p>
            <w:r>
              <w:rPr>
                <w:rFonts w:ascii="Arial" w:cs="Arial" w:eastAsia="Arial" w:hAnsi="Arial"/>
                <w:b/>
                <w:bCs/>
                <w:color w:val="FFFFFF"/>
                <w:sz w:val="16"/>
                <w:szCs w:val="16"/>
              </w:rPr>
              <w:t xml:space="preserve">RST-E08</w:t>
            </w:r>
          </w:p>
        </w:tc>
        <w:tc>
          <w:tcPr>
            <w:tcW w:type="dxa" w:w="20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Professional Services [ABSOLUTE vs. STD-01]</w:t>
            </w:r>
          </w:p>
        </w:tc>
        <w:tc>
          <w:tcPr>
            <w:tcW w:type="dxa" w:w="678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r>
              <w:rPr>
                <w:rFonts w:ascii="Arial" w:cs="Arial" w:eastAsia="Arial" w:hAnsi="Arial"/>
                <w:color w:val="1A1A1A"/>
                <w:sz w:val="16"/>
                <w:szCs w:val="16"/>
              </w:rPr>
              <w:t xml:space="preserve">The professional services exclusion is absolute and expanded. Excluded activities include: architectural or engineering services, design-build, construction management (agency or at-risk), value engineering, project scheduling, cost estimating, quantity surveying, and any supervisory role where the insured has responsibility for directing the means and methods of work performed by others. No design-assist exception available.</w:t>
            </w:r>
          </w:p>
        </w:tc>
      </w:tr>
      <w:tr>
        <w:tc>
          <w:tcPr>
            <w:tcW w:type="dxa" w:w="1300"/>
            <w:tcBorders>
              <w:top w:val="single" w:color="D6DCE4" w:sz="1"/>
              <w:left w:val="single" w:color="D6DCE4" w:sz="1"/>
              <w:bottom w:val="single" w:color="D6DCE4" w:sz="1"/>
              <w:right w:val="single" w:color="D6DCE4" w:sz="1"/>
            </w:tcBorders>
            <w:shd w:fill="C55A11" w:val="clear"/>
            <w:tcMar>
              <w:top w:type="dxa" w:w="80"/>
              <w:left w:type="dxa" w:w="100"/>
              <w:bottom w:type="dxa" w:w="80"/>
              <w:right w:type="dxa" w:w="80"/>
            </w:tcMar>
            <w:vAlign w:val="top"/>
          </w:tcPr>
          <w:p>
            <w:r>
              <w:rPr>
                <w:rFonts w:ascii="Arial" w:cs="Arial" w:eastAsia="Arial" w:hAnsi="Arial"/>
                <w:b/>
                <w:bCs/>
                <w:color w:val="FFFFFF"/>
                <w:sz w:val="16"/>
                <w:szCs w:val="16"/>
              </w:rPr>
              <w:t xml:space="preserve">RST-E09</w:t>
            </w:r>
          </w:p>
        </w:tc>
        <w:tc>
          <w:tcPr>
            <w:tcW w:type="dxa" w:w="20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Fungi / Bacteria / Mold [ABSOLUTE vs. STD-01]</w:t>
            </w:r>
          </w:p>
        </w:tc>
        <w:tc>
          <w:tcPr>
            <w:tcW w:type="dxa" w:w="67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r>
              <w:rPr>
                <w:rFonts w:ascii="Arial" w:cs="Arial" w:eastAsia="Arial" w:hAnsi="Arial"/>
                <w:color w:val="1A1A1A"/>
                <w:sz w:val="16"/>
                <w:szCs w:val="16"/>
              </w:rPr>
              <w:t xml:space="preserve">Absolute exclusion. No sublimit available on the Restricted Form. All bodily injury, property damage, and personal and advertising injury arising out of any actual or alleged presence, growth, proliferation, or activity of fungi, mold, mildew, bacteria, mycotoxins, or related organisms is excluded without exception. The exclusion applies regardless of the source of moisture or whether the presence of mold was caused by the insured's own work.</w:t>
            </w:r>
          </w:p>
        </w:tc>
      </w:tr>
      <w:tr>
        <w:tc>
          <w:tcPr>
            <w:tcW w:type="dxa" w:w="1300"/>
            <w:tcBorders>
              <w:top w:val="single" w:color="D6DCE4" w:sz="1"/>
              <w:left w:val="single" w:color="D6DCE4" w:sz="1"/>
              <w:bottom w:val="single" w:color="D6DCE4" w:sz="1"/>
              <w:right w:val="single" w:color="D6DCE4" w:sz="1"/>
            </w:tcBorders>
            <w:shd w:fill="C55A11" w:val="clear"/>
            <w:tcMar>
              <w:top w:type="dxa" w:w="80"/>
              <w:left w:type="dxa" w:w="100"/>
              <w:bottom w:type="dxa" w:w="80"/>
              <w:right w:type="dxa" w:w="80"/>
            </w:tcMar>
            <w:vAlign w:val="top"/>
          </w:tcPr>
          <w:p>
            <w:r>
              <w:rPr>
                <w:rFonts w:ascii="Arial" w:cs="Arial" w:eastAsia="Arial" w:hAnsi="Arial"/>
                <w:b/>
                <w:bCs/>
                <w:color w:val="FFFFFF"/>
                <w:sz w:val="16"/>
                <w:szCs w:val="16"/>
              </w:rPr>
              <w:t xml:space="preserve">RST-E10</w:t>
            </w:r>
          </w:p>
        </w:tc>
        <w:tc>
          <w:tcPr>
            <w:tcW w:type="dxa" w:w="20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EIFS [ABSOLUTE vs. STD-01]</w:t>
            </w:r>
          </w:p>
        </w:tc>
        <w:tc>
          <w:tcPr>
            <w:tcW w:type="dxa" w:w="678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r>
              <w:rPr>
                <w:rFonts w:ascii="Arial" w:cs="Arial" w:eastAsia="Arial" w:hAnsi="Arial"/>
                <w:color w:val="1A1A1A"/>
                <w:sz w:val="16"/>
                <w:szCs w:val="16"/>
              </w:rPr>
              <w:t xml:space="preserve">Absolute exclusion for all EIFS installation, removal, repair, or replacement. No commercial write-back available on Restricted Form. Consistent with Appetite Change Notice MSI-ACN-2025-01.</w:t>
            </w:r>
          </w:p>
        </w:tc>
      </w:tr>
      <w:tr>
        <w:tc>
          <w:tcPr>
            <w:tcW w:type="dxa" w:w="1300"/>
            <w:tcBorders>
              <w:top w:val="single" w:color="D6DCE4" w:sz="1"/>
              <w:left w:val="single" w:color="D6DCE4" w:sz="1"/>
              <w:bottom w:val="single" w:color="D6DCE4" w:sz="1"/>
              <w:right w:val="single" w:color="D6DCE4" w:sz="1"/>
            </w:tcBorders>
            <w:shd w:fill="C55A11" w:val="clear"/>
            <w:tcMar>
              <w:top w:type="dxa" w:w="80"/>
              <w:left w:type="dxa" w:w="100"/>
              <w:bottom w:type="dxa" w:w="80"/>
              <w:right w:type="dxa" w:w="80"/>
            </w:tcMar>
            <w:vAlign w:val="top"/>
          </w:tcPr>
          <w:p>
            <w:r>
              <w:rPr>
                <w:rFonts w:ascii="Arial" w:cs="Arial" w:eastAsia="Arial" w:hAnsi="Arial"/>
                <w:b/>
                <w:bCs/>
                <w:color w:val="FFFFFF"/>
                <w:sz w:val="16"/>
                <w:szCs w:val="16"/>
              </w:rPr>
              <w:t xml:space="preserve">RST-E11</w:t>
            </w:r>
          </w:p>
        </w:tc>
        <w:tc>
          <w:tcPr>
            <w:tcW w:type="dxa" w:w="20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Subsidence / Earth Movement [ABSOLUTE vs. STD-01]</w:t>
            </w:r>
          </w:p>
        </w:tc>
        <w:tc>
          <w:tcPr>
            <w:tcW w:type="dxa" w:w="67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r>
              <w:rPr>
                <w:rFonts w:ascii="Arial" w:cs="Arial" w:eastAsia="Arial" w:hAnsi="Arial"/>
                <w:color w:val="1A1A1A"/>
                <w:sz w:val="16"/>
                <w:szCs w:val="16"/>
              </w:rPr>
              <w:t xml:space="preserve">Absolute exclusion. No write-back available. Applies to all property damage or bodily injury caused by land settling, sinking, shifting, or earth movement, including work performed by the insured or any subcontractor. No geotechnical exception.</w:t>
            </w:r>
          </w:p>
        </w:tc>
      </w:tr>
      <w:tr>
        <w:tc>
          <w:tcPr>
            <w:tcW w:type="dxa" w:w="1300"/>
            <w:tcBorders>
              <w:top w:val="single" w:color="D6DCE4" w:sz="1"/>
              <w:left w:val="single" w:color="D6DCE4" w:sz="1"/>
              <w:bottom w:val="single" w:color="D6DCE4" w:sz="1"/>
              <w:right w:val="single" w:color="D6DCE4" w:sz="1"/>
            </w:tcBorders>
            <w:shd w:fill="C55A11" w:val="clear"/>
            <w:tcMar>
              <w:top w:type="dxa" w:w="80"/>
              <w:left w:type="dxa" w:w="100"/>
              <w:bottom w:type="dxa" w:w="80"/>
              <w:right w:type="dxa" w:w="80"/>
            </w:tcMar>
            <w:vAlign w:val="top"/>
          </w:tcPr>
          <w:p>
            <w:r>
              <w:rPr>
                <w:rFonts w:ascii="Arial" w:cs="Arial" w:eastAsia="Arial" w:hAnsi="Arial"/>
                <w:b/>
                <w:bCs/>
                <w:color w:val="FFFFFF"/>
                <w:sz w:val="16"/>
                <w:szCs w:val="16"/>
              </w:rPr>
              <w:t xml:space="preserve">RST-E12</w:t>
            </w:r>
          </w:p>
        </w:tc>
        <w:tc>
          <w:tcPr>
            <w:tcW w:type="dxa" w:w="20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Residential Construction [ABSOLUTE — not on STD/BRD]</w:t>
            </w:r>
          </w:p>
        </w:tc>
        <w:tc>
          <w:tcPr>
            <w:tcW w:type="dxa" w:w="678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r>
              <w:rPr>
                <w:rFonts w:ascii="Arial" w:cs="Arial" w:eastAsia="Arial" w:hAnsi="Arial"/>
                <w:color w:val="1A1A1A"/>
                <w:sz w:val="16"/>
                <w:szCs w:val="16"/>
              </w:rPr>
              <w:t xml:space="preserve">All residential construction is excluded, including single-family homes, multifamily, condominiums, townhomes, mixed-use with residential component, and student housing. Not available as a rated-separately class. Absolute exclusion with no write-back.</w:t>
            </w:r>
          </w:p>
        </w:tc>
      </w:tr>
      <w:tr>
        <w:tc>
          <w:tcPr>
            <w:tcW w:type="dxa" w:w="1300"/>
            <w:tcBorders>
              <w:top w:val="single" w:color="D6DCE4" w:sz="1"/>
              <w:left w:val="single" w:color="D6DCE4" w:sz="1"/>
              <w:bottom w:val="single" w:color="D6DCE4" w:sz="1"/>
              <w:right w:val="single" w:color="D6DCE4" w:sz="1"/>
            </w:tcBorders>
            <w:shd w:fill="C55A11" w:val="clear"/>
            <w:tcMar>
              <w:top w:type="dxa" w:w="80"/>
              <w:left w:type="dxa" w:w="100"/>
              <w:bottom w:type="dxa" w:w="80"/>
              <w:right w:type="dxa" w:w="80"/>
            </w:tcMar>
            <w:vAlign w:val="top"/>
          </w:tcPr>
          <w:p>
            <w:r>
              <w:rPr>
                <w:rFonts w:ascii="Arial" w:cs="Arial" w:eastAsia="Arial" w:hAnsi="Arial"/>
                <w:b/>
                <w:bCs/>
                <w:color w:val="FFFFFF"/>
                <w:sz w:val="16"/>
                <w:szCs w:val="16"/>
              </w:rPr>
              <w:t xml:space="preserve">RST-E13</w:t>
            </w:r>
          </w:p>
        </w:tc>
        <w:tc>
          <w:tcPr>
            <w:tcW w:type="dxa" w:w="20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Damage to Your Work (l exclusion) [ENHANCED vs. STD-01]</w:t>
            </w:r>
          </w:p>
        </w:tc>
        <w:tc>
          <w:tcPr>
            <w:tcW w:type="dxa" w:w="67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r>
              <w:rPr>
                <w:rFonts w:ascii="Arial" w:cs="Arial" w:eastAsia="Arial" w:hAnsi="Arial"/>
                <w:color w:val="1A1A1A"/>
                <w:sz w:val="16"/>
                <w:szCs w:val="16"/>
              </w:rPr>
              <w:t xml:space="preserve">The 'your work' exclusion applies in full. The subcontractor exception is restricted: it applies only to damage to work performed by a named subcontractor listed on the subcontractor schedule attached to the policy at inception. Work by unnamed or subsequently added subcontractors does not qualify for the exception. No broadened subcontractor exception as available on the Broad Form.</w:t>
            </w:r>
          </w:p>
        </w:tc>
      </w:tr>
      <w:tr>
        <w:tc>
          <w:tcPr>
            <w:tcW w:type="dxa" w:w="1300"/>
            <w:tcBorders>
              <w:top w:val="single" w:color="D6DCE4" w:sz="1"/>
              <w:left w:val="single" w:color="D6DCE4" w:sz="1"/>
              <w:bottom w:val="single" w:color="D6DCE4" w:sz="1"/>
              <w:right w:val="single" w:color="D6DCE4" w:sz="1"/>
            </w:tcBorders>
            <w:shd w:fill="C55A11" w:val="clear"/>
            <w:tcMar>
              <w:top w:type="dxa" w:w="80"/>
              <w:left w:type="dxa" w:w="100"/>
              <w:bottom w:type="dxa" w:w="80"/>
              <w:right w:type="dxa" w:w="80"/>
            </w:tcMar>
            <w:vAlign w:val="top"/>
          </w:tcPr>
          <w:p>
            <w:r>
              <w:rPr>
                <w:rFonts w:ascii="Arial" w:cs="Arial" w:eastAsia="Arial" w:hAnsi="Arial"/>
                <w:b/>
                <w:bCs/>
                <w:color w:val="FFFFFF"/>
                <w:sz w:val="16"/>
                <w:szCs w:val="16"/>
              </w:rPr>
              <w:t xml:space="preserve">RST-E14</w:t>
            </w:r>
          </w:p>
        </w:tc>
        <w:tc>
          <w:tcPr>
            <w:tcW w:type="dxa" w:w="20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Completed Operations [SUBLIMIT — not on STD/BRD]</w:t>
            </w:r>
          </w:p>
        </w:tc>
        <w:tc>
          <w:tcPr>
            <w:tcW w:type="dxa" w:w="678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r>
              <w:rPr>
                <w:rFonts w:ascii="Arial" w:cs="Arial" w:eastAsia="Arial" w:hAnsi="Arial"/>
                <w:color w:val="1A1A1A"/>
                <w:sz w:val="16"/>
                <w:szCs w:val="16"/>
              </w:rPr>
              <w:t xml:space="preserve">Products and completed operations coverage is sublimited to $500,000 per occurrence and $500,000 in the aggregate, included within (not in addition to) the policy's general aggregate. The sublimit applies to all claims arising from work completed prior to the policy inception date, regardless of when the damage occurred or was discovered. Standard policy period applies; no extended tail.</w:t>
            </w:r>
          </w:p>
        </w:tc>
      </w:tr>
      <w:tr>
        <w:tc>
          <w:tcPr>
            <w:tcW w:type="dxa" w:w="1300"/>
            <w:tcBorders>
              <w:top w:val="single" w:color="D6DCE4" w:sz="1"/>
              <w:left w:val="single" w:color="D6DCE4" w:sz="1"/>
              <w:bottom w:val="single" w:color="D6DCE4" w:sz="1"/>
              <w:right w:val="single" w:color="D6DCE4" w:sz="1"/>
            </w:tcBorders>
            <w:shd w:fill="C55A11" w:val="clear"/>
            <w:tcMar>
              <w:top w:type="dxa" w:w="80"/>
              <w:left w:type="dxa" w:w="100"/>
              <w:bottom w:type="dxa" w:w="80"/>
              <w:right w:type="dxa" w:w="80"/>
            </w:tcMar>
            <w:vAlign w:val="top"/>
          </w:tcPr>
          <w:p>
            <w:r>
              <w:rPr>
                <w:rFonts w:ascii="Arial" w:cs="Arial" w:eastAsia="Arial" w:hAnsi="Arial"/>
                <w:b/>
                <w:bCs/>
                <w:color w:val="FFFFFF"/>
                <w:sz w:val="16"/>
                <w:szCs w:val="16"/>
              </w:rPr>
              <w:t xml:space="preserve">RST-E15</w:t>
            </w:r>
          </w:p>
        </w:tc>
        <w:tc>
          <w:tcPr>
            <w:tcW w:type="dxa" w:w="20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Nuclear Venue Sublimit [ENDORSEMENT AVAILABLE — not on STD/BRD]</w:t>
            </w:r>
          </w:p>
        </w:tc>
        <w:tc>
          <w:tcPr>
            <w:tcW w:type="dxa" w:w="67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r>
              <w:rPr>
                <w:rFonts w:ascii="Arial" w:cs="Arial" w:eastAsia="Arial" w:hAnsi="Arial"/>
                <w:color w:val="1A1A1A"/>
                <w:sz w:val="16"/>
                <w:szCs w:val="16"/>
              </w:rPr>
              <w:t xml:space="preserve">An optional endorsement (MSI-NV-RST-01) is available to further restrict coverage in nuclear venue states (CA, NV, FL, CO) to a sublimited each-occurrence amount not less than $500,000 and not more than $1,000,000, at underwriting discretion. The endorsement is available only on the Restricted Form and is priced separately. See Venue Intelligence document MSI-VI-2025 for nuclear venue classifications.</w:t>
            </w:r>
          </w:p>
        </w:tc>
      </w:tr>
      <w:tr>
        <w:tc>
          <w:tcPr>
            <w:tcW w:type="dxa" w:w="1300"/>
            <w:tcBorders>
              <w:top w:val="single" w:color="D6DCE4" w:sz="1"/>
              <w:left w:val="single" w:color="D6DCE4" w:sz="1"/>
              <w:bottom w:val="single" w:color="D6DCE4" w:sz="1"/>
              <w:right w:val="single" w:color="D6DCE4" w:sz="1"/>
            </w:tcBorders>
            <w:shd w:fill="C55A11" w:val="clear"/>
            <w:tcMar>
              <w:top w:type="dxa" w:w="80"/>
              <w:left w:type="dxa" w:w="100"/>
              <w:bottom w:type="dxa" w:w="80"/>
              <w:right w:type="dxa" w:w="80"/>
            </w:tcMar>
            <w:vAlign w:val="top"/>
          </w:tcPr>
          <w:p>
            <w:r>
              <w:rPr>
                <w:rFonts w:ascii="Arial" w:cs="Arial" w:eastAsia="Arial" w:hAnsi="Arial"/>
                <w:b/>
                <w:bCs/>
                <w:color w:val="FFFFFF"/>
                <w:sz w:val="16"/>
                <w:szCs w:val="16"/>
              </w:rPr>
              <w:t xml:space="preserve">RST-E16</w:t>
            </w:r>
          </w:p>
        </w:tc>
        <w:tc>
          <w:tcPr>
            <w:tcW w:type="dxa" w:w="20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Known Injury / Prior Work [ENHANCED vs. STD-01]</w:t>
            </w:r>
          </w:p>
        </w:tc>
        <w:tc>
          <w:tcPr>
            <w:tcW w:type="dxa" w:w="678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r>
              <w:rPr>
                <w:rFonts w:ascii="Arial" w:cs="Arial" w:eastAsia="Arial" w:hAnsi="Arial"/>
                <w:color w:val="1A1A1A"/>
                <w:sz w:val="16"/>
                <w:szCs w:val="16"/>
              </w:rPr>
              <w:t xml:space="preserve">The known prior work exclusion is extended to exclude property damage arising from any work performed more than 5 years prior to the policy inception date, regardless of when the damage was discovered or first reported. This effectively limits completed operations exposure to the 5 years immediately preceding the policy period on Restricted Form risks.</w:t>
            </w:r>
          </w:p>
        </w:tc>
      </w:tr>
      <w:tr>
        <w:tc>
          <w:tcPr>
            <w:tcW w:type="dxa" w:w="1300"/>
            <w:tcBorders>
              <w:top w:val="single" w:color="D6DCE4" w:sz="1"/>
              <w:left w:val="single" w:color="D6DCE4" w:sz="1"/>
              <w:bottom w:val="single" w:color="D6DCE4" w:sz="1"/>
              <w:right w:val="single" w:color="D6DCE4" w:sz="1"/>
            </w:tcBorders>
            <w:shd w:fill="C55A11" w:val="clear"/>
            <w:tcMar>
              <w:top w:type="dxa" w:w="80"/>
              <w:left w:type="dxa" w:w="100"/>
              <w:bottom w:type="dxa" w:w="80"/>
              <w:right w:type="dxa" w:w="80"/>
            </w:tcMar>
            <w:vAlign w:val="top"/>
          </w:tcPr>
          <w:p>
            <w:r>
              <w:rPr>
                <w:rFonts w:ascii="Arial" w:cs="Arial" w:eastAsia="Arial" w:hAnsi="Arial"/>
                <w:b/>
                <w:bCs/>
                <w:color w:val="FFFFFF"/>
                <w:sz w:val="16"/>
                <w:szCs w:val="16"/>
              </w:rPr>
              <w:t xml:space="preserve">RST-E17</w:t>
            </w:r>
          </w:p>
        </w:tc>
        <w:tc>
          <w:tcPr>
            <w:tcW w:type="dxa" w:w="20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Cross-Liability / Separation of Insureds [RESTRICTED vs. STD-01]</w:t>
            </w:r>
          </w:p>
        </w:tc>
        <w:tc>
          <w:tcPr>
            <w:tcW w:type="dxa" w:w="67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r>
              <w:rPr>
                <w:rFonts w:ascii="Arial" w:cs="Arial" w:eastAsia="Arial" w:hAnsi="Arial"/>
                <w:color w:val="1A1A1A"/>
                <w:sz w:val="16"/>
                <w:szCs w:val="16"/>
              </w:rPr>
              <w:t xml:space="preserve">The separation of insureds clause does not apply to claims by or between the named insureds listed on the policy declarations. Where two or more entities are named insureds (e.g., parent GC and subsidiary), claims between them are not covered under the Restricted Form.</w:t>
            </w:r>
          </w:p>
        </w:tc>
      </w:tr>
      <w:tr>
        <w:tc>
          <w:tcPr>
            <w:tcW w:type="dxa" w:w="1300"/>
            <w:tcBorders>
              <w:top w:val="single" w:color="D6DCE4" w:sz="1"/>
              <w:left w:val="single" w:color="D6DCE4" w:sz="1"/>
              <w:bottom w:val="single" w:color="D6DCE4" w:sz="1"/>
              <w:right w:val="single" w:color="D6DCE4" w:sz="1"/>
            </w:tcBorders>
            <w:shd w:fill="C55A11" w:val="clear"/>
            <w:tcMar>
              <w:top w:type="dxa" w:w="80"/>
              <w:left w:type="dxa" w:w="100"/>
              <w:bottom w:type="dxa" w:w="80"/>
              <w:right w:type="dxa" w:w="80"/>
            </w:tcMar>
            <w:vAlign w:val="top"/>
          </w:tcPr>
          <w:p>
            <w:r>
              <w:rPr>
                <w:rFonts w:ascii="Arial" w:cs="Arial" w:eastAsia="Arial" w:hAnsi="Arial"/>
                <w:b/>
                <w:bCs/>
                <w:color w:val="FFFFFF"/>
                <w:sz w:val="16"/>
                <w:szCs w:val="16"/>
              </w:rPr>
              <w:t xml:space="preserve">RST-E18</w:t>
            </w:r>
          </w:p>
        </w:tc>
        <w:tc>
          <w:tcPr>
            <w:tcW w:type="dxa" w:w="20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Silica / Crystalline Silica [ENHANCED vs. STD-01]</w:t>
            </w:r>
          </w:p>
        </w:tc>
        <w:tc>
          <w:tcPr>
            <w:tcW w:type="dxa" w:w="678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r>
              <w:rPr>
                <w:rFonts w:ascii="Arial" w:cs="Arial" w:eastAsia="Arial" w:hAnsi="Arial"/>
                <w:color w:val="1A1A1A"/>
                <w:sz w:val="16"/>
                <w:szCs w:val="16"/>
              </w:rPr>
              <w:t xml:space="preserve">Absolute exclusion consistent with all forms, but the Restricted Form exclusion also explicitly excludes related respiratory conditions, occupational diseases, and any claim where silica exposure is alleged as a contributing factor, regardless of the primary diagnosis.</w:t>
            </w:r>
          </w:p>
        </w:tc>
      </w:tr>
      <w:tr>
        <w:tc>
          <w:tcPr>
            <w:tcW w:type="dxa" w:w="1300"/>
            <w:tcBorders>
              <w:top w:val="single" w:color="D6DCE4" w:sz="1"/>
              <w:left w:val="single" w:color="D6DCE4" w:sz="1"/>
              <w:bottom w:val="single" w:color="D6DCE4" w:sz="1"/>
              <w:right w:val="single" w:color="D6DCE4" w:sz="1"/>
            </w:tcBorders>
            <w:shd w:fill="C55A11" w:val="clear"/>
            <w:tcMar>
              <w:top w:type="dxa" w:w="80"/>
              <w:left w:type="dxa" w:w="100"/>
              <w:bottom w:type="dxa" w:w="80"/>
              <w:right w:type="dxa" w:w="80"/>
            </w:tcMar>
            <w:vAlign w:val="top"/>
          </w:tcPr>
          <w:p>
            <w:r>
              <w:rPr>
                <w:rFonts w:ascii="Arial" w:cs="Arial" w:eastAsia="Arial" w:hAnsi="Arial"/>
                <w:b/>
                <w:bCs/>
                <w:color w:val="FFFFFF"/>
                <w:sz w:val="16"/>
                <w:szCs w:val="16"/>
              </w:rPr>
              <w:t xml:space="preserve">RST-E19</w:t>
            </w:r>
          </w:p>
        </w:tc>
        <w:tc>
          <w:tcPr>
            <w:tcW w:type="dxa" w:w="20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80"/>
            </w:tcMar>
            <w:vAlign w:val="top"/>
          </w:tcPr>
          <w:p>
            <w:r>
              <w:rPr>
                <w:rFonts w:ascii="Arial" w:cs="Arial" w:eastAsia="Arial" w:hAnsi="Arial"/>
                <w:b/>
                <w:bCs/>
                <w:color w:val="1B3A5C"/>
                <w:sz w:val="18"/>
                <w:szCs w:val="18"/>
              </w:rPr>
              <w:t xml:space="preserve">Asbestos / Lead / Hazardous Materials [ENHANCED vs. STD-01]</w:t>
            </w:r>
          </w:p>
        </w:tc>
        <w:tc>
          <w:tcPr>
            <w:tcW w:type="dxa" w:w="67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r>
              <w:rPr>
                <w:rFonts w:ascii="Arial" w:cs="Arial" w:eastAsia="Arial" w:hAnsi="Arial"/>
                <w:color w:val="1A1A1A"/>
                <w:sz w:val="16"/>
                <w:szCs w:val="16"/>
              </w:rPr>
              <w:t xml:space="preserve">Exclusion is enhanced to include an indemnity bar: the company has no obligation to pay any judgment, settlement, or award, or to fund any defense costs, for any claim where asbestos, lead, or designated hazardous materials are a contributing factor, regardless of trigger theory or allocation methodology.</w:t>
            </w:r>
          </w:p>
        </w:tc>
      </w:tr>
      <w:tr>
        <w:tc>
          <w:tcPr>
            <w:tcW w:type="dxa" w:w="1300"/>
            <w:tcBorders>
              <w:top w:val="single" w:color="D6DCE4" w:sz="1"/>
              <w:left w:val="single" w:color="D6DCE4" w:sz="1"/>
              <w:bottom w:val="single" w:color="D6DCE4" w:sz="1"/>
              <w:right w:val="single" w:color="D6DCE4" w:sz="1"/>
            </w:tcBorders>
            <w:shd w:fill="C55A11" w:val="clear"/>
            <w:tcMar>
              <w:top w:type="dxa" w:w="80"/>
              <w:left w:type="dxa" w:w="100"/>
              <w:bottom w:type="dxa" w:w="80"/>
              <w:right w:type="dxa" w:w="80"/>
            </w:tcMar>
            <w:vAlign w:val="top"/>
          </w:tcPr>
          <w:p>
            <w:r>
              <w:rPr>
                <w:rFonts w:ascii="Arial" w:cs="Arial" w:eastAsia="Arial" w:hAnsi="Arial"/>
                <w:b/>
                <w:bCs/>
                <w:color w:val="FFFFFF"/>
                <w:sz w:val="16"/>
                <w:szCs w:val="16"/>
              </w:rPr>
              <w:t xml:space="preserve">RST-E20</w:t>
            </w:r>
          </w:p>
        </w:tc>
        <w:tc>
          <w:tcPr>
            <w:tcW w:type="dxa" w:w="20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80"/>
            </w:tcMar>
            <w:vAlign w:val="top"/>
          </w:tcPr>
          <w:p>
            <w:r>
              <w:rPr>
                <w:rFonts w:ascii="Arial" w:cs="Arial" w:eastAsia="Arial" w:hAnsi="Arial"/>
                <w:b/>
                <w:bCs/>
                <w:color w:val="1B3A5C"/>
                <w:sz w:val="18"/>
                <w:szCs w:val="18"/>
              </w:rPr>
              <w:t xml:space="preserve">Additional Insured — Not Available</w:t>
            </w:r>
          </w:p>
        </w:tc>
        <w:tc>
          <w:tcPr>
            <w:tcW w:type="dxa" w:w="678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r>
              <w:rPr>
                <w:rFonts w:ascii="Arial" w:cs="Arial" w:eastAsia="Arial" w:hAnsi="Arial"/>
                <w:color w:val="1A1A1A"/>
                <w:sz w:val="16"/>
                <w:szCs w:val="16"/>
              </w:rPr>
              <w:t xml:space="preserve">No AI endorsements are available on the Restricted Form. Any certificate of insurance purporting to extend AI coverage under an MSI-CGL-RST-01 policy is invalid and does not create coverage. Insureds requiring AI coverage must qualify for the Standard or Broad Form.</w:t>
            </w:r>
          </w:p>
        </w:tc>
      </w:tr>
    </w:tbl>
    <w:p>
      <w:pPr>
        <w:spacing w:after="0" w:before="0"/>
      </w:pPr>
      <w:r>
        <w:t xml:space="preserve"/>
      </w:r>
    </w:p>
    <w:p>
      <w:r>
        <w:br w:type="page"/>
      </w:r>
    </w:p>
    <w:p>
      <w:pPr>
        <w:spacing w:after="120" w:before="240"/>
      </w:pPr>
      <w:r>
        <w:rPr>
          <w:rFonts w:ascii="Arial" w:cs="Arial" w:eastAsia="Arial" w:hAnsi="Arial"/>
          <w:b/>
          <w:bCs/>
          <w:color w:val="1B3A5C"/>
          <w:sz w:val="32"/>
          <w:szCs w:val="32"/>
        </w:rPr>
        <w:t xml:space="preserve">Section 5 — Claims Cross-Reference: Form Selection vs. Loss Outcomes</w:t>
      </w:r>
    </w:p>
    <w:p>
      <w:pPr>
        <w:pBdr>
          <w:bottom w:val="single" w:color="2E75B6" w:sz="6" w:space="1"/>
        </w:pBdr>
        <w:spacing w:after="100" w:before="100"/>
      </w:pPr>
    </w:p>
    <w:p>
      <w:pPr>
        <w:spacing w:after="80" w:before="0"/>
      </w:pPr>
      <w:r>
        <w:rPr>
          <w:rFonts w:ascii="Arial" w:cs="Arial" w:eastAsia="Arial" w:hAnsi="Arial"/>
          <w:color w:val="1A1A1A"/>
          <w:sz w:val="20"/>
          <w:szCs w:val="20"/>
        </w:rPr>
        <w:t xml:space="preserve">The following table cross-references current active claims in the Meridian construction program against the policy form under which each risk was written. This cross-reference supports GP Platform cross-domain reasoning between Underwriting (form selection) and Claims (coverage complexity and reserve severity).</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700"/>
        <w:gridCol w:w="1400"/>
        <w:gridCol w:w="1200"/>
        <w:gridCol w:w="1580"/>
      </w:tblGrid>
      <w:tr>
        <w:tc>
          <w:tcPr>
            <w:tcW w:type="dxa" w:w="18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Policy</w:t>
            </w:r>
          </w:p>
        </w:tc>
        <w:tc>
          <w:tcPr>
            <w:tcW w:type="dxa" w:w="24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Insured / Project</w:t>
            </w:r>
          </w:p>
        </w:tc>
        <w:tc>
          <w:tcPr>
            <w:tcW w:type="dxa" w:w="17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Form</w:t>
            </w:r>
          </w:p>
        </w:tc>
        <w:tc>
          <w:tcPr>
            <w:tcW w:type="dxa" w:w="14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Claim No.</w:t>
            </w:r>
          </w:p>
        </w:tc>
        <w:tc>
          <w:tcPr>
            <w:tcW w:type="dxa" w:w="12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Reserve</w:t>
            </w:r>
          </w:p>
        </w:tc>
        <w:tc>
          <w:tcPr>
            <w:tcW w:type="dxa" w:w="158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Form-Driven Coverage Issue</w:t>
            </w:r>
          </w:p>
        </w:tc>
      </w:tr>
      <w:tr>
        <w:tc>
          <w:tcPr>
            <w:tcW w:type="dxa" w:w="18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pPr>
              <w:jc w:val="left"/>
            </w:pPr>
            <w:r>
              <w:rPr>
                <w:rFonts w:ascii="Arial" w:cs="Arial" w:eastAsia="Arial" w:hAnsi="Arial"/>
                <w:b w:val="false"/>
                <w:bCs w:val="false"/>
                <w:color w:val="1A1A1A"/>
                <w:sz w:val="18"/>
                <w:szCs w:val="18"/>
              </w:rPr>
              <w:t xml:space="preserve">MSI-2021-04821</w:t>
            </w:r>
          </w:p>
        </w:tc>
        <w:tc>
          <w:tcPr>
            <w:tcW w:type="dxa" w:w="24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pPr>
              <w:jc w:val="left"/>
            </w:pPr>
            <w:r>
              <w:rPr>
                <w:rFonts w:ascii="Arial" w:cs="Arial" w:eastAsia="Arial" w:hAnsi="Arial"/>
                <w:b w:val="false"/>
                <w:bCs w:val="false"/>
                <w:color w:val="1A1A1A"/>
                <w:sz w:val="18"/>
                <w:szCs w:val="18"/>
              </w:rPr>
              <w:t xml:space="preserve">Pacific Crest Builders / Sonoma Heights CA</w:t>
            </w:r>
          </w:p>
        </w:tc>
        <w:tc>
          <w:tcPr>
            <w:tcW w:type="dxa" w:w="1700"/>
            <w:tcBorders>
              <w:top w:val="single" w:color="D6DCE4" w:sz="1"/>
              <w:left w:val="single" w:color="D6DCE4" w:sz="1"/>
              <w:bottom w:val="single" w:color="D6DCE4" w:sz="1"/>
              <w:right w:val="single" w:color="D6DCE4" w:sz="1"/>
            </w:tcBorders>
            <w:shd w:fill="E0F7FA" w:val="clear"/>
            <w:tcMar>
              <w:top w:type="dxa" w:w="80"/>
              <w:left w:type="dxa" w:w="100"/>
              <w:bottom w:type="dxa" w:w="80"/>
              <w:right w:type="dxa" w:w="100"/>
            </w:tcMar>
            <w:vAlign w:val="top"/>
          </w:tcPr>
          <w:p>
            <w:pPr>
              <w:jc w:val="left"/>
            </w:pPr>
            <w:r>
              <w:rPr>
                <w:rFonts w:ascii="Arial" w:cs="Arial" w:eastAsia="Arial" w:hAnsi="Arial"/>
                <w:b/>
                <w:bCs/>
                <w:color w:val="006064"/>
                <w:sz w:val="18"/>
                <w:szCs w:val="18"/>
              </w:rPr>
              <w:t xml:space="preserve">MSI-CGL-BRD-01</w:t>
            </w:r>
          </w:p>
        </w:tc>
        <w:tc>
          <w:tcPr>
            <w:tcW w:type="dxa" w:w="14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pPr>
              <w:jc w:val="left"/>
            </w:pPr>
            <w:r>
              <w:rPr>
                <w:rFonts w:ascii="Arial" w:cs="Arial" w:eastAsia="Arial" w:hAnsi="Arial"/>
                <w:b w:val="false"/>
                <w:bCs w:val="false"/>
                <w:color w:val="1A1A1A"/>
                <w:sz w:val="18"/>
                <w:szCs w:val="18"/>
              </w:rPr>
              <w:t xml:space="preserve">MSI-CL-2023-0847</w:t>
            </w:r>
          </w:p>
        </w:tc>
        <w:tc>
          <w:tcPr>
            <w:tcW w:type="dxa" w:w="12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pPr>
              <w:jc w:val="left"/>
            </w:pPr>
            <w:r>
              <w:rPr>
                <w:rFonts w:ascii="Arial" w:cs="Arial" w:eastAsia="Arial" w:hAnsi="Arial"/>
                <w:b/>
                <w:bCs/>
                <w:color w:val="C55A11"/>
                <w:sz w:val="18"/>
                <w:szCs w:val="18"/>
              </w:rPr>
              <w:t xml:space="preserve">$2,800,000</w:t>
            </w:r>
          </w:p>
        </w:tc>
        <w:tc>
          <w:tcPr>
            <w:tcW w:type="dxa" w:w="15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pPr>
              <w:jc w:val="left"/>
            </w:pPr>
            <w:r>
              <w:rPr>
                <w:rFonts w:ascii="Arial" w:cs="Arial" w:eastAsia="Arial" w:hAnsi="Arial"/>
                <w:b w:val="false"/>
                <w:bCs w:val="false"/>
                <w:color w:val="1A1A1A"/>
                <w:sz w:val="16"/>
                <w:szCs w:val="16"/>
              </w:rPr>
              <w:t xml:space="preserve">Broad Form AI trigger — HOA tendered without written contract. Mold sublimit at issue. Extended comp ops tail.</w:t>
            </w:r>
          </w:p>
        </w:tc>
      </w:tr>
      <w:tr>
        <w:tc>
          <w:tcPr>
            <w:tcW w:type="dxa" w:w="18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pPr>
              <w:jc w:val="left"/>
            </w:pPr>
            <w:r>
              <w:rPr>
                <w:rFonts w:ascii="Arial" w:cs="Arial" w:eastAsia="Arial" w:hAnsi="Arial"/>
                <w:b w:val="false"/>
                <w:bCs w:val="false"/>
                <w:color w:val="1A1A1A"/>
                <w:sz w:val="18"/>
                <w:szCs w:val="18"/>
              </w:rPr>
              <w:t xml:space="preserve">MSI-2021-04103</w:t>
            </w:r>
          </w:p>
        </w:tc>
        <w:tc>
          <w:tcPr>
            <w:tcW w:type="dxa" w:w="24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pPr>
              <w:jc w:val="left"/>
            </w:pPr>
            <w:r>
              <w:rPr>
                <w:rFonts w:ascii="Arial" w:cs="Arial" w:eastAsia="Arial" w:hAnsi="Arial"/>
                <w:b w:val="false"/>
                <w:bCs w:val="false"/>
                <w:color w:val="1A1A1A"/>
                <w:sz w:val="18"/>
                <w:szCs w:val="18"/>
              </w:rPr>
              <w:t xml:space="preserve">Golden State Builders / Vista Verde Fremont CA</w:t>
            </w:r>
          </w:p>
        </w:tc>
        <w:tc>
          <w:tcPr>
            <w:tcW w:type="dxa" w:w="1700"/>
            <w:tcBorders>
              <w:top w:val="single" w:color="D6DCE4" w:sz="1"/>
              <w:left w:val="single" w:color="D6DCE4" w:sz="1"/>
              <w:bottom w:val="single" w:color="D6DCE4" w:sz="1"/>
              <w:right w:val="single" w:color="D6DCE4" w:sz="1"/>
            </w:tcBorders>
            <w:shd w:fill="E0F7FA" w:val="clear"/>
            <w:tcMar>
              <w:top w:type="dxa" w:w="80"/>
              <w:left w:type="dxa" w:w="100"/>
              <w:bottom w:type="dxa" w:w="80"/>
              <w:right w:type="dxa" w:w="100"/>
            </w:tcMar>
            <w:vAlign w:val="top"/>
          </w:tcPr>
          <w:p>
            <w:pPr>
              <w:jc w:val="left"/>
            </w:pPr>
            <w:r>
              <w:rPr>
                <w:rFonts w:ascii="Arial" w:cs="Arial" w:eastAsia="Arial" w:hAnsi="Arial"/>
                <w:b/>
                <w:bCs/>
                <w:color w:val="006064"/>
                <w:sz w:val="18"/>
                <w:szCs w:val="18"/>
              </w:rPr>
              <w:t xml:space="preserve">MSI-CGL-BRD-01</w:t>
            </w:r>
          </w:p>
        </w:tc>
        <w:tc>
          <w:tcPr>
            <w:tcW w:type="dxa" w:w="14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pPr>
              <w:jc w:val="left"/>
            </w:pPr>
            <w:r>
              <w:rPr>
                <w:rFonts w:ascii="Arial" w:cs="Arial" w:eastAsia="Arial" w:hAnsi="Arial"/>
                <w:b w:val="false"/>
                <w:bCs w:val="false"/>
                <w:color w:val="1A1A1A"/>
                <w:sz w:val="18"/>
                <w:szCs w:val="18"/>
              </w:rPr>
              <w:t xml:space="preserve">MSI-CL-2023-0412</w:t>
            </w:r>
          </w:p>
        </w:tc>
        <w:tc>
          <w:tcPr>
            <w:tcW w:type="dxa" w:w="12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pPr>
              <w:jc w:val="left"/>
            </w:pPr>
            <w:r>
              <w:rPr>
                <w:rFonts w:ascii="Arial" w:cs="Arial" w:eastAsia="Arial" w:hAnsi="Arial"/>
                <w:b/>
                <w:bCs/>
                <w:color w:val="C55A11"/>
                <w:sz w:val="18"/>
                <w:szCs w:val="18"/>
              </w:rPr>
              <w:t xml:space="preserve">$1,950,000</w:t>
            </w:r>
          </w:p>
        </w:tc>
        <w:tc>
          <w:tcPr>
            <w:tcW w:type="dxa" w:w="158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pPr>
              <w:jc w:val="left"/>
            </w:pPr>
            <w:r>
              <w:rPr>
                <w:rFonts w:ascii="Arial" w:cs="Arial" w:eastAsia="Arial" w:hAnsi="Arial"/>
                <w:b w:val="false"/>
                <w:bCs w:val="false"/>
                <w:color w:val="1A1A1A"/>
                <w:sz w:val="16"/>
                <w:szCs w:val="16"/>
              </w:rPr>
              <w:t xml:space="preserve">Subcontractor exception under BRD-E12 broadened. Comp ops tail 10 yr. Pacific Rim cluster.</w:t>
            </w:r>
          </w:p>
        </w:tc>
      </w:tr>
      <w:tr>
        <w:tc>
          <w:tcPr>
            <w:tcW w:type="dxa" w:w="18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pPr>
              <w:jc w:val="left"/>
            </w:pPr>
            <w:r>
              <w:rPr>
                <w:rFonts w:ascii="Arial" w:cs="Arial" w:eastAsia="Arial" w:hAnsi="Arial"/>
                <w:b w:val="false"/>
                <w:bCs w:val="false"/>
                <w:color w:val="1A1A1A"/>
                <w:sz w:val="18"/>
                <w:szCs w:val="18"/>
              </w:rPr>
              <w:t xml:space="preserve">MSI-2021-04224</w:t>
            </w:r>
          </w:p>
        </w:tc>
        <w:tc>
          <w:tcPr>
            <w:tcW w:type="dxa" w:w="24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pPr>
              <w:jc w:val="left"/>
            </w:pPr>
            <w:r>
              <w:rPr>
                <w:rFonts w:ascii="Arial" w:cs="Arial" w:eastAsia="Arial" w:hAnsi="Arial"/>
                <w:b w:val="false"/>
                <w:bCs w:val="false"/>
                <w:color w:val="1A1A1A"/>
                <w:sz w:val="18"/>
                <w:szCs w:val="18"/>
              </w:rPr>
              <w:t xml:space="preserve">Bay Builders Group / Meridian Lofts San Jose CA</w:t>
            </w:r>
          </w:p>
        </w:tc>
        <w:tc>
          <w:tcPr>
            <w:tcW w:type="dxa" w:w="1700"/>
            <w:tcBorders>
              <w:top w:val="single" w:color="D6DCE4" w:sz="1"/>
              <w:left w:val="single" w:color="D6DCE4" w:sz="1"/>
              <w:bottom w:val="single" w:color="D6DCE4" w:sz="1"/>
              <w:right w:val="single" w:color="D6DCE4" w:sz="1"/>
            </w:tcBorders>
            <w:shd w:fill="E0F7FA" w:val="clear"/>
            <w:tcMar>
              <w:top w:type="dxa" w:w="80"/>
              <w:left w:type="dxa" w:w="100"/>
              <w:bottom w:type="dxa" w:w="80"/>
              <w:right w:type="dxa" w:w="100"/>
            </w:tcMar>
            <w:vAlign w:val="top"/>
          </w:tcPr>
          <w:p>
            <w:pPr>
              <w:jc w:val="left"/>
            </w:pPr>
            <w:r>
              <w:rPr>
                <w:rFonts w:ascii="Arial" w:cs="Arial" w:eastAsia="Arial" w:hAnsi="Arial"/>
                <w:b/>
                <w:bCs/>
                <w:color w:val="006064"/>
                <w:sz w:val="18"/>
                <w:szCs w:val="18"/>
              </w:rPr>
              <w:t xml:space="preserve">MSI-CGL-BRD-01</w:t>
            </w:r>
          </w:p>
        </w:tc>
        <w:tc>
          <w:tcPr>
            <w:tcW w:type="dxa" w:w="14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pPr>
              <w:jc w:val="left"/>
            </w:pPr>
            <w:r>
              <w:rPr>
                <w:rFonts w:ascii="Arial" w:cs="Arial" w:eastAsia="Arial" w:hAnsi="Arial"/>
                <w:b w:val="false"/>
                <w:bCs w:val="false"/>
                <w:color w:val="1A1A1A"/>
                <w:sz w:val="18"/>
                <w:szCs w:val="18"/>
              </w:rPr>
              <w:t xml:space="preserve">MSI-CL-2024-0118</w:t>
            </w:r>
          </w:p>
        </w:tc>
        <w:tc>
          <w:tcPr>
            <w:tcW w:type="dxa" w:w="120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pPr>
              <w:jc w:val="left"/>
            </w:pPr>
            <w:r>
              <w:rPr>
                <w:rFonts w:ascii="Arial" w:cs="Arial" w:eastAsia="Arial" w:hAnsi="Arial"/>
                <w:b/>
                <w:bCs/>
                <w:color w:val="C55A11"/>
                <w:sz w:val="18"/>
                <w:szCs w:val="18"/>
              </w:rPr>
              <w:t xml:space="preserve">$1,620,000</w:t>
            </w:r>
          </w:p>
        </w:tc>
        <w:tc>
          <w:tcPr>
            <w:tcW w:type="dxa" w:w="1580"/>
            <w:tcBorders>
              <w:top w:val="single" w:color="D6DCE4" w:sz="1"/>
              <w:left w:val="single" w:color="D6DCE4" w:sz="1"/>
              <w:bottom w:val="single" w:color="D6DCE4" w:sz="1"/>
              <w:right w:val="single" w:color="D6DCE4" w:sz="1"/>
            </w:tcBorders>
            <w:shd w:fill="FFFFFF" w:val="clear"/>
            <w:tcMar>
              <w:top w:type="dxa" w:w="80"/>
              <w:left w:type="dxa" w:w="100"/>
              <w:bottom w:type="dxa" w:w="80"/>
              <w:right w:type="dxa" w:w="100"/>
            </w:tcMar>
            <w:vAlign w:val="top"/>
          </w:tcPr>
          <w:p>
            <w:pPr>
              <w:jc w:val="left"/>
            </w:pPr>
            <w:r>
              <w:rPr>
                <w:rFonts w:ascii="Arial" w:cs="Arial" w:eastAsia="Arial" w:hAnsi="Arial"/>
                <w:b w:val="false"/>
                <w:bCs w:val="false"/>
                <w:color w:val="1A1A1A"/>
                <w:sz w:val="16"/>
                <w:szCs w:val="16"/>
              </w:rPr>
              <w:t xml:space="preserve">Broad Form AI for HOA. Fungi sublimit $100K triggered. Pacific Rim cluster.</w:t>
            </w:r>
          </w:p>
        </w:tc>
      </w:tr>
      <w:tr>
        <w:tc>
          <w:tcPr>
            <w:tcW w:type="dxa" w:w="18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pPr>
              <w:jc w:val="left"/>
            </w:pPr>
            <w:r>
              <w:rPr>
                <w:rFonts w:ascii="Arial" w:cs="Arial" w:eastAsia="Arial" w:hAnsi="Arial"/>
                <w:b w:val="false"/>
                <w:bCs w:val="false"/>
                <w:color w:val="1A1A1A"/>
                <w:sz w:val="18"/>
                <w:szCs w:val="18"/>
              </w:rPr>
              <w:t xml:space="preserve">MSI-2021-03947</w:t>
            </w:r>
          </w:p>
        </w:tc>
        <w:tc>
          <w:tcPr>
            <w:tcW w:type="dxa" w:w="24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pPr>
              <w:jc w:val="left"/>
            </w:pPr>
            <w:r>
              <w:rPr>
                <w:rFonts w:ascii="Arial" w:cs="Arial" w:eastAsia="Arial" w:hAnsi="Arial"/>
                <w:b w:val="false"/>
                <w:bCs w:val="false"/>
                <w:color w:val="1A1A1A"/>
                <w:sz w:val="18"/>
                <w:szCs w:val="18"/>
              </w:rPr>
              <w:t xml:space="preserve">Sierra Nevada Commercial / Crescent Office Plaza NV</w:t>
            </w:r>
          </w:p>
        </w:tc>
        <w:tc>
          <w:tcPr>
            <w:tcW w:type="dxa" w:w="1700"/>
            <w:tcBorders>
              <w:top w:val="single" w:color="D6DCE4" w:sz="1"/>
              <w:left w:val="single" w:color="D6DCE4" w:sz="1"/>
              <w:bottom w:val="single" w:color="D6DCE4" w:sz="1"/>
              <w:right w:val="single" w:color="D6DCE4" w:sz="1"/>
            </w:tcBorders>
            <w:shd w:fill="E8EEF5" w:val="clear"/>
            <w:tcMar>
              <w:top w:type="dxa" w:w="80"/>
              <w:left w:type="dxa" w:w="100"/>
              <w:bottom w:type="dxa" w:w="80"/>
              <w:right w:type="dxa" w:w="100"/>
            </w:tcMar>
            <w:vAlign w:val="top"/>
          </w:tcPr>
          <w:p>
            <w:pPr>
              <w:jc w:val="left"/>
            </w:pPr>
            <w:r>
              <w:rPr>
                <w:rFonts w:ascii="Arial" w:cs="Arial" w:eastAsia="Arial" w:hAnsi="Arial"/>
                <w:b/>
                <w:bCs/>
                <w:color w:val="2E75B6"/>
                <w:sz w:val="18"/>
                <w:szCs w:val="18"/>
              </w:rPr>
              <w:t xml:space="preserve">MSI-CGL-STD-01</w:t>
            </w:r>
          </w:p>
        </w:tc>
        <w:tc>
          <w:tcPr>
            <w:tcW w:type="dxa" w:w="14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pPr>
              <w:jc w:val="left"/>
            </w:pPr>
            <w:r>
              <w:rPr>
                <w:rFonts w:ascii="Arial" w:cs="Arial" w:eastAsia="Arial" w:hAnsi="Arial"/>
                <w:b w:val="false"/>
                <w:bCs w:val="false"/>
                <w:color w:val="1A1A1A"/>
                <w:sz w:val="18"/>
                <w:szCs w:val="18"/>
              </w:rPr>
              <w:t xml:space="preserve">MSI-CL-2023-0562</w:t>
            </w:r>
          </w:p>
        </w:tc>
        <w:tc>
          <w:tcPr>
            <w:tcW w:type="dxa" w:w="120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pPr>
              <w:jc w:val="left"/>
            </w:pPr>
            <w:r>
              <w:rPr>
                <w:rFonts w:ascii="Arial" w:cs="Arial" w:eastAsia="Arial" w:hAnsi="Arial"/>
                <w:b/>
                <w:bCs/>
                <w:color w:val="1A1A1A"/>
                <w:sz w:val="18"/>
                <w:szCs w:val="18"/>
              </w:rPr>
              <w:t xml:space="preserve">$1,400,000</w:t>
            </w:r>
          </w:p>
        </w:tc>
        <w:tc>
          <w:tcPr>
            <w:tcW w:type="dxa" w:w="1580"/>
            <w:tcBorders>
              <w:top w:val="single" w:color="D6DCE4" w:sz="1"/>
              <w:left w:val="single" w:color="D6DCE4" w:sz="1"/>
              <w:bottom w:val="single" w:color="D6DCE4" w:sz="1"/>
              <w:right w:val="single" w:color="D6DCE4" w:sz="1"/>
            </w:tcBorders>
            <w:shd w:fill="F2F2F2" w:val="clear"/>
            <w:tcMar>
              <w:top w:type="dxa" w:w="80"/>
              <w:left w:type="dxa" w:w="100"/>
              <w:bottom w:type="dxa" w:w="80"/>
              <w:right w:type="dxa" w:w="100"/>
            </w:tcMar>
            <w:vAlign w:val="top"/>
          </w:tcPr>
          <w:p>
            <w:pPr>
              <w:jc w:val="left"/>
            </w:pPr>
            <w:r>
              <w:rPr>
                <w:rFonts w:ascii="Arial" w:cs="Arial" w:eastAsia="Arial" w:hAnsi="Arial"/>
                <w:b w:val="false"/>
                <w:bCs w:val="false"/>
                <w:color w:val="1A1A1A"/>
                <w:sz w:val="16"/>
                <w:szCs w:val="16"/>
              </w:rPr>
              <w:t xml:space="preserve">Standard form — no mold sublimit, no Broad Form AI issue. Billing compliance is primary open item.</w:t>
            </w:r>
          </w:p>
        </w:tc>
      </w:tr>
    </w:tbl>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55A11" w:sz="8"/>
              <w:left w:val="single" w:color="C55A11" w:sz="8"/>
              <w:bottom w:val="single" w:color="C55A11" w:sz="8"/>
              <w:right w:val="single" w:color="C55A11" w:sz="8"/>
            </w:tcBorders>
            <w:shd w:fill="FFF8E1" w:val="clear"/>
            <w:tcMar>
              <w:top w:type="dxa" w:w="120"/>
              <w:left w:type="dxa" w:w="180"/>
              <w:bottom w:type="dxa" w:w="120"/>
              <w:right w:type="dxa" w:w="180"/>
            </w:tcMar>
          </w:tcPr>
          <w:p>
            <w:pPr>
              <w:spacing w:after="60" w:before="0"/>
            </w:pPr>
            <w:r>
              <w:rPr>
                <w:rFonts w:ascii="Arial" w:cs="Arial" w:eastAsia="Arial" w:hAnsi="Arial"/>
                <w:b/>
                <w:bCs/>
                <w:color w:val="C55A11"/>
                <w:sz w:val="20"/>
                <w:szCs w:val="20"/>
              </w:rPr>
              <w:t xml:space="preserve">GP PLATFORM INSIGHT — 2021 UY Form Concentration Analysis</w:t>
            </w:r>
          </w:p>
          <w:p>
            <w:pPr>
              <w:spacing w:after="60" w:before="0"/>
            </w:pPr>
            <w:r>
              <w:rPr>
                <w:rFonts w:ascii="Arial" w:cs="Arial" w:eastAsia="Arial" w:hAnsi="Arial"/>
                <w:b w:val="false"/>
                <w:bCs w:val="false"/>
                <w:color w:val="C55A11"/>
                <w:sz w:val="18"/>
                <w:szCs w:val="18"/>
              </w:rPr>
              <w:t xml:space="preserve">Three of the four anchor claims are on MSI-CGL-BRD-01 (Broad Form), all originating from Pacific Rim Specialty (BRK-016) in the 2021 underwriting year. Combined reserve: $6,370,000. These three policies represent the primary driver of the 2021 UY selected ULR of 82.3% versus the target of 65%.</w:t>
            </w:r>
          </w:p>
          <w:p>
            <w:pPr>
              <w:spacing w:after="60" w:before="0"/>
            </w:pPr>
            <w:r>
              <w:rPr>
                <w:rFonts w:ascii="Arial" w:cs="Arial" w:eastAsia="Arial" w:hAnsi="Arial"/>
                <w:b w:val="false"/>
                <w:bCs w:val="false"/>
                <w:color w:val="C55A11"/>
                <w:sz w:val="18"/>
                <w:szCs w:val="18"/>
              </w:rPr>
              <w:t xml:space="preserve">The Broad Form's extended completed ops tail, broadened subcontractor exception, fungi sublimit, and Broad Form AI trigger all contributed to higher claims severity and greater coverage complexity on these risks compared to the Standard Form.</w:t>
            </w:r>
          </w:p>
          <w:p>
            <w:pPr>
              <w:spacing w:after="60" w:before="0"/>
            </w:pPr>
            <w:r>
              <w:rPr>
                <w:rFonts w:ascii="Arial" w:cs="Arial" w:eastAsia="Arial" w:hAnsi="Arial"/>
                <w:b w:val="false"/>
                <w:bCs w:val="false"/>
                <w:color w:val="C55A11"/>
                <w:sz w:val="18"/>
                <w:szCs w:val="18"/>
              </w:rPr>
              <w:t xml:space="preserve">GP Underwriting Recommendation: Apply Broad Form concentration cap (no more than 3 risks per broker per UY). Future Pacific Rim Specialty CA residential GC submissions should be bound on Standard Form only, pending broker quality score improvement above Tier B threshold.</w:t>
            </w:r>
          </w:p>
          <w:p>
            <w:pPr>
              <w:spacing w:after="60" w:before="0"/>
            </w:pPr>
            <w:r>
              <w:rPr>
                <w:rFonts w:ascii="Arial" w:cs="Arial" w:eastAsia="Arial" w:hAnsi="Arial"/>
                <w:b w:val="false"/>
                <w:bCs w:val="false"/>
                <w:color w:val="C55A11"/>
                <w:sz w:val="18"/>
                <w:szCs w:val="18"/>
              </w:rPr>
              <w:t xml:space="preserve">Cross-reference: UW Guidelines Section 8 (Authority Matrix), Reserve Development Methodology (2021 UY adverse development triangle), XL Treaty (Layer 1 attachment probabilities for all three Broad Form claims).</w:t>
            </w:r>
          </w:p>
        </w:tc>
      </w:tr>
    </w:tbl>
    <w:p>
      <w:pPr>
        <w:spacing w:after="0" w:before="0"/>
      </w:pPr>
      <w:r>
        <w:t xml:space="preserve"/>
      </w:r>
    </w:p>
    <w:p>
      <w:pPr>
        <w:pBdr>
          <w:bottom w:val="single" w:color="2E75B6" w:sz="6" w:space="1"/>
        </w:pBdr>
        <w:spacing w:after="100" w:before="100"/>
      </w:pPr>
    </w:p>
    <w:p>
      <w:pPr>
        <w:jc w:val="center"/>
      </w:pPr>
      <w:r>
        <w:rPr>
          <w:rFonts w:ascii="Arial" w:cs="Arial" w:eastAsia="Arial" w:hAnsi="Arial"/>
          <w:i/>
          <w:iCs/>
          <w:color w:val="D6DCE4"/>
          <w:sz w:val="14"/>
          <w:szCs w:val="14"/>
        </w:rPr>
        <w:t xml:space="preserve">MSI-FL-CGL-2025  |  Effective January 1, 2025  |  Replaces MSI-FL-CGL-2024  |  Maintained by: Chief Underwriting Office  |  Distribution: Underwriting, Claims, Actuarial, Reinsurance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D6DCE4"/>
        <w:sz w:val="16"/>
        <w:szCs w:val="16"/>
      </w:rPr>
      <w:t xml:space="preserve">Meridian Specialty Insurance | CGL Form Library | Effective 01/01/2025 | Page </w:t>
    </w:r>
    <w:r>
      <w:rPr>
        <w:rFonts w:ascii="Arial" w:cs="Arial" w:eastAsia="Arial" w:hAnsi="Arial"/>
        <w:color w:val="D6DCE4"/>
        <w:sz w:val="16"/>
        <w:szCs w:val="16"/>
      </w:rPr>
      <w:fldChar w:fldCharType="begin"/>
      <w:instrText xml:space="preserve">PAGE</w:instrText>
      <w:fldChar w:fldCharType="separate"/>
      <w:fldChar w:fldCharType="end"/>
    </w:r>
    <w:r>
      <w:rPr>
        <w:rFonts w:ascii="Arial" w:cs="Arial" w:eastAsia="Arial" w:hAnsi="Arial"/>
        <w:color w:val="D6DCE4"/>
        <w:sz w:val="16"/>
        <w:szCs w:val="16"/>
      </w:rPr>
      <w:t xml:space="preserve"> of </w:t>
    </w:r>
    <w:r>
      <w:rPr>
        <w:rFonts w:ascii="Arial" w:cs="Arial" w:eastAsia="Arial" w:hAnsi="Arial"/>
        <w:color w:val="D6DCE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left w:val="none"/>
            <w:bottom w:val="none"/>
            <w:right w:val="none"/>
          </w:tcBorders>
          <w:shd w:fill="1B3A5C" w:val="clear"/>
          <w:tcMar>
            <w:top w:type="dxa" w:w="80"/>
            <w:left w:type="dxa" w:w="160"/>
            <w:bottom w:type="dxa" w:w="80"/>
            <w:right w:type="dxa" w:w="80"/>
          </w:tcMar>
        </w:tcPr>
        <w:p>
          <w:r>
            <w:rPr>
              <w:rFonts w:ascii="Arial" w:cs="Arial" w:eastAsia="Arial" w:hAnsi="Arial"/>
              <w:b/>
              <w:bCs/>
              <w:color w:val="FFFFFF"/>
              <w:sz w:val="22"/>
              <w:szCs w:val="22"/>
            </w:rPr>
            <w:t xml:space="preserve">MERIDIAN SPECIALTY INSURANCE</w:t>
          </w:r>
        </w:p>
        <w:p>
          <w:r>
            <w:rPr>
              <w:rFonts w:ascii="Arial" w:cs="Arial" w:eastAsia="Arial" w:hAnsi="Arial"/>
              <w:color w:val="E8EEF5"/>
              <w:sz w:val="18"/>
              <w:szCs w:val="18"/>
            </w:rPr>
            <w:t xml:space="preserve">Commercial General Liability — Policy Form Library</w:t>
          </w:r>
        </w:p>
      </w:tc>
      <w:tc>
        <w:tcPr>
          <w:tcW w:type="dxa" w:w="3080"/>
          <w:tcBorders>
            <w:top w:val="none"/>
            <w:left w:val="none"/>
            <w:bottom w:val="none"/>
            <w:right w:val="none"/>
          </w:tcBorders>
          <w:shd w:fill="1B3A5C" w:val="clear"/>
          <w:tcMar>
            <w:top w:type="dxa" w:w="80"/>
            <w:left w:type="dxa" w:w="80"/>
            <w:bottom w:type="dxa" w:w="80"/>
            <w:right w:type="dxa" w:w="160"/>
          </w:tcMar>
          <w:vAlign w:val="center"/>
        </w:tcPr>
        <w:p>
          <w:pPr>
            <w:jc w:val="right"/>
          </w:pPr>
          <w:r>
            <w:rPr>
              <w:rFonts w:ascii="Arial" w:cs="Arial" w:eastAsia="Arial" w:hAnsi="Arial"/>
              <w:b/>
              <w:bCs/>
              <w:color w:val="FFFFFF"/>
              <w:sz w:val="20"/>
              <w:szCs w:val="20"/>
            </w:rPr>
            <w:t xml:space="preserve">MSI-FL-CGL-2025</w:t>
          </w:r>
        </w:p>
        <w:p>
          <w:pPr>
            <w:jc w:val="right"/>
          </w:pPr>
          <w:r>
            <w:rPr>
              <w:rFonts w:ascii="Arial" w:cs="Arial" w:eastAsia="Arial" w:hAnsi="Arial"/>
              <w:color w:val="D6DCE4"/>
              <w:sz w:val="14"/>
              <w:szCs w:val="14"/>
            </w:rPr>
            <w:t xml:space="preserve">UNDERWRITING USE ONLY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2026-05-05T20:30:46.439Z</dcterms:created>
  <dcterms:modified xsi:type="dcterms:W3CDTF">2026-05-05T20:30:46.443Z</dcterms:modified>
</cp:coreProperties>
</file>

<file path=docProps/custom.xml><?xml version="1.0" encoding="utf-8"?>
<Properties xmlns="http://schemas.openxmlformats.org/officeDocument/2006/custom-properties" xmlns:vt="http://schemas.openxmlformats.org/officeDocument/2006/docPropsVTypes"/>
</file>