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1B3A5C" w:val="clear"/>
            <w:tcMar>
              <w:top w:type="dxa" w:w="480"/>
              <w:left w:type="dxa" w:w="400"/>
              <w:bottom w:type="dxa" w:w="480"/>
              <w:right w:type="dxa" w:w="400"/>
            </w:tcMar>
          </w:tcPr>
          <w:p>
            <w:pPr>
              <w:spacing w:after="100" w:before="0"/>
            </w:pPr>
            <w:r>
              <w:rPr>
                <w:rFonts w:ascii="Arial" w:cs="Arial" w:eastAsia="Arial" w:hAnsi="Arial"/>
                <w:b/>
                <w:bCs/>
                <w:caps/>
                <w:color w:val="A8C4E0"/>
                <w:sz w:val="22"/>
                <w:szCs w:val="22"/>
              </w:rPr>
              <w:t xml:space="preserve">MERIDIAN SPECIALTY INSURANCE</w:t>
            </w:r>
          </w:p>
          <w:p>
            <w:pPr>
              <w:spacing w:after="80" w:before="0"/>
            </w:pPr>
            <w:r>
              <w:rPr>
                <w:rFonts w:ascii="Arial" w:cs="Arial" w:eastAsia="Arial" w:hAnsi="Arial"/>
                <w:b/>
                <w:bCs/>
                <w:color w:val="FFFFFF"/>
                <w:sz w:val="36"/>
                <w:szCs w:val="36"/>
              </w:rPr>
              <w:t xml:space="preserve">Construction Liability</w:t>
            </w:r>
          </w:p>
          <w:p>
            <w:pPr>
              <w:spacing w:after="200" w:before="0"/>
            </w:pPr>
            <w:r>
              <w:rPr>
                <w:rFonts w:ascii="Arial" w:cs="Arial" w:eastAsia="Arial" w:hAnsi="Arial"/>
                <w:color w:val="A8C4E0"/>
                <w:sz w:val="36"/>
                <w:szCs w:val="36"/>
              </w:rPr>
              <w:t xml:space="preserve">Venue Intelligence Summaries</w:t>
            </w:r>
          </w:p>
          <w:p>
            <w:pPr>
              <w:spacing w:after="0" w:before="0"/>
            </w:pPr>
            <w:r>
              <w:rPr>
                <w:rFonts w:ascii="Arial" w:cs="Arial" w:eastAsia="Arial" w:hAnsi="Arial"/>
                <w:color w:val="A8C4E0"/>
                <w:sz w:val="20"/>
                <w:szCs w:val="20"/>
              </w:rPr>
              <w:t xml:space="preserve">Claims Management | Litigation Strategy | 2025 Edition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E8EEF5" w:val="clear"/>
            <w:tcMar>
              <w:top w:type="dxa" w:w="140"/>
              <w:left w:type="dxa" w:w="200"/>
              <w:bottom w:type="dxa" w:w="140"/>
              <w:right w:type="dxa" w:w="200"/>
            </w:tcMar>
          </w:tcPr>
          <w:p>
            <w:pPr>
              <w:spacing w:after="80" w:before="0"/>
            </w:pPr>
            <w:r>
              <w:rPr>
                <w:rFonts w:ascii="Arial" w:cs="Arial" w:eastAsia="Arial" w:hAnsi="Arial"/>
                <w:b/>
                <w:bCs/>
                <w:color w:val="1B3A5C"/>
                <w:sz w:val="20"/>
                <w:szCs w:val="20"/>
              </w:rPr>
              <w:t xml:space="preserve">Purpose and Scope</w:t>
            </w:r>
          </w:p>
          <w:p>
            <w:pPr>
              <w:spacing w:after="0" w:before="0"/>
            </w:pPr>
            <w:r>
              <w:rPr>
                <w:rFonts w:ascii="Arial" w:cs="Arial" w:eastAsia="Arial" w:hAnsi="Arial"/>
                <w:color w:val="1A1A1A"/>
                <w:sz w:val="20"/>
                <w:szCs w:val="20"/>
              </w:rPr>
              <w:t xml:space="preserve">This document provides jurisdiction-specific intelligence for construction defect litigation in the venues where Meridian has the highest claims concentration and litigation exposure: California, Nevada, Florida, Colorado, New York, and Texas. Each summary covers: verdict environment, plaintiff bar profiles, judicial environment, settlement timing norms, and GP platform calibration parameters. Updated annually by the Meridian Litigation Intelligence team. Data sources: Jury Verdict Research (JVR), internal Meridian claims data, Advisen litigation analytics, panel counsel intelligence reports.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1800"/>
        <w:gridCol w:w="1600"/>
        <w:gridCol w:w="1560"/>
      </w:tblGrid>
      <w:tr>
        <w:tc>
          <w:tcPr>
            <w:tcW w:type="dxa" w:w="12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State</w:t>
            </w:r>
          </w:p>
        </w:tc>
        <w:tc>
          <w:tcPr>
            <w:tcW w:type="dxa" w:w="12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Venue Rating</w:t>
            </w:r>
          </w:p>
        </w:tc>
        <w:tc>
          <w:tcPr>
            <w:tcW w:type="dxa" w:w="20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Avg CD Verdict (2020-2024)</w:t>
            </w:r>
          </w:p>
        </w:tc>
        <w:tc>
          <w:tcPr>
            <w:tcW w:type="dxa" w:w="18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Median Settlement</w:t>
            </w:r>
          </w:p>
        </w:tc>
        <w:tc>
          <w:tcPr>
            <w:tcW w:type="dxa" w:w="16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Avg Time to Trial</w:t>
            </w:r>
          </w:p>
        </w:tc>
        <w:tc>
          <w:tcPr>
            <w:tcW w:type="dxa" w:w="156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Key Risk Factors</w:t>
            </w:r>
          </w:p>
        </w:tc>
      </w:tr>
      <w:tr>
        <w:tc>
          <w:tcPr>
            <w:tcW w:type="dxa" w:w="12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California</w:t>
            </w:r>
          </w:p>
        </w:tc>
        <w:tc>
          <w:tcPr>
            <w:tcW w:type="dxa" w:w="12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Nuclear</w:t>
            </w:r>
          </w:p>
        </w:tc>
        <w:tc>
          <w:tcPr>
            <w:tcW w:type="dxa" w:w="20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$4.2M</w:t>
            </w:r>
          </w:p>
        </w:tc>
        <w:tc>
          <w:tcPr>
            <w:tcW w:type="dxa" w:w="1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$890,000</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42 months</w:t>
            </w:r>
          </w:p>
        </w:tc>
        <w:tc>
          <w:tcPr>
            <w:tcW w:type="dxa" w:w="15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Completed ops tail, broad AI, plaintiff bar concentration, ICRB</w:t>
            </w:r>
          </w:p>
        </w:tc>
      </w:tr>
      <w:tr>
        <w:tc>
          <w:tcPr>
            <w:tcW w:type="dxa" w:w="12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Nevada</w:t>
            </w:r>
          </w:p>
        </w:tc>
        <w:tc>
          <w:tcPr>
            <w:tcW w:type="dxa" w:w="12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Nuclear</w:t>
            </w:r>
          </w:p>
        </w:tc>
        <w:tc>
          <w:tcPr>
            <w:tcW w:type="dxa" w:w="20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$6.8M</w:t>
            </w:r>
          </w:p>
        </w:tc>
        <w:tc>
          <w:tcPr>
            <w:tcW w:type="dxa" w:w="18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$1,200,000</w:t>
            </w:r>
          </w:p>
        </w:tc>
        <w:tc>
          <w:tcPr>
            <w:tcW w:type="dxa" w:w="16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38 months</w:t>
            </w:r>
          </w:p>
        </w:tc>
        <w:tc>
          <w:tcPr>
            <w:tcW w:type="dxa" w:w="156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High nuclear verdict frequency, Las Vegas hospitality construction</w:t>
            </w:r>
          </w:p>
        </w:tc>
      </w:tr>
      <w:tr>
        <w:tc>
          <w:tcPr>
            <w:tcW w:type="dxa" w:w="12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Florida</w:t>
            </w:r>
          </w:p>
        </w:tc>
        <w:tc>
          <w:tcPr>
            <w:tcW w:type="dxa" w:w="12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Elevated</w:t>
            </w:r>
          </w:p>
        </w:tc>
        <w:tc>
          <w:tcPr>
            <w:tcW w:type="dxa" w:w="20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$2.9M</w:t>
            </w:r>
          </w:p>
        </w:tc>
        <w:tc>
          <w:tcPr>
            <w:tcW w:type="dxa" w:w="1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$650,000</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36 months</w:t>
            </w:r>
          </w:p>
        </w:tc>
        <w:tc>
          <w:tcPr>
            <w:tcW w:type="dxa" w:w="15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AOB, plaintiff bar density, hurricane-zone projects</w:t>
            </w:r>
          </w:p>
        </w:tc>
      </w:tr>
      <w:tr>
        <w:tc>
          <w:tcPr>
            <w:tcW w:type="dxa" w:w="12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Colorado</w:t>
            </w:r>
          </w:p>
        </w:tc>
        <w:tc>
          <w:tcPr>
            <w:tcW w:type="dxa" w:w="12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Elevated</w:t>
            </w:r>
          </w:p>
        </w:tc>
        <w:tc>
          <w:tcPr>
            <w:tcW w:type="dxa" w:w="20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$3.1M</w:t>
            </w:r>
          </w:p>
        </w:tc>
        <w:tc>
          <w:tcPr>
            <w:tcW w:type="dxa" w:w="18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$720,000</w:t>
            </w:r>
          </w:p>
        </w:tc>
        <w:tc>
          <w:tcPr>
            <w:tcW w:type="dxa" w:w="16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32 months</w:t>
            </w:r>
          </w:p>
        </w:tc>
        <w:tc>
          <w:tcPr>
            <w:tcW w:type="dxa" w:w="156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Emerging nuclear state, soils/subsidence, HOA litigation</w:t>
            </w:r>
          </w:p>
        </w:tc>
      </w:tr>
      <w:tr>
        <w:tc>
          <w:tcPr>
            <w:tcW w:type="dxa" w:w="12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New York</w:t>
            </w:r>
          </w:p>
        </w:tc>
        <w:tc>
          <w:tcPr>
            <w:tcW w:type="dxa" w:w="12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Elevated</w:t>
            </w:r>
          </w:p>
        </w:tc>
        <w:tc>
          <w:tcPr>
            <w:tcW w:type="dxa" w:w="20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$3.8M</w:t>
            </w:r>
          </w:p>
        </w:tc>
        <w:tc>
          <w:tcPr>
            <w:tcW w:type="dxa" w:w="1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$850,000</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48 months</w:t>
            </w:r>
          </w:p>
        </w:tc>
        <w:tc>
          <w:tcPr>
            <w:tcW w:type="dxa" w:w="15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Labor Law 240/241, scaffold law, NYC density</w:t>
            </w:r>
          </w:p>
        </w:tc>
      </w:tr>
      <w:tr>
        <w:tc>
          <w:tcPr>
            <w:tcW w:type="dxa" w:w="12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Texas</w:t>
            </w:r>
          </w:p>
        </w:tc>
        <w:tc>
          <w:tcPr>
            <w:tcW w:type="dxa" w:w="12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Standard</w:t>
            </w:r>
          </w:p>
        </w:tc>
        <w:tc>
          <w:tcPr>
            <w:tcW w:type="dxa" w:w="20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$1.4M</w:t>
            </w:r>
          </w:p>
        </w:tc>
        <w:tc>
          <w:tcPr>
            <w:tcW w:type="dxa" w:w="18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$380,000</w:t>
            </w:r>
          </w:p>
        </w:tc>
        <w:tc>
          <w:tcPr>
            <w:tcW w:type="dxa" w:w="16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28 months</w:t>
            </w:r>
          </w:p>
        </w:tc>
        <w:tc>
          <w:tcPr>
            <w:tcW w:type="dxa" w:w="156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Favorable venue outside Harris County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FFFFFF" w:sz="4"/>
              <w:left w:val="single" w:color="FFFFFF" w:sz="4"/>
              <w:bottom w:val="single" w:color="FFFFFF" w:sz="4"/>
              <w:right w:val="single" w:color="FFFFFF" w:sz="4"/>
            </w:tcBorders>
            <w:shd w:fill="8B0000" w:val="clear"/>
            <w:tcMar>
              <w:top w:type="dxa" w:w="160"/>
              <w:left w:type="dxa" w:w="200"/>
              <w:bottom w:type="dxa" w:w="160"/>
              <w:right w:type="dxa" w:w="200"/>
            </w:tcMar>
          </w:tcPr>
          <w:p>
            <w:r>
              <w:rPr>
                <w:rFonts w:ascii="Arial" w:cs="Arial" w:eastAsia="Arial" w:hAnsi="Arial"/>
                <w:b/>
                <w:bCs/>
                <w:color w:val="FFFFFF"/>
                <w:sz w:val="28"/>
                <w:szCs w:val="28"/>
              </w:rPr>
              <w:t xml:space="preserve">California</w:t>
            </w:r>
          </w:p>
        </w:tc>
        <w:tc>
          <w:tcPr>
            <w:tcW w:type="dxa" w:w="2360"/>
            <w:tcBorders>
              <w:top w:val="single" w:color="FFFFFF" w:sz="4"/>
              <w:left w:val="single" w:color="FFFFFF" w:sz="4"/>
              <w:bottom w:val="single" w:color="FFFFFF" w:sz="4"/>
              <w:right w:val="single" w:color="FFFFFF" w:sz="4"/>
            </w:tcBorders>
            <w:shd w:fill="8B0000"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Nuclear Verdict State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D6DCE4" w:sz="2"/>
              <w:left w:val="single" w:color="D6DCE4" w:sz="2"/>
              <w:bottom w:val="single" w:color="D6DCE4" w:sz="2"/>
              <w:right w:val="single" w:color="D6DCE4" w:sz="2"/>
            </w:tcBorders>
            <w:shd w:fill="FDECEA" w:val="clear"/>
            <w:tcMar>
              <w:top w:type="dxa" w:w="120"/>
              <w:left w:type="dxa" w:w="140"/>
              <w:bottom w:type="dxa" w:w="120"/>
              <w:right w:type="dxa" w:w="140"/>
            </w:tcMar>
          </w:tcPr>
          <w:p>
            <w:pPr>
              <w:spacing w:after="60" w:before="0"/>
            </w:pPr>
            <w:r>
              <w:rPr>
                <w:rFonts w:ascii="Arial" w:cs="Arial" w:eastAsia="Arial" w:hAnsi="Arial"/>
                <w:b/>
                <w:bCs/>
                <w:color w:val="8B0000"/>
                <w:sz w:val="17"/>
                <w:szCs w:val="17"/>
              </w:rPr>
              <w:t xml:space="preserve">Avg CD Verdict (2020-2024)</w:t>
            </w:r>
          </w:p>
          <w:p>
            <w:pPr>
              <w:spacing w:after="0" w:before="0"/>
            </w:pPr>
            <w:r>
              <w:rPr>
                <w:rFonts w:ascii="Arial" w:cs="Arial" w:eastAsia="Arial" w:hAnsi="Arial"/>
                <w:b/>
                <w:bCs/>
                <w:color w:val="8B0000"/>
                <w:sz w:val="22"/>
                <w:szCs w:val="22"/>
              </w:rPr>
              <w:t xml:space="preserve">$4.2M</w:t>
            </w:r>
          </w:p>
        </w:tc>
        <w:tc>
          <w:tcPr>
            <w:tcBorders>
              <w:top w:val="single" w:color="D6DCE4" w:sz="2"/>
              <w:left w:val="single" w:color="D6DCE4" w:sz="2"/>
              <w:bottom w:val="single" w:color="D6DCE4" w:sz="2"/>
              <w:right w:val="single" w:color="D6DCE4" w:sz="2"/>
            </w:tcBorders>
            <w:shd w:fill="FDECEA" w:val="clear"/>
            <w:tcMar>
              <w:top w:type="dxa" w:w="120"/>
              <w:left w:type="dxa" w:w="140"/>
              <w:bottom w:type="dxa" w:w="120"/>
              <w:right w:type="dxa" w:w="140"/>
            </w:tcMar>
          </w:tcPr>
          <w:p>
            <w:pPr>
              <w:spacing w:after="60" w:before="0"/>
            </w:pPr>
            <w:r>
              <w:rPr>
                <w:rFonts w:ascii="Arial" w:cs="Arial" w:eastAsia="Arial" w:hAnsi="Arial"/>
                <w:b/>
                <w:bCs/>
                <w:color w:val="8B0000"/>
                <w:sz w:val="17"/>
                <w:szCs w:val="17"/>
              </w:rPr>
              <w:t xml:space="preserve">Nuclear Verdict Rate (&gt;$10M)</w:t>
            </w:r>
          </w:p>
          <w:p>
            <w:pPr>
              <w:spacing w:after="0" w:before="0"/>
            </w:pPr>
            <w:r>
              <w:rPr>
                <w:rFonts w:ascii="Arial" w:cs="Arial" w:eastAsia="Arial" w:hAnsi="Arial"/>
                <w:b/>
                <w:bCs/>
                <w:color w:val="8B0000"/>
                <w:sz w:val="22"/>
                <w:szCs w:val="22"/>
              </w:rPr>
              <w:t xml:space="preserve">18%</w:t>
            </w:r>
          </w:p>
        </w:tc>
        <w:tc>
          <w:tcPr>
            <w:tcBorders>
              <w:top w:val="single" w:color="D6DCE4" w:sz="2"/>
              <w:left w:val="single" w:color="D6DCE4" w:sz="2"/>
              <w:bottom w:val="single" w:color="D6DCE4" w:sz="2"/>
              <w:right w:val="single" w:color="D6DCE4" w:sz="2"/>
            </w:tcBorders>
            <w:shd w:fill="FFF3E0" w:val="clear"/>
            <w:tcMar>
              <w:top w:type="dxa" w:w="120"/>
              <w:left w:type="dxa" w:w="140"/>
              <w:bottom w:type="dxa" w:w="120"/>
              <w:right w:type="dxa" w:w="140"/>
            </w:tcMar>
          </w:tcPr>
          <w:p>
            <w:pPr>
              <w:spacing w:after="60" w:before="0"/>
            </w:pPr>
            <w:r>
              <w:rPr>
                <w:rFonts w:ascii="Arial" w:cs="Arial" w:eastAsia="Arial" w:hAnsi="Arial"/>
                <w:b/>
                <w:bCs/>
                <w:color w:val="7D4900"/>
                <w:sz w:val="17"/>
                <w:szCs w:val="17"/>
              </w:rPr>
              <w:t xml:space="preserve">Median Settlement</w:t>
            </w:r>
          </w:p>
          <w:p>
            <w:pPr>
              <w:spacing w:after="0" w:before="0"/>
            </w:pPr>
            <w:r>
              <w:rPr>
                <w:rFonts w:ascii="Arial" w:cs="Arial" w:eastAsia="Arial" w:hAnsi="Arial"/>
                <w:b/>
                <w:bCs/>
                <w:color w:val="7D4900"/>
                <w:sz w:val="22"/>
                <w:szCs w:val="22"/>
              </w:rPr>
              <w:t xml:space="preserve">$890K</w:t>
            </w:r>
          </w:p>
        </w:tc>
        <w:tc>
          <w:tcPr>
            <w:tcBorders>
              <w:top w:val="single" w:color="D6DCE4" w:sz="2"/>
              <w:left w:val="single" w:color="D6DCE4" w:sz="2"/>
              <w:bottom w:val="single" w:color="D6DCE4" w:sz="2"/>
              <w:right w:val="single" w:color="D6DCE4" w:sz="2"/>
            </w:tcBorders>
            <w:shd w:fill="E8EEF5" w:val="clear"/>
            <w:tcMar>
              <w:top w:type="dxa" w:w="120"/>
              <w:left w:type="dxa" w:w="140"/>
              <w:bottom w:type="dxa" w:w="120"/>
              <w:right w:type="dxa" w:w="140"/>
            </w:tcMar>
          </w:tcPr>
          <w:p>
            <w:pPr>
              <w:spacing w:after="60" w:before="0"/>
            </w:pPr>
            <w:r>
              <w:rPr>
                <w:rFonts w:ascii="Arial" w:cs="Arial" w:eastAsia="Arial" w:hAnsi="Arial"/>
                <w:b/>
                <w:bCs/>
                <w:color w:val="1B3A5C"/>
                <w:sz w:val="17"/>
                <w:szCs w:val="17"/>
              </w:rPr>
              <w:t xml:space="preserve">Avg Months to Trial</w:t>
            </w:r>
          </w:p>
          <w:p>
            <w:pPr>
              <w:spacing w:after="0" w:before="0"/>
            </w:pPr>
            <w:r>
              <w:rPr>
                <w:rFonts w:ascii="Arial" w:cs="Arial" w:eastAsia="Arial" w:hAnsi="Arial"/>
                <w:b/>
                <w:bCs/>
                <w:color w:val="1B3A5C"/>
                <w:sz w:val="22"/>
                <w:szCs w:val="22"/>
              </w:rPr>
              <w:t xml:space="preserve">42</w:t>
            </w:r>
          </w:p>
        </w:tc>
        <w:tc>
          <w:tcPr>
            <w:tcBorders>
              <w:top w:val="single" w:color="D6DCE4" w:sz="2"/>
              <w:left w:val="single" w:color="D6DCE4" w:sz="2"/>
              <w:bottom w:val="single" w:color="D6DCE4" w:sz="2"/>
              <w:right w:val="single" w:color="D6DCE4" w:sz="2"/>
            </w:tcBorders>
            <w:shd w:fill="FDECEA" w:val="clear"/>
            <w:tcMar>
              <w:top w:type="dxa" w:w="120"/>
              <w:left w:type="dxa" w:w="140"/>
              <w:bottom w:type="dxa" w:w="120"/>
              <w:right w:type="dxa" w:w="140"/>
            </w:tcMar>
          </w:tcPr>
          <w:p>
            <w:pPr>
              <w:spacing w:after="60" w:before="0"/>
            </w:pPr>
            <w:r>
              <w:rPr>
                <w:rFonts w:ascii="Arial" w:cs="Arial" w:eastAsia="Arial" w:hAnsi="Arial"/>
                <w:b/>
                <w:bCs/>
                <w:color w:val="8B0000"/>
                <w:sz w:val="17"/>
                <w:szCs w:val="17"/>
              </w:rPr>
              <w:t xml:space="preserve">Plaintiff Verdict Rate</w:t>
            </w:r>
          </w:p>
          <w:p>
            <w:pPr>
              <w:spacing w:after="0" w:before="0"/>
            </w:pPr>
            <w:r>
              <w:rPr>
                <w:rFonts w:ascii="Arial" w:cs="Arial" w:eastAsia="Arial" w:hAnsi="Arial"/>
                <w:b/>
                <w:bCs/>
                <w:color w:val="8B0000"/>
                <w:sz w:val="22"/>
                <w:szCs w:val="22"/>
              </w:rPr>
              <w:t xml:space="preserve">64%</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Verdict Environment</w:t>
            </w:r>
          </w:p>
        </w:tc>
      </w:tr>
    </w:tbl>
    <w:p>
      <w:pPr>
        <w:spacing w:after="60" w:before="0"/>
      </w:pPr>
    </w:p>
    <w:p>
      <w:pPr>
        <w:spacing w:after="80" w:before="60"/>
      </w:pPr>
      <w:r>
        <w:rPr>
          <w:rFonts w:ascii="Arial" w:cs="Arial" w:eastAsia="Arial" w:hAnsi="Arial"/>
          <w:color w:val="1A1A1A"/>
          <w:sz w:val="20"/>
          <w:szCs w:val="20"/>
        </w:rPr>
        <w:t xml:space="preserve">California remains the highest-exposure construction defect jurisdiction in the Meridian book. The combination of long-tail completed operations exposure, aggressive plaintiff firms, favorable jury pools in urban counties, and expanded additional insured scope creates a litigation environment where individual claim severity regularly exceeds initial reserves. The California Insurance Coverage Reform Bureau (ICRB) process and mandatory mediation requirements under SB 800 add procedural complexity to multi-unit residential claims.</w:t>
      </w:r>
    </w:p>
    <w:p>
      <w:pPr>
        <w:spacing w:after="60" w:before="0"/>
      </w:pPr>
    </w:p>
    <w:p>
      <w:pPr>
        <w:spacing w:after="80" w:before="60"/>
      </w:pPr>
      <w:r>
        <w:rPr>
          <w:rFonts w:ascii="Arial" w:cs="Arial" w:eastAsia="Arial" w:hAnsi="Arial"/>
          <w:color w:val="1A1A1A"/>
          <w:sz w:val="20"/>
          <w:szCs w:val="20"/>
        </w:rPr>
        <w:t xml:space="preserve">Nuclear verdicts (awards exceeding $10 million) occur at an 18% rate in CD matters that proceed to trial in Los Angeles and San Francisco counties. The primary drivers are: emotional jury appeal in residential CD cases affecting families' homes; broad punitive damages exposure where counsel can establish insurer bad faith; and plaintiff firm ability to aggregate sub-trade defendant contributions into single large awards.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Key Plaintiff Firms -- California</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1800"/>
        <w:gridCol w:w="360"/>
      </w:tblGrid>
      <w:tr>
        <w:tc>
          <w:tcPr>
            <w:tcW w:type="dxa" w:w="28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Firm</w:t>
            </w:r>
          </w:p>
        </w:tc>
        <w:tc>
          <w:tcPr>
            <w:tcW w:type="dxa" w:w="20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Primary Counties</w:t>
            </w:r>
          </w:p>
        </w:tc>
        <w:tc>
          <w:tcPr>
            <w:tcW w:type="dxa" w:w="24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Specialty</w:t>
            </w:r>
          </w:p>
        </w:tc>
        <w:tc>
          <w:tcPr>
            <w:tcW w:type="dxa" w:w="18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Avg Demand Multiple vs. Reserve</w:t>
            </w:r>
          </w:p>
        </w:tc>
        <w:tc>
          <w:tcPr>
            <w:tcW w:type="dxa" w:w="36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Settlement Style</w:t>
            </w:r>
          </w:p>
        </w:tc>
      </w:tr>
      <w:tr>
        <w:tc>
          <w:tcPr>
            <w:tcW w:type="dxa" w:w="2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Shea &amp; Connolly Construction Group</w:t>
            </w:r>
          </w:p>
        </w:tc>
        <w:tc>
          <w:tcPr>
            <w:tcW w:type="dxa" w:w="20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Los Angeles, Orange</w:t>
            </w:r>
          </w:p>
        </w:tc>
        <w:tc>
          <w:tcPr>
            <w:tcW w:type="dxa" w:w="24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Multi-unit residential CD, HOA claims</w:t>
            </w:r>
          </w:p>
        </w:tc>
        <w:tc>
          <w:tcPr>
            <w:tcW w:type="dxa" w:w="1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2.8x - 3.5x</w:t>
            </w:r>
          </w:p>
        </w:tc>
        <w:tc>
          <w:tcPr>
            <w:tcW w:type="dxa" w:w="3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Aggressive to trial on large multi-unit. Will settle pre-discovery on smaller residential.</w:t>
            </w:r>
          </w:p>
        </w:tc>
      </w:tr>
      <w:tr>
        <w:tc>
          <w:tcPr>
            <w:tcW w:type="dxa" w:w="28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Pacific Coast Defect Litigation</w:t>
            </w:r>
          </w:p>
        </w:tc>
        <w:tc>
          <w:tcPr>
            <w:tcW w:type="dxa" w:w="20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San Diego, Riverside</w:t>
            </w:r>
          </w:p>
        </w:tc>
        <w:tc>
          <w:tcPr>
            <w:tcW w:type="dxa" w:w="24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Single-family and condo CD</w:t>
            </w:r>
          </w:p>
        </w:tc>
        <w:tc>
          <w:tcPr>
            <w:tcW w:type="dxa" w:w="18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2.2x - 2.9x</w:t>
            </w:r>
          </w:p>
        </w:tc>
        <w:tc>
          <w:tcPr>
            <w:tcW w:type="dxa" w:w="36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Mediation-oriented. Resolves 70% of files pre-trial.</w:t>
            </w:r>
          </w:p>
        </w:tc>
      </w:tr>
      <w:tr>
        <w:tc>
          <w:tcPr>
            <w:tcW w:type="dxa" w:w="2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Goldstein, Park &amp; Rubio</w:t>
            </w:r>
          </w:p>
        </w:tc>
        <w:tc>
          <w:tcPr>
            <w:tcW w:type="dxa" w:w="20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San Francisco, Alameda</w:t>
            </w:r>
          </w:p>
        </w:tc>
        <w:tc>
          <w:tcPr>
            <w:tcW w:type="dxa" w:w="24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Commercial CD, design-build defects</w:t>
            </w:r>
          </w:p>
        </w:tc>
        <w:tc>
          <w:tcPr>
            <w:tcW w:type="dxa" w:w="1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3.0x - 4.2x</w:t>
            </w:r>
          </w:p>
        </w:tc>
        <w:tc>
          <w:tcPr>
            <w:tcW w:type="dxa" w:w="3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Trial firm. Aggressive on damages. Known for expert use.</w:t>
            </w:r>
          </w:p>
        </w:tc>
      </w:tr>
      <w:tr>
        <w:tc>
          <w:tcPr>
            <w:tcW w:type="dxa" w:w="28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Westbrook CD Group</w:t>
            </w:r>
          </w:p>
        </w:tc>
        <w:tc>
          <w:tcPr>
            <w:tcW w:type="dxa" w:w="20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Sacramento, Fresno</w:t>
            </w:r>
          </w:p>
        </w:tc>
        <w:tc>
          <w:tcPr>
            <w:tcW w:type="dxa" w:w="24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Tract residential, master-planned communities</w:t>
            </w:r>
          </w:p>
        </w:tc>
        <w:tc>
          <w:tcPr>
            <w:tcW w:type="dxa" w:w="18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2.0x - 2.6x</w:t>
            </w:r>
          </w:p>
        </w:tc>
        <w:tc>
          <w:tcPr>
            <w:tcW w:type="dxa" w:w="36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Volume firm. High settlement rate when approached early.</w:t>
            </w:r>
          </w:p>
        </w:tc>
      </w:tr>
      <w:tr>
        <w:tc>
          <w:tcPr>
            <w:tcW w:type="dxa" w:w="2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Rivera &amp; Associates</w:t>
            </w:r>
          </w:p>
        </w:tc>
        <w:tc>
          <w:tcPr>
            <w:tcW w:type="dxa" w:w="20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Los Angeles</w:t>
            </w:r>
          </w:p>
        </w:tc>
        <w:tc>
          <w:tcPr>
            <w:tcW w:type="dxa" w:w="24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AI tendering, multi-party GC/sub disputes</w:t>
            </w:r>
          </w:p>
        </w:tc>
        <w:tc>
          <w:tcPr>
            <w:tcW w:type="dxa" w:w="1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1.8x - 2.4x</w:t>
            </w:r>
          </w:p>
        </w:tc>
        <w:tc>
          <w:tcPr>
            <w:tcW w:type="dxa" w:w="3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Coverage-focused. Targets AI scope disputes and tender refusals.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FFF3E0" w:val="clear"/>
            <w:tcMar>
              <w:top w:type="dxa" w:w="140"/>
              <w:left w:type="dxa" w:w="200"/>
              <w:bottom w:type="dxa" w:w="140"/>
              <w:right w:type="dxa" w:w="200"/>
            </w:tcMar>
          </w:tcPr>
          <w:p>
            <w:pPr>
              <w:spacing w:after="80" w:before="0"/>
            </w:pPr>
            <w:r>
              <w:rPr>
                <w:rFonts w:ascii="Arial" w:cs="Arial" w:eastAsia="Arial" w:hAnsi="Arial"/>
                <w:b/>
                <w:bCs/>
                <w:color w:val="7D4900"/>
                <w:sz w:val="20"/>
                <w:szCs w:val="20"/>
              </w:rPr>
              <w:t xml:space="preserve">Note on Rivera &amp; Associates</w:t>
            </w:r>
          </w:p>
          <w:p>
            <w:pPr>
              <w:spacing w:after="0" w:before="0"/>
            </w:pPr>
            <w:r>
              <w:rPr>
                <w:rFonts w:ascii="Arial" w:cs="Arial" w:eastAsia="Arial" w:hAnsi="Arial"/>
                <w:color w:val="1A1A1A"/>
                <w:sz w:val="20"/>
                <w:szCs w:val="20"/>
              </w:rPr>
              <w:t xml:space="preserve">Rivera &amp; Associates specializes in AI scope disputes -- they will strategically challenge tender refusals and Meridian's AI endorsement language. Any CA file with an Rivera &amp; Associates plaintiff counsel designation should be flagged for immediate coverage analysis. This firm has successfully expanded AI coverage on three prior Meridian claims by challenging the required-by-contract trigger language.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Settlement Timing Model -- California</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Stage</w:t>
            </w:r>
          </w:p>
        </w:tc>
        <w:tc>
          <w:tcPr>
            <w:tcW w:type="dxa" w:w="16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Typical Timing</w:t>
            </w:r>
          </w:p>
        </w:tc>
        <w:tc>
          <w:tcPr>
            <w:tcW w:type="dxa" w:w="16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Settlement Probability</w:t>
            </w:r>
          </w:p>
        </w:tc>
        <w:tc>
          <w:tcPr>
            <w:tcW w:type="dxa" w:w="16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Relative Cost Index</w:t>
            </w:r>
          </w:p>
        </w:tc>
        <w:tc>
          <w:tcPr>
            <w:tcW w:type="dxa" w:w="216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Meridian Recommendation</w:t>
            </w:r>
          </w:p>
        </w:tc>
      </w:tr>
      <w:tr>
        <w:tc>
          <w:tcPr>
            <w:tcW w:type="dxa" w:w="24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Pre-litigation / SB 800 process</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0-12 months</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35%</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0.5x (vs. median)</w:t>
            </w:r>
          </w:p>
        </w:tc>
        <w:tc>
          <w:tcPr>
            <w:tcW w:type="dxa" w:w="21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Ideal window for simple residential claims. SB 800 pre-litigation repair process can resolve low-severity files.</w:t>
            </w:r>
          </w:p>
        </w:tc>
      </w:tr>
      <w:tr>
        <w:tc>
          <w:tcPr>
            <w:tcW w:type="dxa" w:w="24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Post-filing, pre-discovery</w:t>
            </w:r>
          </w:p>
        </w:tc>
        <w:tc>
          <w:tcPr>
            <w:tcW w:type="dxa" w:w="16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12-18 months</w:t>
            </w:r>
          </w:p>
        </w:tc>
        <w:tc>
          <w:tcPr>
            <w:tcW w:type="dxa" w:w="16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40%</w:t>
            </w:r>
          </w:p>
        </w:tc>
        <w:tc>
          <w:tcPr>
            <w:tcW w:type="dxa" w:w="16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0.75x</w:t>
            </w:r>
          </w:p>
        </w:tc>
        <w:tc>
          <w:tcPr>
            <w:tcW w:type="dxa" w:w="216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Primary target window for most multi-unit CA residential claims. Motion to strike/demurrer leverage.</w:t>
            </w:r>
          </w:p>
        </w:tc>
      </w:tr>
      <w:tr>
        <w:tc>
          <w:tcPr>
            <w:tcW w:type="dxa" w:w="24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Post-discovery, pre-expert</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18-28 months</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55%</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1.0x (baseline)</w:t>
            </w:r>
          </w:p>
        </w:tc>
        <w:tc>
          <w:tcPr>
            <w:tcW w:type="dxa" w:w="21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Standard settlement window. Expert designation creates leverage for both sides.</w:t>
            </w:r>
          </w:p>
        </w:tc>
      </w:tr>
      <w:tr>
        <w:tc>
          <w:tcPr>
            <w:tcW w:type="dxa" w:w="24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Post-expert, pre-trial</w:t>
            </w:r>
          </w:p>
        </w:tc>
        <w:tc>
          <w:tcPr>
            <w:tcW w:type="dxa" w:w="16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28-38 months</w:t>
            </w:r>
          </w:p>
        </w:tc>
        <w:tc>
          <w:tcPr>
            <w:tcW w:type="dxa" w:w="16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72%</w:t>
            </w:r>
          </w:p>
        </w:tc>
        <w:tc>
          <w:tcPr>
            <w:tcW w:type="dxa" w:w="16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1.3x</w:t>
            </w:r>
          </w:p>
        </w:tc>
        <w:tc>
          <w:tcPr>
            <w:tcW w:type="dxa" w:w="216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Rising cost. Settlement strongly preferred absent dispositive motion opportunity.</w:t>
            </w:r>
          </w:p>
        </w:tc>
      </w:tr>
      <w:tr>
        <w:tc>
          <w:tcPr>
            <w:tcW w:type="dxa" w:w="24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During trial / post-verdict</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38+ months</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85% (of those that reach trial)</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2.5x - 4.0x</w:t>
            </w:r>
          </w:p>
        </w:tc>
        <w:tc>
          <w:tcPr>
            <w:tcW w:type="dxa" w:w="21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Avoid. Nuclear verdict risk is highest at this stage.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GP Platform Calibration -- California</w:t>
            </w:r>
          </w:p>
        </w:tc>
      </w:tr>
    </w:tbl>
    <w:p>
      <w:pPr>
        <w:spacing w:after="60" w:before="0"/>
      </w:pPr>
    </w:p>
    <w:p>
      <w:pPr>
        <w:pStyle w:val="ListParagraph"/>
        <w:numPr>
          <w:ilvl w:val="0"/>
          <w:numId w:val="2"/>
        </w:numPr>
        <w:spacing w:after="40" w:before="40"/>
      </w:pPr>
      <w:r>
        <w:rPr>
          <w:rFonts w:ascii="Arial" w:cs="Arial" w:eastAsia="Arial" w:hAnsi="Arial"/>
          <w:color w:val="1A1A1A"/>
          <w:sz w:val="20"/>
          <w:szCs w:val="20"/>
        </w:rPr>
        <w:t xml:space="preserve">ECA venue risk score: HIGH. CA residential files should generate an automatic senior handler alert at claim intake.</w:t>
      </w:r>
    </w:p>
    <w:p>
      <w:pPr>
        <w:pStyle w:val="ListParagraph"/>
        <w:numPr>
          <w:ilvl w:val="0"/>
          <w:numId w:val="2"/>
        </w:numPr>
        <w:spacing w:after="40" w:before="40"/>
      </w:pPr>
      <w:r>
        <w:rPr>
          <w:rFonts w:ascii="Arial" w:cs="Arial" w:eastAsia="Arial" w:hAnsi="Arial"/>
          <w:color w:val="1A1A1A"/>
          <w:sz w:val="20"/>
          <w:szCs w:val="20"/>
        </w:rPr>
        <w:t xml:space="preserve">Initial reserve setting: Apply 1.35x CA venue multiplier to base CD reserve benchmark for all multi-unit residential CA claims</w:t>
      </w:r>
    </w:p>
    <w:p>
      <w:pPr>
        <w:pStyle w:val="ListParagraph"/>
        <w:numPr>
          <w:ilvl w:val="0"/>
          <w:numId w:val="2"/>
        </w:numPr>
        <w:spacing w:after="40" w:before="40"/>
      </w:pPr>
      <w:r>
        <w:rPr>
          <w:rFonts w:ascii="Arial" w:cs="Arial" w:eastAsia="Arial" w:hAnsi="Arial"/>
          <w:color w:val="1A1A1A"/>
          <w:sz w:val="20"/>
          <w:szCs w:val="20"/>
        </w:rPr>
        <w:t xml:space="preserve">Settlement timing trigger: GP should recommend settlement authority request at the post-discovery/pre-expert stage unless defense has strong coverage defense or motions pending</w:t>
      </w:r>
    </w:p>
    <w:p>
      <w:pPr>
        <w:pStyle w:val="ListParagraph"/>
        <w:numPr>
          <w:ilvl w:val="0"/>
          <w:numId w:val="2"/>
        </w:numPr>
        <w:spacing w:after="40" w:before="40"/>
      </w:pPr>
      <w:r>
        <w:rPr>
          <w:rFonts w:ascii="Arial" w:cs="Arial" w:eastAsia="Arial" w:hAnsi="Arial"/>
          <w:color w:val="1A1A1A"/>
          <w:sz w:val="20"/>
          <w:szCs w:val="20"/>
        </w:rPr>
        <w:t xml:space="preserve">AI endorsement flag: All CA files should trigger automatic review of AI endorsement language at claim intake (DP CL-03)</w:t>
      </w:r>
    </w:p>
    <w:p>
      <w:pPr>
        <w:pStyle w:val="ListParagraph"/>
        <w:numPr>
          <w:ilvl w:val="0"/>
          <w:numId w:val="2"/>
        </w:numPr>
        <w:spacing w:after="40" w:before="40"/>
      </w:pPr>
      <w:r>
        <w:rPr>
          <w:rFonts w:ascii="Arial" w:cs="Arial" w:eastAsia="Arial" w:hAnsi="Arial"/>
          <w:color w:val="1A1A1A"/>
          <w:sz w:val="20"/>
          <w:szCs w:val="20"/>
        </w:rPr>
        <w:t xml:space="preserve">Nuclear verdict alert: Any CA file with plaintiff firm profile matching Goldstein/Shea &amp; Connolly should generate a nuclear verdict risk flag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FFFFFF" w:sz="4"/>
              <w:left w:val="single" w:color="FFFFFF" w:sz="4"/>
              <w:bottom w:val="single" w:color="FFFFFF" w:sz="4"/>
              <w:right w:val="single" w:color="FFFFFF" w:sz="4"/>
            </w:tcBorders>
            <w:shd w:fill="8B0000" w:val="clear"/>
            <w:tcMar>
              <w:top w:type="dxa" w:w="160"/>
              <w:left w:type="dxa" w:w="200"/>
              <w:bottom w:type="dxa" w:w="160"/>
              <w:right w:type="dxa" w:w="200"/>
            </w:tcMar>
          </w:tcPr>
          <w:p>
            <w:r>
              <w:rPr>
                <w:rFonts w:ascii="Arial" w:cs="Arial" w:eastAsia="Arial" w:hAnsi="Arial"/>
                <w:b/>
                <w:bCs/>
                <w:color w:val="FFFFFF"/>
                <w:sz w:val="28"/>
                <w:szCs w:val="28"/>
              </w:rPr>
              <w:t xml:space="preserve">Nevada</w:t>
            </w:r>
          </w:p>
        </w:tc>
        <w:tc>
          <w:tcPr>
            <w:tcW w:type="dxa" w:w="2360"/>
            <w:tcBorders>
              <w:top w:val="single" w:color="FFFFFF" w:sz="4"/>
              <w:left w:val="single" w:color="FFFFFF" w:sz="4"/>
              <w:bottom w:val="single" w:color="FFFFFF" w:sz="4"/>
              <w:right w:val="single" w:color="FFFFFF" w:sz="4"/>
            </w:tcBorders>
            <w:shd w:fill="8B0000"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Nuclear Verdict State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D6DCE4" w:sz="2"/>
              <w:left w:val="single" w:color="D6DCE4" w:sz="2"/>
              <w:bottom w:val="single" w:color="D6DCE4" w:sz="2"/>
              <w:right w:val="single" w:color="D6DCE4" w:sz="2"/>
            </w:tcBorders>
            <w:shd w:fill="FDECEA" w:val="clear"/>
            <w:tcMar>
              <w:top w:type="dxa" w:w="120"/>
              <w:left w:type="dxa" w:w="140"/>
              <w:bottom w:type="dxa" w:w="120"/>
              <w:right w:type="dxa" w:w="140"/>
            </w:tcMar>
          </w:tcPr>
          <w:p>
            <w:pPr>
              <w:spacing w:after="60" w:before="0"/>
            </w:pPr>
            <w:r>
              <w:rPr>
                <w:rFonts w:ascii="Arial" w:cs="Arial" w:eastAsia="Arial" w:hAnsi="Arial"/>
                <w:b/>
                <w:bCs/>
                <w:color w:val="8B0000"/>
                <w:sz w:val="17"/>
                <w:szCs w:val="17"/>
              </w:rPr>
              <w:t xml:space="preserve">Avg CD Verdict (2020-2024)</w:t>
            </w:r>
          </w:p>
          <w:p>
            <w:pPr>
              <w:spacing w:after="0" w:before="0"/>
            </w:pPr>
            <w:r>
              <w:rPr>
                <w:rFonts w:ascii="Arial" w:cs="Arial" w:eastAsia="Arial" w:hAnsi="Arial"/>
                <w:b/>
                <w:bCs/>
                <w:color w:val="8B0000"/>
                <w:sz w:val="22"/>
                <w:szCs w:val="22"/>
              </w:rPr>
              <w:t xml:space="preserve">$6.8M</w:t>
            </w:r>
          </w:p>
        </w:tc>
        <w:tc>
          <w:tcPr>
            <w:tcBorders>
              <w:top w:val="single" w:color="D6DCE4" w:sz="2"/>
              <w:left w:val="single" w:color="D6DCE4" w:sz="2"/>
              <w:bottom w:val="single" w:color="D6DCE4" w:sz="2"/>
              <w:right w:val="single" w:color="D6DCE4" w:sz="2"/>
            </w:tcBorders>
            <w:shd w:fill="FDECEA" w:val="clear"/>
            <w:tcMar>
              <w:top w:type="dxa" w:w="120"/>
              <w:left w:type="dxa" w:w="140"/>
              <w:bottom w:type="dxa" w:w="120"/>
              <w:right w:type="dxa" w:w="140"/>
            </w:tcMar>
          </w:tcPr>
          <w:p>
            <w:pPr>
              <w:spacing w:after="60" w:before="0"/>
            </w:pPr>
            <w:r>
              <w:rPr>
                <w:rFonts w:ascii="Arial" w:cs="Arial" w:eastAsia="Arial" w:hAnsi="Arial"/>
                <w:b/>
                <w:bCs/>
                <w:color w:val="8B0000"/>
                <w:sz w:val="17"/>
                <w:szCs w:val="17"/>
              </w:rPr>
              <w:t xml:space="preserve">Nuclear Verdict Rate (&gt;$10M)</w:t>
            </w:r>
          </w:p>
          <w:p>
            <w:pPr>
              <w:spacing w:after="0" w:before="0"/>
            </w:pPr>
            <w:r>
              <w:rPr>
                <w:rFonts w:ascii="Arial" w:cs="Arial" w:eastAsia="Arial" w:hAnsi="Arial"/>
                <w:b/>
                <w:bCs/>
                <w:color w:val="8B0000"/>
                <w:sz w:val="22"/>
                <w:szCs w:val="22"/>
              </w:rPr>
              <w:t xml:space="preserve">24%</w:t>
            </w:r>
          </w:p>
        </w:tc>
        <w:tc>
          <w:tcPr>
            <w:tcBorders>
              <w:top w:val="single" w:color="D6DCE4" w:sz="2"/>
              <w:left w:val="single" w:color="D6DCE4" w:sz="2"/>
              <w:bottom w:val="single" w:color="D6DCE4" w:sz="2"/>
              <w:right w:val="single" w:color="D6DCE4" w:sz="2"/>
            </w:tcBorders>
            <w:shd w:fill="FFF3E0" w:val="clear"/>
            <w:tcMar>
              <w:top w:type="dxa" w:w="120"/>
              <w:left w:type="dxa" w:w="140"/>
              <w:bottom w:type="dxa" w:w="120"/>
              <w:right w:type="dxa" w:w="140"/>
            </w:tcMar>
          </w:tcPr>
          <w:p>
            <w:pPr>
              <w:spacing w:after="60" w:before="0"/>
            </w:pPr>
            <w:r>
              <w:rPr>
                <w:rFonts w:ascii="Arial" w:cs="Arial" w:eastAsia="Arial" w:hAnsi="Arial"/>
                <w:b/>
                <w:bCs/>
                <w:color w:val="7D4900"/>
                <w:sz w:val="17"/>
                <w:szCs w:val="17"/>
              </w:rPr>
              <w:t xml:space="preserve">Median Settlement</w:t>
            </w:r>
          </w:p>
          <w:p>
            <w:pPr>
              <w:spacing w:after="0" w:before="0"/>
            </w:pPr>
            <w:r>
              <w:rPr>
                <w:rFonts w:ascii="Arial" w:cs="Arial" w:eastAsia="Arial" w:hAnsi="Arial"/>
                <w:b/>
                <w:bCs/>
                <w:color w:val="7D4900"/>
                <w:sz w:val="22"/>
                <w:szCs w:val="22"/>
              </w:rPr>
              <w:t xml:space="preserve">$1.2M</w:t>
            </w:r>
          </w:p>
        </w:tc>
        <w:tc>
          <w:tcPr>
            <w:tcBorders>
              <w:top w:val="single" w:color="D6DCE4" w:sz="2"/>
              <w:left w:val="single" w:color="D6DCE4" w:sz="2"/>
              <w:bottom w:val="single" w:color="D6DCE4" w:sz="2"/>
              <w:right w:val="single" w:color="D6DCE4" w:sz="2"/>
            </w:tcBorders>
            <w:shd w:fill="E8EEF5" w:val="clear"/>
            <w:tcMar>
              <w:top w:type="dxa" w:w="120"/>
              <w:left w:type="dxa" w:w="140"/>
              <w:bottom w:type="dxa" w:w="120"/>
              <w:right w:type="dxa" w:w="140"/>
            </w:tcMar>
          </w:tcPr>
          <w:p>
            <w:pPr>
              <w:spacing w:after="60" w:before="0"/>
            </w:pPr>
            <w:r>
              <w:rPr>
                <w:rFonts w:ascii="Arial" w:cs="Arial" w:eastAsia="Arial" w:hAnsi="Arial"/>
                <w:b/>
                <w:bCs/>
                <w:color w:val="1B3A5C"/>
                <w:sz w:val="17"/>
                <w:szCs w:val="17"/>
              </w:rPr>
              <w:t xml:space="preserve">Avg Months to Trial</w:t>
            </w:r>
          </w:p>
          <w:p>
            <w:pPr>
              <w:spacing w:after="0" w:before="0"/>
            </w:pPr>
            <w:r>
              <w:rPr>
                <w:rFonts w:ascii="Arial" w:cs="Arial" w:eastAsia="Arial" w:hAnsi="Arial"/>
                <w:b/>
                <w:bCs/>
                <w:color w:val="1B3A5C"/>
                <w:sz w:val="22"/>
                <w:szCs w:val="22"/>
              </w:rPr>
              <w:t xml:space="preserve">38</w:t>
            </w:r>
          </w:p>
        </w:tc>
        <w:tc>
          <w:tcPr>
            <w:tcBorders>
              <w:top w:val="single" w:color="D6DCE4" w:sz="2"/>
              <w:left w:val="single" w:color="D6DCE4" w:sz="2"/>
              <w:bottom w:val="single" w:color="D6DCE4" w:sz="2"/>
              <w:right w:val="single" w:color="D6DCE4" w:sz="2"/>
            </w:tcBorders>
            <w:shd w:fill="FDECEA" w:val="clear"/>
            <w:tcMar>
              <w:top w:type="dxa" w:w="120"/>
              <w:left w:type="dxa" w:w="140"/>
              <w:bottom w:type="dxa" w:w="120"/>
              <w:right w:type="dxa" w:w="140"/>
            </w:tcMar>
          </w:tcPr>
          <w:p>
            <w:pPr>
              <w:spacing w:after="60" w:before="0"/>
            </w:pPr>
            <w:r>
              <w:rPr>
                <w:rFonts w:ascii="Arial" w:cs="Arial" w:eastAsia="Arial" w:hAnsi="Arial"/>
                <w:b/>
                <w:bCs/>
                <w:color w:val="8B0000"/>
                <w:sz w:val="17"/>
                <w:szCs w:val="17"/>
              </w:rPr>
              <w:t xml:space="preserve">Plaintiff Verdict Rate</w:t>
            </w:r>
          </w:p>
          <w:p>
            <w:pPr>
              <w:spacing w:after="0" w:before="0"/>
            </w:pPr>
            <w:r>
              <w:rPr>
                <w:rFonts w:ascii="Arial" w:cs="Arial" w:eastAsia="Arial" w:hAnsi="Arial"/>
                <w:b/>
                <w:bCs/>
                <w:color w:val="8B0000"/>
                <w:sz w:val="22"/>
                <w:szCs w:val="22"/>
              </w:rPr>
              <w:t xml:space="preserve">61%</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Verdict Environment</w:t>
            </w:r>
          </w:p>
        </w:tc>
      </w:tr>
    </w:tbl>
    <w:p>
      <w:pPr>
        <w:spacing w:after="60" w:before="0"/>
      </w:pPr>
    </w:p>
    <w:p>
      <w:pPr>
        <w:spacing w:after="80" w:before="60"/>
      </w:pPr>
      <w:r>
        <w:rPr>
          <w:rFonts w:ascii="Arial" w:cs="Arial" w:eastAsia="Arial" w:hAnsi="Arial"/>
          <w:color w:val="1A1A1A"/>
          <w:sz w:val="20"/>
          <w:szCs w:val="20"/>
        </w:rPr>
        <w:t xml:space="preserve">Nevada, particularly Clark County (Las Vegas), produces the highest per-verdict CD awards in the Meridian book. The Las Vegas hospitality and resort construction market creates high-value projects with complex multi-party litigation when defects emerge. Nevada's judicial district has historically been favorable to plaintiffs, and jury pool demographics in Clark County produce outsized emotional awards in claims involving residential housing.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Key Plaintiff Firms -- Nevada</w:t>
            </w:r>
          </w:p>
        </w:tc>
      </w:tr>
    </w:tbl>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1600"/>
        <w:gridCol w:w="2160"/>
      </w:tblGrid>
      <w:tr>
        <w:tc>
          <w:tcPr>
            <w:tcW w:type="dxa" w:w="28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Firm</w:t>
            </w:r>
          </w:p>
        </w:tc>
        <w:tc>
          <w:tcPr>
            <w:tcW w:type="dxa" w:w="20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Primary Counties</w:t>
            </w:r>
          </w:p>
        </w:tc>
        <w:tc>
          <w:tcPr>
            <w:tcW w:type="dxa" w:w="28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Specialty</w:t>
            </w:r>
          </w:p>
        </w:tc>
        <w:tc>
          <w:tcPr>
            <w:tcW w:type="dxa" w:w="16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Avg Demand Multiple</w:t>
            </w:r>
          </w:p>
        </w:tc>
        <w:tc>
          <w:tcPr>
            <w:tcW w:type="dxa" w:w="216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Settlement Style</w:t>
            </w:r>
          </w:p>
        </w:tc>
      </w:tr>
      <w:tr>
        <w:tc>
          <w:tcPr>
            <w:tcW w:type="dxa" w:w="2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Delaney &amp; Voss Construction Defect</w:t>
            </w:r>
          </w:p>
        </w:tc>
        <w:tc>
          <w:tcPr>
            <w:tcW w:type="dxa" w:w="20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Clark County (Las Vegas)</w:t>
            </w:r>
          </w:p>
        </w:tc>
        <w:tc>
          <w:tcPr>
            <w:tcW w:type="dxa" w:w="2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Multi-unit residential, hospitality construction</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3.2x - 4.8x</w:t>
            </w:r>
          </w:p>
        </w:tc>
        <w:tc>
          <w:tcPr>
            <w:tcW w:type="dxa" w:w="21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Trial-oriented. High nuclear verdict rate. Consider early settlement.</w:t>
            </w:r>
          </w:p>
        </w:tc>
      </w:tr>
      <w:tr>
        <w:tc>
          <w:tcPr>
            <w:tcW w:type="dxa" w:w="28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Nevada CD Alliance</w:t>
            </w:r>
          </w:p>
        </w:tc>
        <w:tc>
          <w:tcPr>
            <w:tcW w:type="dxa" w:w="20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Clark, Washoe</w:t>
            </w:r>
          </w:p>
        </w:tc>
        <w:tc>
          <w:tcPr>
            <w:tcW w:type="dxa" w:w="28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HOA-driven residential CD, condo conversions</w:t>
            </w:r>
          </w:p>
        </w:tc>
        <w:tc>
          <w:tcPr>
            <w:tcW w:type="dxa" w:w="16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2.5x - 3.2x</w:t>
            </w:r>
          </w:p>
        </w:tc>
        <w:tc>
          <w:tcPr>
            <w:tcW w:type="dxa" w:w="216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Mediation-focused when Meridian has strong coverage defense.</w:t>
            </w:r>
          </w:p>
        </w:tc>
      </w:tr>
      <w:tr>
        <w:tc>
          <w:tcPr>
            <w:tcW w:type="dxa" w:w="2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Sierra Pacific Litigation Group</w:t>
            </w:r>
          </w:p>
        </w:tc>
        <w:tc>
          <w:tcPr>
            <w:tcW w:type="dxa" w:w="20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Washoe County (Reno)</w:t>
            </w:r>
          </w:p>
        </w:tc>
        <w:tc>
          <w:tcPr>
            <w:tcW w:type="dxa" w:w="2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Commercial construction, water intrusion</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2.0x - 2.8x</w:t>
            </w:r>
          </w:p>
        </w:tc>
        <w:tc>
          <w:tcPr>
            <w:tcW w:type="dxa" w:w="21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Reasonable settlement behavior on commercial files.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Settlement Timing Model -- Nevada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c>
          <w:tcPr>
            <w:tcW w:type="dxa" w:w="22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Stage</w:t>
            </w:r>
          </w:p>
        </w:tc>
        <w:tc>
          <w:tcPr>
            <w:tcW w:type="dxa" w:w="14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Timing</w:t>
            </w:r>
          </w:p>
        </w:tc>
        <w:tc>
          <w:tcPr>
            <w:tcW w:type="dxa" w:w="16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Settlement Probability</w:t>
            </w:r>
          </w:p>
        </w:tc>
        <w:tc>
          <w:tcPr>
            <w:tcW w:type="dxa" w:w="416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Meridian Recommendation</w:t>
            </w:r>
          </w:p>
        </w:tc>
      </w:tr>
      <w:tr>
        <w:tc>
          <w:tcPr>
            <w:tcW w:type="dxa" w:w="22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Pre-litigation</w:t>
            </w:r>
          </w:p>
        </w:tc>
        <w:tc>
          <w:tcPr>
            <w:tcW w:type="dxa" w:w="14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0-9 months</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25%</w:t>
            </w:r>
          </w:p>
        </w:tc>
        <w:tc>
          <w:tcPr>
            <w:tcW w:type="dxa" w:w="41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Initiate if repair/remediation solution available. NV has no SB 800 equivalent -- faster to litigation.</w:t>
            </w:r>
          </w:p>
        </w:tc>
      </w:tr>
      <w:tr>
        <w:tc>
          <w:tcPr>
            <w:tcW w:type="dxa" w:w="22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Post-filing, pre-discovery</w:t>
            </w:r>
          </w:p>
        </w:tc>
        <w:tc>
          <w:tcPr>
            <w:tcW w:type="dxa" w:w="14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9-15 months</w:t>
            </w:r>
          </w:p>
        </w:tc>
        <w:tc>
          <w:tcPr>
            <w:tcW w:type="dxa" w:w="16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42%</w:t>
            </w:r>
          </w:p>
        </w:tc>
        <w:tc>
          <w:tcPr>
            <w:tcW w:type="dxa" w:w="416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Primary window for commercial and single-family NV claims.</w:t>
            </w:r>
          </w:p>
        </w:tc>
      </w:tr>
      <w:tr>
        <w:tc>
          <w:tcPr>
            <w:tcW w:type="dxa" w:w="22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Post-discovery, pre-expert</w:t>
            </w:r>
          </w:p>
        </w:tc>
        <w:tc>
          <w:tcPr>
            <w:tcW w:type="dxa" w:w="14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15-24 months</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60%</w:t>
            </w:r>
          </w:p>
        </w:tc>
        <w:tc>
          <w:tcPr>
            <w:tcW w:type="dxa" w:w="41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Strongly preferred for Clark County residential. Nuclear verdict risk rises sharply at trial.</w:t>
            </w:r>
          </w:p>
        </w:tc>
      </w:tr>
      <w:tr>
        <w:tc>
          <w:tcPr>
            <w:tcW w:type="dxa" w:w="22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Post-expert, pre-trial</w:t>
            </w:r>
          </w:p>
        </w:tc>
        <w:tc>
          <w:tcPr>
            <w:tcW w:type="dxa" w:w="14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24-34 months</w:t>
            </w:r>
          </w:p>
        </w:tc>
        <w:tc>
          <w:tcPr>
            <w:tcW w:type="dxa" w:w="16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74%</w:t>
            </w:r>
          </w:p>
        </w:tc>
        <w:tc>
          <w:tcPr>
            <w:tcW w:type="dxa" w:w="416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Settlement necessary at this stage for most NV residential claims.</w:t>
            </w:r>
          </w:p>
        </w:tc>
      </w:tr>
      <w:tr>
        <w:tc>
          <w:tcPr>
            <w:tcW w:type="dxa" w:w="22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Trial</w:t>
            </w:r>
          </w:p>
        </w:tc>
        <w:tc>
          <w:tcPr>
            <w:tcW w:type="dxa" w:w="14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34+ months</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N/A</w:t>
            </w:r>
          </w:p>
        </w:tc>
        <w:tc>
          <w:tcPr>
            <w:tcW w:type="dxa" w:w="41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Avoid for Clark County residential. NV nuclear verdict rate (24%) is the highest in Meridian's book.</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GP Platform Calibration -- Nevada</w:t>
            </w:r>
          </w:p>
        </w:tc>
      </w:tr>
    </w:tbl>
    <w:p>
      <w:pPr>
        <w:pStyle w:val="ListParagraph"/>
        <w:numPr>
          <w:ilvl w:val="0"/>
          <w:numId w:val="2"/>
        </w:numPr>
        <w:spacing w:after="40" w:before="40"/>
      </w:pPr>
      <w:r>
        <w:rPr>
          <w:rFonts w:ascii="Arial" w:cs="Arial" w:eastAsia="Arial" w:hAnsi="Arial"/>
          <w:color w:val="1A1A1A"/>
          <w:sz w:val="20"/>
          <w:szCs w:val="20"/>
        </w:rPr>
        <w:t xml:space="preserve">ECA venue risk score: VERY HIGH for Clark County (Las Vegas). Standard for Washoe County.</w:t>
      </w:r>
    </w:p>
    <w:p>
      <w:pPr>
        <w:pStyle w:val="ListParagraph"/>
        <w:numPr>
          <w:ilvl w:val="0"/>
          <w:numId w:val="2"/>
        </w:numPr>
        <w:spacing w:after="40" w:before="40"/>
      </w:pPr>
      <w:r>
        <w:rPr>
          <w:rFonts w:ascii="Arial" w:cs="Arial" w:eastAsia="Arial" w:hAnsi="Arial"/>
          <w:color w:val="1A1A1A"/>
          <w:sz w:val="20"/>
          <w:szCs w:val="20"/>
        </w:rPr>
        <w:t xml:space="preserve">Initial reserve multiplier: 1.55x for Clark County residential; 1.20x for Washoe; 1.10x for all other NV</w:t>
      </w:r>
    </w:p>
    <w:p>
      <w:pPr>
        <w:pStyle w:val="ListParagraph"/>
        <w:numPr>
          <w:ilvl w:val="0"/>
          <w:numId w:val="2"/>
        </w:numPr>
        <w:spacing w:after="40" w:before="40"/>
      </w:pPr>
      <w:r>
        <w:rPr>
          <w:rFonts w:ascii="Arial" w:cs="Arial" w:eastAsia="Arial" w:hAnsi="Arial"/>
          <w:color w:val="1A1A1A"/>
          <w:sz w:val="20"/>
          <w:szCs w:val="20"/>
        </w:rPr>
        <w:t xml:space="preserve">Delaney &amp; Voss flag: Any NV file with Delaney &amp; Voss should generate an immediate nuclear verdict alert and CCO-level notification</w:t>
      </w:r>
    </w:p>
    <w:p>
      <w:pPr>
        <w:pStyle w:val="ListParagraph"/>
        <w:numPr>
          <w:ilvl w:val="0"/>
          <w:numId w:val="2"/>
        </w:numPr>
        <w:spacing w:after="40" w:before="40"/>
      </w:pPr>
      <w:r>
        <w:rPr>
          <w:rFonts w:ascii="Arial" w:cs="Arial" w:eastAsia="Arial" w:hAnsi="Arial"/>
          <w:color w:val="1A1A1A"/>
          <w:sz w:val="20"/>
          <w:szCs w:val="20"/>
        </w:rPr>
        <w:t xml:space="preserve">Settlement authority trigger: Recommend settlement authority request at post-discovery stage for Clark County files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FFFFFF" w:sz="4"/>
              <w:left w:val="single" w:color="FFFFFF" w:sz="4"/>
              <w:bottom w:val="single" w:color="FFFFFF" w:sz="4"/>
              <w:right w:val="single" w:color="FFFFFF" w:sz="4"/>
            </w:tcBorders>
            <w:shd w:fill="C55A11" w:val="clear"/>
            <w:tcMar>
              <w:top w:type="dxa" w:w="160"/>
              <w:left w:type="dxa" w:w="200"/>
              <w:bottom w:type="dxa" w:w="160"/>
              <w:right w:type="dxa" w:w="200"/>
            </w:tcMar>
          </w:tcPr>
          <w:p>
            <w:r>
              <w:rPr>
                <w:rFonts w:ascii="Arial" w:cs="Arial" w:eastAsia="Arial" w:hAnsi="Arial"/>
                <w:b/>
                <w:bCs/>
                <w:color w:val="FFFFFF"/>
                <w:sz w:val="28"/>
                <w:szCs w:val="28"/>
              </w:rPr>
              <w:t xml:space="preserve">Florida</w:t>
            </w:r>
          </w:p>
        </w:tc>
        <w:tc>
          <w:tcPr>
            <w:tcW w:type="dxa" w:w="2360"/>
            <w:tcBorders>
              <w:top w:val="single" w:color="FFFFFF" w:sz="4"/>
              <w:left w:val="single" w:color="FFFFFF" w:sz="4"/>
              <w:bottom w:val="single" w:color="FFFFFF" w:sz="4"/>
              <w:right w:val="single" w:color="FFFFFF" w:sz="4"/>
            </w:tcBorders>
            <w:shd w:fill="C55A11"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Elevated Risk</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D6DCE4" w:sz="2"/>
              <w:left w:val="single" w:color="D6DCE4" w:sz="2"/>
              <w:bottom w:val="single" w:color="D6DCE4" w:sz="2"/>
              <w:right w:val="single" w:color="D6DCE4" w:sz="2"/>
            </w:tcBorders>
            <w:shd w:fill="FFF3E0" w:val="clear"/>
            <w:tcMar>
              <w:top w:type="dxa" w:w="120"/>
              <w:left w:type="dxa" w:w="140"/>
              <w:bottom w:type="dxa" w:w="120"/>
              <w:right w:type="dxa" w:w="140"/>
            </w:tcMar>
          </w:tcPr>
          <w:p>
            <w:pPr>
              <w:spacing w:after="60" w:before="0"/>
            </w:pPr>
            <w:r>
              <w:rPr>
                <w:rFonts w:ascii="Arial" w:cs="Arial" w:eastAsia="Arial" w:hAnsi="Arial"/>
                <w:b/>
                <w:bCs/>
                <w:color w:val="7D4900"/>
                <w:sz w:val="17"/>
                <w:szCs w:val="17"/>
              </w:rPr>
              <w:t xml:space="preserve">Avg CD Verdict (2020-2024)</w:t>
            </w:r>
          </w:p>
          <w:p>
            <w:pPr>
              <w:spacing w:after="0" w:before="0"/>
            </w:pPr>
            <w:r>
              <w:rPr>
                <w:rFonts w:ascii="Arial" w:cs="Arial" w:eastAsia="Arial" w:hAnsi="Arial"/>
                <w:b/>
                <w:bCs/>
                <w:color w:val="7D4900"/>
                <w:sz w:val="22"/>
                <w:szCs w:val="22"/>
              </w:rPr>
              <w:t xml:space="preserve">$2.9M</w:t>
            </w:r>
          </w:p>
        </w:tc>
        <w:tc>
          <w:tcPr>
            <w:tcBorders>
              <w:top w:val="single" w:color="D6DCE4" w:sz="2"/>
              <w:left w:val="single" w:color="D6DCE4" w:sz="2"/>
              <w:bottom w:val="single" w:color="D6DCE4" w:sz="2"/>
              <w:right w:val="single" w:color="D6DCE4" w:sz="2"/>
            </w:tcBorders>
            <w:shd w:fill="FFF3E0" w:val="clear"/>
            <w:tcMar>
              <w:top w:type="dxa" w:w="120"/>
              <w:left w:type="dxa" w:w="140"/>
              <w:bottom w:type="dxa" w:w="120"/>
              <w:right w:type="dxa" w:w="140"/>
            </w:tcMar>
          </w:tcPr>
          <w:p>
            <w:pPr>
              <w:spacing w:after="60" w:before="0"/>
            </w:pPr>
            <w:r>
              <w:rPr>
                <w:rFonts w:ascii="Arial" w:cs="Arial" w:eastAsia="Arial" w:hAnsi="Arial"/>
                <w:b/>
                <w:bCs/>
                <w:color w:val="7D4900"/>
                <w:sz w:val="17"/>
                <w:szCs w:val="17"/>
              </w:rPr>
              <w:t xml:space="preserve">Nuclear Verdict Rate (&gt;$10M)</w:t>
            </w:r>
          </w:p>
          <w:p>
            <w:pPr>
              <w:spacing w:after="0" w:before="0"/>
            </w:pPr>
            <w:r>
              <w:rPr>
                <w:rFonts w:ascii="Arial" w:cs="Arial" w:eastAsia="Arial" w:hAnsi="Arial"/>
                <w:b/>
                <w:bCs/>
                <w:color w:val="7D4900"/>
                <w:sz w:val="22"/>
                <w:szCs w:val="22"/>
              </w:rPr>
              <w:t xml:space="preserve">9%</w:t>
            </w:r>
          </w:p>
        </w:tc>
        <w:tc>
          <w:tcPr>
            <w:tcBorders>
              <w:top w:val="single" w:color="D6DCE4" w:sz="2"/>
              <w:left w:val="single" w:color="D6DCE4" w:sz="2"/>
              <w:bottom w:val="single" w:color="D6DCE4" w:sz="2"/>
              <w:right w:val="single" w:color="D6DCE4" w:sz="2"/>
            </w:tcBorders>
            <w:shd w:fill="E8EEF5" w:val="clear"/>
            <w:tcMar>
              <w:top w:type="dxa" w:w="120"/>
              <w:left w:type="dxa" w:w="140"/>
              <w:bottom w:type="dxa" w:w="120"/>
              <w:right w:type="dxa" w:w="140"/>
            </w:tcMar>
          </w:tcPr>
          <w:p>
            <w:pPr>
              <w:spacing w:after="60" w:before="0"/>
            </w:pPr>
            <w:r>
              <w:rPr>
                <w:rFonts w:ascii="Arial" w:cs="Arial" w:eastAsia="Arial" w:hAnsi="Arial"/>
                <w:b/>
                <w:bCs/>
                <w:color w:val="1B3A5C"/>
                <w:sz w:val="17"/>
                <w:szCs w:val="17"/>
              </w:rPr>
              <w:t xml:space="preserve">Median Settlement</w:t>
            </w:r>
          </w:p>
          <w:p>
            <w:pPr>
              <w:spacing w:after="0" w:before="0"/>
            </w:pPr>
            <w:r>
              <w:rPr>
                <w:rFonts w:ascii="Arial" w:cs="Arial" w:eastAsia="Arial" w:hAnsi="Arial"/>
                <w:b/>
                <w:bCs/>
                <w:color w:val="1B3A5C"/>
                <w:sz w:val="22"/>
                <w:szCs w:val="22"/>
              </w:rPr>
              <w:t xml:space="preserve">$650K</w:t>
            </w:r>
          </w:p>
        </w:tc>
        <w:tc>
          <w:tcPr>
            <w:tcBorders>
              <w:top w:val="single" w:color="D6DCE4" w:sz="2"/>
              <w:left w:val="single" w:color="D6DCE4" w:sz="2"/>
              <w:bottom w:val="single" w:color="D6DCE4" w:sz="2"/>
              <w:right w:val="single" w:color="D6DCE4" w:sz="2"/>
            </w:tcBorders>
            <w:shd w:fill="E8EEF5" w:val="clear"/>
            <w:tcMar>
              <w:top w:type="dxa" w:w="120"/>
              <w:left w:type="dxa" w:w="140"/>
              <w:bottom w:type="dxa" w:w="120"/>
              <w:right w:type="dxa" w:w="140"/>
            </w:tcMar>
          </w:tcPr>
          <w:p>
            <w:pPr>
              <w:spacing w:after="60" w:before="0"/>
            </w:pPr>
            <w:r>
              <w:rPr>
                <w:rFonts w:ascii="Arial" w:cs="Arial" w:eastAsia="Arial" w:hAnsi="Arial"/>
                <w:b/>
                <w:bCs/>
                <w:color w:val="1B3A5C"/>
                <w:sz w:val="17"/>
                <w:szCs w:val="17"/>
              </w:rPr>
              <w:t xml:space="preserve">Avg Months to Trial</w:t>
            </w:r>
          </w:p>
          <w:p>
            <w:pPr>
              <w:spacing w:after="0" w:before="0"/>
            </w:pPr>
            <w:r>
              <w:rPr>
                <w:rFonts w:ascii="Arial" w:cs="Arial" w:eastAsia="Arial" w:hAnsi="Arial"/>
                <w:b/>
                <w:bCs/>
                <w:color w:val="1B3A5C"/>
                <w:sz w:val="22"/>
                <w:szCs w:val="22"/>
              </w:rPr>
              <w:t xml:space="preserve">36</w:t>
            </w:r>
          </w:p>
        </w:tc>
        <w:tc>
          <w:tcPr>
            <w:tcBorders>
              <w:top w:val="single" w:color="D6DCE4" w:sz="2"/>
              <w:left w:val="single" w:color="D6DCE4" w:sz="2"/>
              <w:bottom w:val="single" w:color="D6DCE4" w:sz="2"/>
              <w:right w:val="single" w:color="D6DCE4" w:sz="2"/>
            </w:tcBorders>
            <w:shd w:fill="FFF3E0" w:val="clear"/>
            <w:tcMar>
              <w:top w:type="dxa" w:w="120"/>
              <w:left w:type="dxa" w:w="140"/>
              <w:bottom w:type="dxa" w:w="120"/>
              <w:right w:type="dxa" w:w="140"/>
            </w:tcMar>
          </w:tcPr>
          <w:p>
            <w:pPr>
              <w:spacing w:after="60" w:before="0"/>
            </w:pPr>
            <w:r>
              <w:rPr>
                <w:rFonts w:ascii="Arial" w:cs="Arial" w:eastAsia="Arial" w:hAnsi="Arial"/>
                <w:b/>
                <w:bCs/>
                <w:color w:val="7D4900"/>
                <w:sz w:val="17"/>
                <w:szCs w:val="17"/>
              </w:rPr>
              <w:t xml:space="preserve">Plaintiff Verdict Rate</w:t>
            </w:r>
          </w:p>
          <w:p>
            <w:pPr>
              <w:spacing w:after="0" w:before="0"/>
            </w:pPr>
            <w:r>
              <w:rPr>
                <w:rFonts w:ascii="Arial" w:cs="Arial" w:eastAsia="Arial" w:hAnsi="Arial"/>
                <w:b/>
                <w:bCs/>
                <w:color w:val="7D4900"/>
                <w:sz w:val="22"/>
                <w:szCs w:val="22"/>
              </w:rPr>
              <w:t xml:space="preserve">55%</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Verdict Environment</w:t>
            </w:r>
          </w:p>
        </w:tc>
      </w:tr>
    </w:tbl>
    <w:p>
      <w:pPr>
        <w:spacing w:after="60" w:before="0"/>
      </w:pPr>
    </w:p>
    <w:p>
      <w:pPr>
        <w:spacing w:after="80" w:before="60"/>
      </w:pPr>
      <w:r>
        <w:rPr>
          <w:rFonts w:ascii="Arial" w:cs="Arial" w:eastAsia="Arial" w:hAnsi="Arial"/>
          <w:color w:val="1A1A1A"/>
          <w:sz w:val="20"/>
          <w:szCs w:val="20"/>
        </w:rPr>
        <w:t xml:space="preserve">Florida's CD litigation environment is shaped primarily by the Assignment of Benefits (AOB) dynamic and by the concentration of plaintiff-specialized firms in Miami-Dade, Broward, and Palm Beach counties. AOB allows contractors and vendors to obtain assignments of homeowner insurance benefits, creating complex three-party disputes. The post-hurricane litigation cycle in South Florida generates high-volume CD filings when post-storm repair contractors perform defective remediation work. Outside South Florida, the litigation environment is more moderate.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Key Plaintiff Firms -- Florida</w:t>
            </w:r>
          </w:p>
        </w:tc>
      </w:tr>
    </w:tbl>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1600"/>
        <w:gridCol w:w="2160"/>
      </w:tblGrid>
      <w:tr>
        <w:tc>
          <w:tcPr>
            <w:tcW w:type="dxa" w:w="28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Firm</w:t>
            </w:r>
          </w:p>
        </w:tc>
        <w:tc>
          <w:tcPr>
            <w:tcW w:type="dxa" w:w="20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Counties</w:t>
            </w:r>
          </w:p>
        </w:tc>
        <w:tc>
          <w:tcPr>
            <w:tcW w:type="dxa" w:w="28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Specialty</w:t>
            </w:r>
          </w:p>
        </w:tc>
        <w:tc>
          <w:tcPr>
            <w:tcW w:type="dxa" w:w="16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Avg Demand Multiple</w:t>
            </w:r>
          </w:p>
        </w:tc>
        <w:tc>
          <w:tcPr>
            <w:tcW w:type="dxa" w:w="216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Notes</w:t>
            </w:r>
          </w:p>
        </w:tc>
      </w:tr>
      <w:tr>
        <w:tc>
          <w:tcPr>
            <w:tcW w:type="dxa" w:w="2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South Florida CD Group</w:t>
            </w:r>
          </w:p>
        </w:tc>
        <w:tc>
          <w:tcPr>
            <w:tcW w:type="dxa" w:w="20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Miami-Dade, Broward</w:t>
            </w:r>
          </w:p>
        </w:tc>
        <w:tc>
          <w:tcPr>
            <w:tcW w:type="dxa" w:w="2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AOB-driven CD, hurricane remediation</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2.4x - 3.0x</w:t>
            </w:r>
          </w:p>
        </w:tc>
        <w:tc>
          <w:tcPr>
            <w:tcW w:type="dxa" w:w="21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High volume. AOB assignments a primary tool.</w:t>
            </w:r>
          </w:p>
        </w:tc>
      </w:tr>
      <w:tr>
        <w:tc>
          <w:tcPr>
            <w:tcW w:type="dxa" w:w="28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Sunshine State Construction Litigation</w:t>
            </w:r>
          </w:p>
        </w:tc>
        <w:tc>
          <w:tcPr>
            <w:tcW w:type="dxa" w:w="20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Statewide</w:t>
            </w:r>
          </w:p>
        </w:tc>
        <w:tc>
          <w:tcPr>
            <w:tcW w:type="dxa" w:w="28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Commercial GC defects, HOA claims</w:t>
            </w:r>
          </w:p>
        </w:tc>
        <w:tc>
          <w:tcPr>
            <w:tcW w:type="dxa" w:w="16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2.0x - 2.6x</w:t>
            </w:r>
          </w:p>
        </w:tc>
        <w:tc>
          <w:tcPr>
            <w:tcW w:type="dxa" w:w="216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Mediation-oriented. Resolves most files pre-trial.</w:t>
            </w:r>
          </w:p>
        </w:tc>
      </w:tr>
      <w:tr>
        <w:tc>
          <w:tcPr>
            <w:tcW w:type="dxa" w:w="2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Palm Beach CD &amp; Recovery</w:t>
            </w:r>
          </w:p>
        </w:tc>
        <w:tc>
          <w:tcPr>
            <w:tcW w:type="dxa" w:w="20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Palm Beach</w:t>
            </w:r>
          </w:p>
        </w:tc>
        <w:tc>
          <w:tcPr>
            <w:tcW w:type="dxa" w:w="2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Luxury residential, high-end renovation</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2.8x - 3.5x</w:t>
            </w:r>
          </w:p>
        </w:tc>
        <w:tc>
          <w:tcPr>
            <w:tcW w:type="dxa" w:w="21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Higher value per claim. Expert-intensive.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GP Platform Calibration -- Florida</w:t>
            </w:r>
          </w:p>
        </w:tc>
      </w:tr>
    </w:tbl>
    <w:p>
      <w:pPr>
        <w:pStyle w:val="ListParagraph"/>
        <w:numPr>
          <w:ilvl w:val="0"/>
          <w:numId w:val="2"/>
        </w:numPr>
        <w:spacing w:after="40" w:before="40"/>
      </w:pPr>
      <w:r>
        <w:rPr>
          <w:rFonts w:ascii="Arial" w:cs="Arial" w:eastAsia="Arial" w:hAnsi="Arial"/>
          <w:color w:val="1A1A1A"/>
          <w:sz w:val="20"/>
          <w:szCs w:val="20"/>
        </w:rPr>
        <w:t xml:space="preserve">ECA venue risk score: ELEVATED for Miami-Dade/Broward/Palm Beach; STANDARD elsewhere</w:t>
      </w:r>
    </w:p>
    <w:p>
      <w:pPr>
        <w:pStyle w:val="ListParagraph"/>
        <w:numPr>
          <w:ilvl w:val="0"/>
          <w:numId w:val="2"/>
        </w:numPr>
        <w:spacing w:after="40" w:before="40"/>
      </w:pPr>
      <w:r>
        <w:rPr>
          <w:rFonts w:ascii="Arial" w:cs="Arial" w:eastAsia="Arial" w:hAnsi="Arial"/>
          <w:color w:val="1A1A1A"/>
          <w:sz w:val="20"/>
          <w:szCs w:val="20"/>
        </w:rPr>
        <w:t xml:space="preserve">AOB flag: Any FL file where a third-party vendor has an AOB assignment should be flagged for immediate coverage counsel review</w:t>
      </w:r>
    </w:p>
    <w:p>
      <w:pPr>
        <w:pStyle w:val="ListParagraph"/>
        <w:numPr>
          <w:ilvl w:val="0"/>
          <w:numId w:val="2"/>
        </w:numPr>
        <w:spacing w:after="40" w:before="40"/>
      </w:pPr>
      <w:r>
        <w:rPr>
          <w:rFonts w:ascii="Arial" w:cs="Arial" w:eastAsia="Arial" w:hAnsi="Arial"/>
          <w:color w:val="1A1A1A"/>
          <w:sz w:val="20"/>
          <w:szCs w:val="20"/>
        </w:rPr>
        <w:t xml:space="preserve">Initial reserve multiplier: 1.25x South FL; 1.05x Central/North FL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FFFFFF" w:sz="4"/>
              <w:left w:val="single" w:color="FFFFFF" w:sz="4"/>
              <w:bottom w:val="single" w:color="FFFFFF" w:sz="4"/>
              <w:right w:val="single" w:color="FFFFFF" w:sz="4"/>
            </w:tcBorders>
            <w:shd w:fill="C55A11" w:val="clear"/>
            <w:tcMar>
              <w:top w:type="dxa" w:w="160"/>
              <w:left w:type="dxa" w:w="200"/>
              <w:bottom w:type="dxa" w:w="160"/>
              <w:right w:type="dxa" w:w="200"/>
            </w:tcMar>
          </w:tcPr>
          <w:p>
            <w:r>
              <w:rPr>
                <w:rFonts w:ascii="Arial" w:cs="Arial" w:eastAsia="Arial" w:hAnsi="Arial"/>
                <w:b/>
                <w:bCs/>
                <w:color w:val="FFFFFF"/>
                <w:sz w:val="28"/>
                <w:szCs w:val="28"/>
              </w:rPr>
              <w:t xml:space="preserve">Colorado</w:t>
            </w:r>
          </w:p>
        </w:tc>
        <w:tc>
          <w:tcPr>
            <w:tcW w:type="dxa" w:w="2360"/>
            <w:tcBorders>
              <w:top w:val="single" w:color="FFFFFF" w:sz="4"/>
              <w:left w:val="single" w:color="FFFFFF" w:sz="4"/>
              <w:bottom w:val="single" w:color="FFFFFF" w:sz="4"/>
              <w:right w:val="single" w:color="FFFFFF" w:sz="4"/>
            </w:tcBorders>
            <w:shd w:fill="C55A11"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Elevated Risk</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D6DCE4" w:sz="2"/>
              <w:left w:val="single" w:color="D6DCE4" w:sz="2"/>
              <w:bottom w:val="single" w:color="D6DCE4" w:sz="2"/>
              <w:right w:val="single" w:color="D6DCE4" w:sz="2"/>
            </w:tcBorders>
            <w:shd w:fill="FFF3E0" w:val="clear"/>
            <w:tcMar>
              <w:top w:type="dxa" w:w="120"/>
              <w:left w:type="dxa" w:w="140"/>
              <w:bottom w:type="dxa" w:w="120"/>
              <w:right w:type="dxa" w:w="140"/>
            </w:tcMar>
          </w:tcPr>
          <w:p>
            <w:pPr>
              <w:spacing w:after="60" w:before="0"/>
            </w:pPr>
            <w:r>
              <w:rPr>
                <w:rFonts w:ascii="Arial" w:cs="Arial" w:eastAsia="Arial" w:hAnsi="Arial"/>
                <w:b/>
                <w:bCs/>
                <w:color w:val="7D4900"/>
                <w:sz w:val="17"/>
                <w:szCs w:val="17"/>
              </w:rPr>
              <w:t xml:space="preserve">Avg CD Verdict (2020-2024)</w:t>
            </w:r>
          </w:p>
          <w:p>
            <w:pPr>
              <w:spacing w:after="0" w:before="0"/>
            </w:pPr>
            <w:r>
              <w:rPr>
                <w:rFonts w:ascii="Arial" w:cs="Arial" w:eastAsia="Arial" w:hAnsi="Arial"/>
                <w:b/>
                <w:bCs/>
                <w:color w:val="7D4900"/>
                <w:sz w:val="22"/>
                <w:szCs w:val="22"/>
              </w:rPr>
              <w:t xml:space="preserve">$3.1M</w:t>
            </w:r>
          </w:p>
        </w:tc>
        <w:tc>
          <w:tcPr>
            <w:tcBorders>
              <w:top w:val="single" w:color="D6DCE4" w:sz="2"/>
              <w:left w:val="single" w:color="D6DCE4" w:sz="2"/>
              <w:bottom w:val="single" w:color="D6DCE4" w:sz="2"/>
              <w:right w:val="single" w:color="D6DCE4" w:sz="2"/>
            </w:tcBorders>
            <w:shd w:fill="FFF3E0" w:val="clear"/>
            <w:tcMar>
              <w:top w:type="dxa" w:w="120"/>
              <w:left w:type="dxa" w:w="140"/>
              <w:bottom w:type="dxa" w:w="120"/>
              <w:right w:type="dxa" w:w="140"/>
            </w:tcMar>
          </w:tcPr>
          <w:p>
            <w:pPr>
              <w:spacing w:after="60" w:before="0"/>
            </w:pPr>
            <w:r>
              <w:rPr>
                <w:rFonts w:ascii="Arial" w:cs="Arial" w:eastAsia="Arial" w:hAnsi="Arial"/>
                <w:b/>
                <w:bCs/>
                <w:color w:val="7D4900"/>
                <w:sz w:val="17"/>
                <w:szCs w:val="17"/>
              </w:rPr>
              <w:t xml:space="preserve">Nuclear Verdict Rate (&gt;$10M)</w:t>
            </w:r>
          </w:p>
          <w:p>
            <w:pPr>
              <w:spacing w:after="0" w:before="0"/>
            </w:pPr>
            <w:r>
              <w:rPr>
                <w:rFonts w:ascii="Arial" w:cs="Arial" w:eastAsia="Arial" w:hAnsi="Arial"/>
                <w:b/>
                <w:bCs/>
                <w:color w:val="7D4900"/>
                <w:sz w:val="22"/>
                <w:szCs w:val="22"/>
              </w:rPr>
              <w:t xml:space="preserve">11%</w:t>
            </w:r>
          </w:p>
        </w:tc>
        <w:tc>
          <w:tcPr>
            <w:tcBorders>
              <w:top w:val="single" w:color="D6DCE4" w:sz="2"/>
              <w:left w:val="single" w:color="D6DCE4" w:sz="2"/>
              <w:bottom w:val="single" w:color="D6DCE4" w:sz="2"/>
              <w:right w:val="single" w:color="D6DCE4" w:sz="2"/>
            </w:tcBorders>
            <w:shd w:fill="E8EEF5" w:val="clear"/>
            <w:tcMar>
              <w:top w:type="dxa" w:w="120"/>
              <w:left w:type="dxa" w:w="140"/>
              <w:bottom w:type="dxa" w:w="120"/>
              <w:right w:type="dxa" w:w="140"/>
            </w:tcMar>
          </w:tcPr>
          <w:p>
            <w:pPr>
              <w:spacing w:after="60" w:before="0"/>
            </w:pPr>
            <w:r>
              <w:rPr>
                <w:rFonts w:ascii="Arial" w:cs="Arial" w:eastAsia="Arial" w:hAnsi="Arial"/>
                <w:b/>
                <w:bCs/>
                <w:color w:val="1B3A5C"/>
                <w:sz w:val="17"/>
                <w:szCs w:val="17"/>
              </w:rPr>
              <w:t xml:space="preserve">Median Settlement</w:t>
            </w:r>
          </w:p>
          <w:p>
            <w:pPr>
              <w:spacing w:after="0" w:before="0"/>
            </w:pPr>
            <w:r>
              <w:rPr>
                <w:rFonts w:ascii="Arial" w:cs="Arial" w:eastAsia="Arial" w:hAnsi="Arial"/>
                <w:b/>
                <w:bCs/>
                <w:color w:val="1B3A5C"/>
                <w:sz w:val="22"/>
                <w:szCs w:val="22"/>
              </w:rPr>
              <w:t xml:space="preserve">$720K</w:t>
            </w:r>
          </w:p>
        </w:tc>
        <w:tc>
          <w:tcPr>
            <w:tcBorders>
              <w:top w:val="single" w:color="D6DCE4" w:sz="2"/>
              <w:left w:val="single" w:color="D6DCE4" w:sz="2"/>
              <w:bottom w:val="single" w:color="D6DCE4" w:sz="2"/>
              <w:right w:val="single" w:color="D6DCE4" w:sz="2"/>
            </w:tcBorders>
            <w:shd w:fill="E8EEF5" w:val="clear"/>
            <w:tcMar>
              <w:top w:type="dxa" w:w="120"/>
              <w:left w:type="dxa" w:w="140"/>
              <w:bottom w:type="dxa" w:w="120"/>
              <w:right w:type="dxa" w:w="140"/>
            </w:tcMar>
          </w:tcPr>
          <w:p>
            <w:pPr>
              <w:spacing w:after="60" w:before="0"/>
            </w:pPr>
            <w:r>
              <w:rPr>
                <w:rFonts w:ascii="Arial" w:cs="Arial" w:eastAsia="Arial" w:hAnsi="Arial"/>
                <w:b/>
                <w:bCs/>
                <w:color w:val="1B3A5C"/>
                <w:sz w:val="17"/>
                <w:szCs w:val="17"/>
              </w:rPr>
              <w:t xml:space="preserve">Avg Months to Trial</w:t>
            </w:r>
          </w:p>
          <w:p>
            <w:pPr>
              <w:spacing w:after="0" w:before="0"/>
            </w:pPr>
            <w:r>
              <w:rPr>
                <w:rFonts w:ascii="Arial" w:cs="Arial" w:eastAsia="Arial" w:hAnsi="Arial"/>
                <w:b/>
                <w:bCs/>
                <w:color w:val="1B3A5C"/>
                <w:sz w:val="22"/>
                <w:szCs w:val="22"/>
              </w:rPr>
              <w:t xml:space="preserve">32</w:t>
            </w:r>
          </w:p>
        </w:tc>
        <w:tc>
          <w:tcPr>
            <w:tcBorders>
              <w:top w:val="single" w:color="D6DCE4" w:sz="2"/>
              <w:left w:val="single" w:color="D6DCE4" w:sz="2"/>
              <w:bottom w:val="single" w:color="D6DCE4" w:sz="2"/>
              <w:right w:val="single" w:color="D6DCE4" w:sz="2"/>
            </w:tcBorders>
            <w:shd w:fill="E8EEF5" w:val="clear"/>
            <w:tcMar>
              <w:top w:type="dxa" w:w="120"/>
              <w:left w:type="dxa" w:w="140"/>
              <w:bottom w:type="dxa" w:w="120"/>
              <w:right w:type="dxa" w:w="140"/>
            </w:tcMar>
          </w:tcPr>
          <w:p>
            <w:pPr>
              <w:spacing w:after="60" w:before="0"/>
            </w:pPr>
            <w:r>
              <w:rPr>
                <w:rFonts w:ascii="Arial" w:cs="Arial" w:eastAsia="Arial" w:hAnsi="Arial"/>
                <w:b/>
                <w:bCs/>
                <w:color w:val="1B3A5C"/>
                <w:sz w:val="17"/>
                <w:szCs w:val="17"/>
              </w:rPr>
              <w:t xml:space="preserve">Plaintiff Verdict Rate</w:t>
            </w:r>
          </w:p>
          <w:p>
            <w:pPr>
              <w:spacing w:after="0" w:before="0"/>
            </w:pPr>
            <w:r>
              <w:rPr>
                <w:rFonts w:ascii="Arial" w:cs="Arial" w:eastAsia="Arial" w:hAnsi="Arial"/>
                <w:b/>
                <w:bCs/>
                <w:color w:val="1B3A5C"/>
                <w:sz w:val="22"/>
                <w:szCs w:val="22"/>
              </w:rPr>
              <w:t xml:space="preserve">51%</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Verdict Environment</w:t>
            </w:r>
          </w:p>
        </w:tc>
      </w:tr>
    </w:tbl>
    <w:p>
      <w:pPr>
        <w:spacing w:after="60" w:before="0"/>
      </w:pPr>
    </w:p>
    <w:p>
      <w:pPr>
        <w:spacing w:after="80" w:before="60"/>
      </w:pPr>
      <w:r>
        <w:rPr>
          <w:rFonts w:ascii="Arial" w:cs="Arial" w:eastAsia="Arial" w:hAnsi="Arial"/>
          <w:color w:val="1A1A1A"/>
          <w:sz w:val="20"/>
          <w:szCs w:val="20"/>
        </w:rPr>
        <w:t xml:space="preserve">Colorado is an emerging nuclear verdict jurisdiction. The 2017 Construction Defect Reform Act (HB 17-1279) had moderated CD litigation volumes through its HOA homeowner consent requirement, but plaintiff firms have adapted their case development strategies and nuclear verdict frequency is rising in the Denver metropolitan area. Soils and subsidence issues are endemic to Colorado construction -- the Front Range expansive soils profile creates ongoing foundation and drainage defect claims. The combination of expansive soils, rapid construction pace, and increasing nuclear verdict exposure makes CO a monitoring priority for Meridian's underwriting and claims teams.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Key Plaintiff Firms -- Colorado</w:t>
            </w:r>
          </w:p>
        </w:tc>
      </w:tr>
    </w:tbl>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800"/>
        <w:gridCol w:w="1600"/>
        <w:gridCol w:w="2160"/>
      </w:tblGrid>
      <w:tr>
        <w:tc>
          <w:tcPr>
            <w:tcW w:type="dxa" w:w="28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Firm</w:t>
            </w:r>
          </w:p>
        </w:tc>
        <w:tc>
          <w:tcPr>
            <w:tcW w:type="dxa" w:w="20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Counties</w:t>
            </w:r>
          </w:p>
        </w:tc>
        <w:tc>
          <w:tcPr>
            <w:tcW w:type="dxa" w:w="28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Specialty</w:t>
            </w:r>
          </w:p>
        </w:tc>
        <w:tc>
          <w:tcPr>
            <w:tcW w:type="dxa" w:w="160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Avg Demand Multiple</w:t>
            </w:r>
          </w:p>
        </w:tc>
        <w:tc>
          <w:tcPr>
            <w:tcW w:type="dxa" w:w="2160"/>
            <w:tcBorders>
              <w:top w:val="single" w:color="D6DCE4" w:sz="2"/>
              <w:left w:val="single" w:color="D6DCE4" w:sz="2"/>
              <w:bottom w:val="single" w:color="D6DCE4" w:sz="2"/>
              <w:right w:val="single" w:color="D6DCE4" w:sz="2"/>
            </w:tcBorders>
            <w:shd w:fill="1B3A5C" w:val="clear"/>
            <w:tcMar>
              <w:top w:type="dxa" w:w="80"/>
              <w:left w:type="dxa" w:w="100"/>
              <w:bottom w:type="dxa" w:w="80"/>
              <w:right w:type="dxa" w:w="100"/>
            </w:tcMar>
          </w:tcPr>
          <w:p>
            <w:r>
              <w:rPr>
                <w:rFonts w:ascii="Arial" w:cs="Arial" w:eastAsia="Arial" w:hAnsi="Arial"/>
                <w:b/>
                <w:bCs/>
                <w:color w:val="FFFFFF"/>
                <w:sz w:val="17"/>
                <w:szCs w:val="17"/>
              </w:rPr>
              <w:t xml:space="preserve">Notes</w:t>
            </w:r>
          </w:p>
        </w:tc>
      </w:tr>
      <w:tr>
        <w:tc>
          <w:tcPr>
            <w:tcW w:type="dxa" w:w="2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Rockies Construction Defect Law</w:t>
            </w:r>
          </w:p>
        </w:tc>
        <w:tc>
          <w:tcPr>
            <w:tcW w:type="dxa" w:w="20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Denver, Arapahoe, Jefferson</w:t>
            </w:r>
          </w:p>
        </w:tc>
        <w:tc>
          <w:tcPr>
            <w:tcW w:type="dxa" w:w="2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HOA CD, multifamily defects</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2.2x - 3.0x</w:t>
            </w:r>
          </w:p>
        </w:tc>
        <w:tc>
          <w:tcPr>
            <w:tcW w:type="dxa" w:w="21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Growing nuclear verdict track record post-2022. Monitor closely.</w:t>
            </w:r>
          </w:p>
        </w:tc>
      </w:tr>
      <w:tr>
        <w:tc>
          <w:tcPr>
            <w:tcW w:type="dxa" w:w="28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Colorado CD Alliance</w:t>
            </w:r>
          </w:p>
        </w:tc>
        <w:tc>
          <w:tcPr>
            <w:tcW w:type="dxa" w:w="20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Denver Metro</w:t>
            </w:r>
          </w:p>
        </w:tc>
        <w:tc>
          <w:tcPr>
            <w:tcW w:type="dxa" w:w="28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Soils/foundation defects</w:t>
            </w:r>
          </w:p>
        </w:tc>
        <w:tc>
          <w:tcPr>
            <w:tcW w:type="dxa" w:w="160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2.0x - 2.6x</w:t>
            </w:r>
          </w:p>
        </w:tc>
        <w:tc>
          <w:tcPr>
            <w:tcW w:type="dxa" w:w="2160"/>
            <w:tcBorders>
              <w:top w:val="single" w:color="D6DCE4" w:sz="2"/>
              <w:left w:val="single" w:color="D6DCE4" w:sz="2"/>
              <w:bottom w:val="single" w:color="D6DCE4" w:sz="2"/>
              <w:right w:val="single" w:color="D6DCE4" w:sz="2"/>
            </w:tcBorders>
            <w:shd w:fill="FFFFFF" w:val="clear"/>
            <w:tcMar>
              <w:top w:type="dxa" w:w="80"/>
              <w:left w:type="dxa" w:w="100"/>
              <w:bottom w:type="dxa" w:w="80"/>
              <w:right w:type="dxa" w:w="100"/>
            </w:tcMar>
          </w:tcPr>
          <w:p>
            <w:r>
              <w:rPr>
                <w:rFonts w:ascii="Arial" w:cs="Arial" w:eastAsia="Arial" w:hAnsi="Arial"/>
                <w:color w:val="1A1A1A"/>
                <w:sz w:val="17"/>
                <w:szCs w:val="17"/>
              </w:rPr>
              <w:t xml:space="preserve">Technically sophisticated. Strong expert use on soils claims.</w:t>
            </w:r>
          </w:p>
        </w:tc>
      </w:tr>
      <w:tr>
        <w:tc>
          <w:tcPr>
            <w:tcW w:type="dxa" w:w="2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Summit Defect Group</w:t>
            </w:r>
          </w:p>
        </w:tc>
        <w:tc>
          <w:tcPr>
            <w:tcW w:type="dxa" w:w="20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Boulder, Larimer</w:t>
            </w:r>
          </w:p>
        </w:tc>
        <w:tc>
          <w:tcPr>
            <w:tcW w:type="dxa" w:w="28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High-value residential, tech campus construction</w:t>
            </w:r>
          </w:p>
        </w:tc>
        <w:tc>
          <w:tcPr>
            <w:tcW w:type="dxa" w:w="160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2.5x - 3.2x</w:t>
            </w:r>
          </w:p>
        </w:tc>
        <w:tc>
          <w:tcPr>
            <w:tcW w:type="dxa" w:w="2160"/>
            <w:tcBorders>
              <w:top w:val="single" w:color="D6DCE4" w:sz="2"/>
              <w:left w:val="single" w:color="D6DCE4" w:sz="2"/>
              <w:bottom w:val="single" w:color="D6DCE4" w:sz="2"/>
              <w:right w:val="single" w:color="D6DCE4" w:sz="2"/>
            </w:tcBorders>
            <w:shd w:fill="F2F2F2" w:val="clear"/>
            <w:tcMar>
              <w:top w:type="dxa" w:w="80"/>
              <w:left w:type="dxa" w:w="100"/>
              <w:bottom w:type="dxa" w:w="80"/>
              <w:right w:type="dxa" w:w="100"/>
            </w:tcMar>
          </w:tcPr>
          <w:p>
            <w:r>
              <w:rPr>
                <w:rFonts w:ascii="Arial" w:cs="Arial" w:eastAsia="Arial" w:hAnsi="Arial"/>
                <w:color w:val="1A1A1A"/>
                <w:sz w:val="17"/>
                <w:szCs w:val="17"/>
              </w:rPr>
              <w:t xml:space="preserve">Emerging firm. Boulder/Fort Collins tech campus construction focus.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GP Platform Calibration -- Colorado</w:t>
            </w:r>
          </w:p>
        </w:tc>
      </w:tr>
    </w:tbl>
    <w:p>
      <w:pPr>
        <w:pStyle w:val="ListParagraph"/>
        <w:numPr>
          <w:ilvl w:val="0"/>
          <w:numId w:val="2"/>
        </w:numPr>
        <w:spacing w:after="40" w:before="40"/>
      </w:pPr>
      <w:r>
        <w:rPr>
          <w:rFonts w:ascii="Arial" w:cs="Arial" w:eastAsia="Arial" w:hAnsi="Arial"/>
          <w:color w:val="1A1A1A"/>
          <w:sz w:val="20"/>
          <w:szCs w:val="20"/>
        </w:rPr>
        <w:t xml:space="preserve">ECA venue risk score: ELEVATED and rising for Denver metro (Adams, Arapahoe, Denver, Douglas, Jefferson counties)</w:t>
      </w:r>
    </w:p>
    <w:p>
      <w:pPr>
        <w:pStyle w:val="ListParagraph"/>
        <w:numPr>
          <w:ilvl w:val="0"/>
          <w:numId w:val="2"/>
        </w:numPr>
        <w:spacing w:after="40" w:before="40"/>
      </w:pPr>
      <w:r>
        <w:rPr>
          <w:rFonts w:ascii="Arial" w:cs="Arial" w:eastAsia="Arial" w:hAnsi="Arial"/>
          <w:color w:val="1A1A1A"/>
          <w:sz w:val="20"/>
          <w:szCs w:val="20"/>
        </w:rPr>
        <w:t xml:space="preserve">Soils flag: Any CO file involving foundation, drainage, or grading defects should trigger automatic geotechnical expert consultation recommendation</w:t>
      </w:r>
    </w:p>
    <w:p>
      <w:pPr>
        <w:pStyle w:val="ListParagraph"/>
        <w:numPr>
          <w:ilvl w:val="0"/>
          <w:numId w:val="2"/>
        </w:numPr>
        <w:spacing w:after="40" w:before="40"/>
      </w:pPr>
      <w:r>
        <w:rPr>
          <w:rFonts w:ascii="Arial" w:cs="Arial" w:eastAsia="Arial" w:hAnsi="Arial"/>
          <w:color w:val="1A1A1A"/>
          <w:sz w:val="20"/>
          <w:szCs w:val="20"/>
        </w:rPr>
        <w:t xml:space="preserve">Initial reserve multiplier: 1.20x Denver metro; 1.05x elsewhere in CO</w:t>
      </w:r>
    </w:p>
    <w:p>
      <w:pPr>
        <w:pStyle w:val="ListParagraph"/>
        <w:numPr>
          <w:ilvl w:val="0"/>
          <w:numId w:val="2"/>
        </w:numPr>
        <w:spacing w:after="40" w:before="40"/>
      </w:pPr>
      <w:r>
        <w:rPr>
          <w:rFonts w:ascii="Arial" w:cs="Arial" w:eastAsia="Arial" w:hAnsi="Arial"/>
          <w:color w:val="1A1A1A"/>
          <w:sz w:val="20"/>
          <w:szCs w:val="20"/>
        </w:rPr>
        <w:t xml:space="preserve">Monitor: Nuclear verdict rate increased from 4% (2019-2021) to 11% (2022-2024). Recalibrate ECA model annually.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FFFFFF" w:sz="4"/>
              <w:left w:val="single" w:color="FFFFFF" w:sz="4"/>
              <w:bottom w:val="single" w:color="FFFFFF" w:sz="4"/>
              <w:right w:val="single" w:color="FFFFFF" w:sz="4"/>
            </w:tcBorders>
            <w:shd w:fill="C55A11" w:val="clear"/>
            <w:tcMar>
              <w:top w:type="dxa" w:w="160"/>
              <w:left w:type="dxa" w:w="200"/>
              <w:bottom w:type="dxa" w:w="160"/>
              <w:right w:type="dxa" w:w="200"/>
            </w:tcMar>
          </w:tcPr>
          <w:p>
            <w:r>
              <w:rPr>
                <w:rFonts w:ascii="Arial" w:cs="Arial" w:eastAsia="Arial" w:hAnsi="Arial"/>
                <w:b/>
                <w:bCs/>
                <w:color w:val="FFFFFF"/>
                <w:sz w:val="28"/>
                <w:szCs w:val="28"/>
              </w:rPr>
              <w:t xml:space="preserve">New York</w:t>
            </w:r>
          </w:p>
        </w:tc>
        <w:tc>
          <w:tcPr>
            <w:tcW w:type="dxa" w:w="2360"/>
            <w:tcBorders>
              <w:top w:val="single" w:color="FFFFFF" w:sz="4"/>
              <w:left w:val="single" w:color="FFFFFF" w:sz="4"/>
              <w:bottom w:val="single" w:color="FFFFFF" w:sz="4"/>
              <w:right w:val="single" w:color="FFFFFF" w:sz="4"/>
            </w:tcBorders>
            <w:shd w:fill="C55A11"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Elevated Risk</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D6DCE4" w:sz="2"/>
              <w:left w:val="single" w:color="D6DCE4" w:sz="2"/>
              <w:bottom w:val="single" w:color="D6DCE4" w:sz="2"/>
              <w:right w:val="single" w:color="D6DCE4" w:sz="2"/>
            </w:tcBorders>
            <w:shd w:fill="FFF3E0" w:val="clear"/>
            <w:tcMar>
              <w:top w:type="dxa" w:w="120"/>
              <w:left w:type="dxa" w:w="140"/>
              <w:bottom w:type="dxa" w:w="120"/>
              <w:right w:type="dxa" w:w="140"/>
            </w:tcMar>
          </w:tcPr>
          <w:p>
            <w:pPr>
              <w:spacing w:after="60" w:before="0"/>
            </w:pPr>
            <w:r>
              <w:rPr>
                <w:rFonts w:ascii="Arial" w:cs="Arial" w:eastAsia="Arial" w:hAnsi="Arial"/>
                <w:b/>
                <w:bCs/>
                <w:color w:val="7D4900"/>
                <w:sz w:val="17"/>
                <w:szCs w:val="17"/>
              </w:rPr>
              <w:t xml:space="preserve">Avg CD Verdict (2020-2024)</w:t>
            </w:r>
          </w:p>
          <w:p>
            <w:pPr>
              <w:spacing w:after="0" w:before="0"/>
            </w:pPr>
            <w:r>
              <w:rPr>
                <w:rFonts w:ascii="Arial" w:cs="Arial" w:eastAsia="Arial" w:hAnsi="Arial"/>
                <w:b/>
                <w:bCs/>
                <w:color w:val="7D4900"/>
                <w:sz w:val="22"/>
                <w:szCs w:val="22"/>
              </w:rPr>
              <w:t xml:space="preserve">$3.8M</w:t>
            </w:r>
          </w:p>
        </w:tc>
        <w:tc>
          <w:tcPr>
            <w:tcBorders>
              <w:top w:val="single" w:color="D6DCE4" w:sz="2"/>
              <w:left w:val="single" w:color="D6DCE4" w:sz="2"/>
              <w:bottom w:val="single" w:color="D6DCE4" w:sz="2"/>
              <w:right w:val="single" w:color="D6DCE4" w:sz="2"/>
            </w:tcBorders>
            <w:shd w:fill="FDECEA" w:val="clear"/>
            <w:tcMar>
              <w:top w:type="dxa" w:w="120"/>
              <w:left w:type="dxa" w:w="140"/>
              <w:bottom w:type="dxa" w:w="120"/>
              <w:right w:type="dxa" w:w="140"/>
            </w:tcMar>
          </w:tcPr>
          <w:p>
            <w:pPr>
              <w:spacing w:after="60" w:before="0"/>
            </w:pPr>
            <w:r>
              <w:rPr>
                <w:rFonts w:ascii="Arial" w:cs="Arial" w:eastAsia="Arial" w:hAnsi="Arial"/>
                <w:b/>
                <w:bCs/>
                <w:color w:val="8B0000"/>
                <w:sz w:val="17"/>
                <w:szCs w:val="17"/>
              </w:rPr>
              <w:t xml:space="preserve">Labor Law 240/241 Claims</w:t>
            </w:r>
          </w:p>
          <w:p>
            <w:pPr>
              <w:spacing w:after="0" w:before="0"/>
            </w:pPr>
            <w:r>
              <w:rPr>
                <w:rFonts w:ascii="Arial" w:cs="Arial" w:eastAsia="Arial" w:hAnsi="Arial"/>
                <w:b/>
                <w:bCs/>
                <w:color w:val="8B0000"/>
                <w:sz w:val="22"/>
                <w:szCs w:val="22"/>
              </w:rPr>
              <w:t xml:space="preserve">42% of NY files</w:t>
            </w:r>
          </w:p>
        </w:tc>
        <w:tc>
          <w:tcPr>
            <w:tcBorders>
              <w:top w:val="single" w:color="D6DCE4" w:sz="2"/>
              <w:left w:val="single" w:color="D6DCE4" w:sz="2"/>
              <w:bottom w:val="single" w:color="D6DCE4" w:sz="2"/>
              <w:right w:val="single" w:color="D6DCE4" w:sz="2"/>
            </w:tcBorders>
            <w:shd w:fill="E8EEF5" w:val="clear"/>
            <w:tcMar>
              <w:top w:type="dxa" w:w="120"/>
              <w:left w:type="dxa" w:w="140"/>
              <w:bottom w:type="dxa" w:w="120"/>
              <w:right w:type="dxa" w:w="140"/>
            </w:tcMar>
          </w:tcPr>
          <w:p>
            <w:pPr>
              <w:spacing w:after="60" w:before="0"/>
            </w:pPr>
            <w:r>
              <w:rPr>
                <w:rFonts w:ascii="Arial" w:cs="Arial" w:eastAsia="Arial" w:hAnsi="Arial"/>
                <w:b/>
                <w:bCs/>
                <w:color w:val="1B3A5C"/>
                <w:sz w:val="17"/>
                <w:szCs w:val="17"/>
              </w:rPr>
              <w:t xml:space="preserve">Median Settlement</w:t>
            </w:r>
          </w:p>
          <w:p>
            <w:pPr>
              <w:spacing w:after="0" w:before="0"/>
            </w:pPr>
            <w:r>
              <w:rPr>
                <w:rFonts w:ascii="Arial" w:cs="Arial" w:eastAsia="Arial" w:hAnsi="Arial"/>
                <w:b/>
                <w:bCs/>
                <w:color w:val="1B3A5C"/>
                <w:sz w:val="22"/>
                <w:szCs w:val="22"/>
              </w:rPr>
              <w:t xml:space="preserve">$850K</w:t>
            </w:r>
          </w:p>
        </w:tc>
        <w:tc>
          <w:tcPr>
            <w:tcBorders>
              <w:top w:val="single" w:color="D6DCE4" w:sz="2"/>
              <w:left w:val="single" w:color="D6DCE4" w:sz="2"/>
              <w:bottom w:val="single" w:color="D6DCE4" w:sz="2"/>
              <w:right w:val="single" w:color="D6DCE4" w:sz="2"/>
            </w:tcBorders>
            <w:shd w:fill="E8EEF5" w:val="clear"/>
            <w:tcMar>
              <w:top w:type="dxa" w:w="120"/>
              <w:left w:type="dxa" w:w="140"/>
              <w:bottom w:type="dxa" w:w="120"/>
              <w:right w:type="dxa" w:w="140"/>
            </w:tcMar>
          </w:tcPr>
          <w:p>
            <w:pPr>
              <w:spacing w:after="60" w:before="0"/>
            </w:pPr>
            <w:r>
              <w:rPr>
                <w:rFonts w:ascii="Arial" w:cs="Arial" w:eastAsia="Arial" w:hAnsi="Arial"/>
                <w:b/>
                <w:bCs/>
                <w:color w:val="1B3A5C"/>
                <w:sz w:val="17"/>
                <w:szCs w:val="17"/>
              </w:rPr>
              <w:t xml:space="preserve">Avg Months to Trial</w:t>
            </w:r>
          </w:p>
          <w:p>
            <w:pPr>
              <w:spacing w:after="0" w:before="0"/>
            </w:pPr>
            <w:r>
              <w:rPr>
                <w:rFonts w:ascii="Arial" w:cs="Arial" w:eastAsia="Arial" w:hAnsi="Arial"/>
                <w:b/>
                <w:bCs/>
                <w:color w:val="1B3A5C"/>
                <w:sz w:val="22"/>
                <w:szCs w:val="22"/>
              </w:rPr>
              <w:t xml:space="preserve">48</w:t>
            </w:r>
          </w:p>
        </w:tc>
        <w:tc>
          <w:tcPr>
            <w:tcBorders>
              <w:top w:val="single" w:color="D6DCE4" w:sz="2"/>
              <w:left w:val="single" w:color="D6DCE4" w:sz="2"/>
              <w:bottom w:val="single" w:color="D6DCE4" w:sz="2"/>
              <w:right w:val="single" w:color="D6DCE4" w:sz="2"/>
            </w:tcBorders>
            <w:shd w:fill="FFF3E0" w:val="clear"/>
            <w:tcMar>
              <w:top w:type="dxa" w:w="120"/>
              <w:left w:type="dxa" w:w="140"/>
              <w:bottom w:type="dxa" w:w="120"/>
              <w:right w:type="dxa" w:w="140"/>
            </w:tcMar>
          </w:tcPr>
          <w:p>
            <w:pPr>
              <w:spacing w:after="60" w:before="0"/>
            </w:pPr>
            <w:r>
              <w:rPr>
                <w:rFonts w:ascii="Arial" w:cs="Arial" w:eastAsia="Arial" w:hAnsi="Arial"/>
                <w:b/>
                <w:bCs/>
                <w:color w:val="7D4900"/>
                <w:sz w:val="17"/>
                <w:szCs w:val="17"/>
              </w:rPr>
              <w:t xml:space="preserve">AI Tender Rate</w:t>
            </w:r>
          </w:p>
          <w:p>
            <w:pPr>
              <w:spacing w:after="0" w:before="0"/>
            </w:pPr>
            <w:r>
              <w:rPr>
                <w:rFonts w:ascii="Arial" w:cs="Arial" w:eastAsia="Arial" w:hAnsi="Arial"/>
                <w:b/>
                <w:bCs/>
                <w:color w:val="7D4900"/>
                <w:sz w:val="22"/>
                <w:szCs w:val="22"/>
              </w:rPr>
              <w:t xml:space="preserve">78% of NY commercial files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Key New York Considerations -- Scaffold Law and Labor Law</w:t>
            </w:r>
          </w:p>
        </w:tc>
      </w:tr>
    </w:tbl>
    <w:p>
      <w:pPr>
        <w:spacing w:after="60" w:before="0"/>
      </w:pPr>
    </w:p>
    <w:p>
      <w:pPr>
        <w:spacing w:after="80" w:before="60"/>
      </w:pPr>
      <w:r>
        <w:rPr>
          <w:rFonts w:ascii="Arial" w:cs="Arial" w:eastAsia="Arial" w:hAnsi="Arial"/>
          <w:color w:val="1A1A1A"/>
          <w:sz w:val="20"/>
          <w:szCs w:val="20"/>
        </w:rPr>
        <w:t xml:space="preserve">New York's absolute liability Scaffold Law (Labor Law Section 240) and negligence provisions (Labor Law Section 241) are unique to New York and create exceptional exposure for Meridian policyholders on commercial construction projects. The Scaffold Law imposes absolute liability on general contractors and property owners for gravity-related injuries at construction sites, without contributory negligence offset. This means a subcontractor worker's comparative negligence does not reduce the GC's liability. Additional Insured endorsement scope and contractual indemnity language are critical in NY commercial construction claims.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GP Platform Calibration -- New York</w:t>
            </w:r>
          </w:p>
        </w:tc>
      </w:tr>
    </w:tbl>
    <w:p>
      <w:pPr>
        <w:pStyle w:val="ListParagraph"/>
        <w:numPr>
          <w:ilvl w:val="0"/>
          <w:numId w:val="2"/>
        </w:numPr>
        <w:spacing w:after="40" w:before="40"/>
      </w:pPr>
      <w:r>
        <w:rPr>
          <w:rFonts w:ascii="Arial" w:cs="Arial" w:eastAsia="Arial" w:hAnsi="Arial"/>
          <w:color w:val="1A1A1A"/>
          <w:sz w:val="20"/>
          <w:szCs w:val="20"/>
        </w:rPr>
        <w:t xml:space="preserve">ECA venue risk score: HIGH for NYC Five Boroughs; ELEVATED for Westchester, Nassau, Suffolk</w:t>
      </w:r>
    </w:p>
    <w:p>
      <w:pPr>
        <w:pStyle w:val="ListParagraph"/>
        <w:numPr>
          <w:ilvl w:val="0"/>
          <w:numId w:val="2"/>
        </w:numPr>
        <w:spacing w:after="40" w:before="40"/>
      </w:pPr>
      <w:r>
        <w:rPr>
          <w:rFonts w:ascii="Arial" w:cs="Arial" w:eastAsia="Arial" w:hAnsi="Arial"/>
          <w:color w:val="1A1A1A"/>
          <w:sz w:val="20"/>
          <w:szCs w:val="20"/>
        </w:rPr>
        <w:t xml:space="preserve">Labor Law 240/241 flag: Any NY bodily injury claim on a commercial project should trigger automatic Labor Law assessment and AI endorsement review</w:t>
      </w:r>
    </w:p>
    <w:p>
      <w:pPr>
        <w:pStyle w:val="ListParagraph"/>
        <w:numPr>
          <w:ilvl w:val="0"/>
          <w:numId w:val="2"/>
        </w:numPr>
        <w:spacing w:after="40" w:before="40"/>
      </w:pPr>
      <w:r>
        <w:rPr>
          <w:rFonts w:ascii="Arial" w:cs="Arial" w:eastAsia="Arial" w:hAnsi="Arial"/>
          <w:color w:val="1A1A1A"/>
          <w:sz w:val="20"/>
          <w:szCs w:val="20"/>
        </w:rPr>
        <w:t xml:space="preserve">AI endorsement review: 78% of NY commercial files involve at least one AI tender. Coverage analysis at intake is mandatory.</w:t>
      </w:r>
    </w:p>
    <w:p>
      <w:pPr>
        <w:pStyle w:val="ListParagraph"/>
        <w:numPr>
          <w:ilvl w:val="0"/>
          <w:numId w:val="2"/>
        </w:numPr>
        <w:spacing w:after="40" w:before="40"/>
      </w:pPr>
      <w:r>
        <w:rPr>
          <w:rFonts w:ascii="Arial" w:cs="Arial" w:eastAsia="Arial" w:hAnsi="Arial"/>
          <w:color w:val="1A1A1A"/>
          <w:sz w:val="20"/>
          <w:szCs w:val="20"/>
        </w:rPr>
        <w:t xml:space="preserve">Initial reserve multiplier: 1.40x NYC; 1.15x suburban NY (Westchester, Long Island, Hudson Valley)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FFFFFF" w:sz="4"/>
              <w:left w:val="single" w:color="FFFFFF" w:sz="4"/>
              <w:bottom w:val="single" w:color="FFFFFF" w:sz="4"/>
              <w:right w:val="single" w:color="FFFFFF" w:sz="4"/>
            </w:tcBorders>
            <w:shd w:fill="2E7D32" w:val="clear"/>
            <w:tcMar>
              <w:top w:type="dxa" w:w="160"/>
              <w:left w:type="dxa" w:w="200"/>
              <w:bottom w:type="dxa" w:w="160"/>
              <w:right w:type="dxa" w:w="200"/>
            </w:tcMar>
          </w:tcPr>
          <w:p>
            <w:r>
              <w:rPr>
                <w:rFonts w:ascii="Arial" w:cs="Arial" w:eastAsia="Arial" w:hAnsi="Arial"/>
                <w:b/>
                <w:bCs/>
                <w:color w:val="FFFFFF"/>
                <w:sz w:val="28"/>
                <w:szCs w:val="28"/>
              </w:rPr>
              <w:t xml:space="preserve">Texas</w:t>
            </w:r>
          </w:p>
        </w:tc>
        <w:tc>
          <w:tcPr>
            <w:tcW w:type="dxa" w:w="2360"/>
            <w:tcBorders>
              <w:top w:val="single" w:color="FFFFFF" w:sz="4"/>
              <w:left w:val="single" w:color="FFFFFF" w:sz="4"/>
              <w:bottom w:val="single" w:color="FFFFFF" w:sz="4"/>
              <w:right w:val="single" w:color="FFFFFF" w:sz="4"/>
            </w:tcBorders>
            <w:shd w:fill="2E7D32"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Standard Risk</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D6DCE4" w:sz="2"/>
              <w:left w:val="single" w:color="D6DCE4" w:sz="2"/>
              <w:bottom w:val="single" w:color="D6DCE4" w:sz="2"/>
              <w:right w:val="single" w:color="D6DCE4" w:sz="2"/>
            </w:tcBorders>
            <w:shd w:fill="D4EDDA" w:val="clear"/>
            <w:tcMar>
              <w:top w:type="dxa" w:w="120"/>
              <w:left w:type="dxa" w:w="140"/>
              <w:bottom w:type="dxa" w:w="120"/>
              <w:right w:type="dxa" w:w="140"/>
            </w:tcMar>
          </w:tcPr>
          <w:p>
            <w:pPr>
              <w:spacing w:after="60" w:before="0"/>
            </w:pPr>
            <w:r>
              <w:rPr>
                <w:rFonts w:ascii="Arial" w:cs="Arial" w:eastAsia="Arial" w:hAnsi="Arial"/>
                <w:b/>
                <w:bCs/>
                <w:color w:val="155724"/>
                <w:sz w:val="17"/>
                <w:szCs w:val="17"/>
              </w:rPr>
              <w:t xml:space="preserve">Avg CD Verdict (2020-2024)</w:t>
            </w:r>
          </w:p>
          <w:p>
            <w:pPr>
              <w:spacing w:after="0" w:before="0"/>
            </w:pPr>
            <w:r>
              <w:rPr>
                <w:rFonts w:ascii="Arial" w:cs="Arial" w:eastAsia="Arial" w:hAnsi="Arial"/>
                <w:b/>
                <w:bCs/>
                <w:color w:val="155724"/>
                <w:sz w:val="22"/>
                <w:szCs w:val="22"/>
              </w:rPr>
              <w:t xml:space="preserve">$1.4M</w:t>
            </w:r>
          </w:p>
        </w:tc>
        <w:tc>
          <w:tcPr>
            <w:tcBorders>
              <w:top w:val="single" w:color="D6DCE4" w:sz="2"/>
              <w:left w:val="single" w:color="D6DCE4" w:sz="2"/>
              <w:bottom w:val="single" w:color="D6DCE4" w:sz="2"/>
              <w:right w:val="single" w:color="D6DCE4" w:sz="2"/>
            </w:tcBorders>
            <w:shd w:fill="D4EDDA" w:val="clear"/>
            <w:tcMar>
              <w:top w:type="dxa" w:w="120"/>
              <w:left w:type="dxa" w:w="140"/>
              <w:bottom w:type="dxa" w:w="120"/>
              <w:right w:type="dxa" w:w="140"/>
            </w:tcMar>
          </w:tcPr>
          <w:p>
            <w:pPr>
              <w:spacing w:after="60" w:before="0"/>
            </w:pPr>
            <w:r>
              <w:rPr>
                <w:rFonts w:ascii="Arial" w:cs="Arial" w:eastAsia="Arial" w:hAnsi="Arial"/>
                <w:b/>
                <w:bCs/>
                <w:color w:val="155724"/>
                <w:sz w:val="17"/>
                <w:szCs w:val="17"/>
              </w:rPr>
              <w:t xml:space="preserve">Nuclear Verdict Rate (&gt;$10M)</w:t>
            </w:r>
          </w:p>
          <w:p>
            <w:pPr>
              <w:spacing w:after="0" w:before="0"/>
            </w:pPr>
            <w:r>
              <w:rPr>
                <w:rFonts w:ascii="Arial" w:cs="Arial" w:eastAsia="Arial" w:hAnsi="Arial"/>
                <w:b/>
                <w:bCs/>
                <w:color w:val="155724"/>
                <w:sz w:val="22"/>
                <w:szCs w:val="22"/>
              </w:rPr>
              <w:t xml:space="preserve">4%</w:t>
            </w:r>
          </w:p>
        </w:tc>
        <w:tc>
          <w:tcPr>
            <w:tcBorders>
              <w:top w:val="single" w:color="D6DCE4" w:sz="2"/>
              <w:left w:val="single" w:color="D6DCE4" w:sz="2"/>
              <w:bottom w:val="single" w:color="D6DCE4" w:sz="2"/>
              <w:right w:val="single" w:color="D6DCE4" w:sz="2"/>
            </w:tcBorders>
            <w:shd w:fill="E8EEF5" w:val="clear"/>
            <w:tcMar>
              <w:top w:type="dxa" w:w="120"/>
              <w:left w:type="dxa" w:w="140"/>
              <w:bottom w:type="dxa" w:w="120"/>
              <w:right w:type="dxa" w:w="140"/>
            </w:tcMar>
          </w:tcPr>
          <w:p>
            <w:pPr>
              <w:spacing w:after="60" w:before="0"/>
            </w:pPr>
            <w:r>
              <w:rPr>
                <w:rFonts w:ascii="Arial" w:cs="Arial" w:eastAsia="Arial" w:hAnsi="Arial"/>
                <w:b/>
                <w:bCs/>
                <w:color w:val="1B3A5C"/>
                <w:sz w:val="17"/>
                <w:szCs w:val="17"/>
              </w:rPr>
              <w:t xml:space="preserve">Median Settlement</w:t>
            </w:r>
          </w:p>
          <w:p>
            <w:pPr>
              <w:spacing w:after="0" w:before="0"/>
            </w:pPr>
            <w:r>
              <w:rPr>
                <w:rFonts w:ascii="Arial" w:cs="Arial" w:eastAsia="Arial" w:hAnsi="Arial"/>
                <w:b/>
                <w:bCs/>
                <w:color w:val="1B3A5C"/>
                <w:sz w:val="22"/>
                <w:szCs w:val="22"/>
              </w:rPr>
              <w:t xml:space="preserve">$380K</w:t>
            </w:r>
          </w:p>
        </w:tc>
        <w:tc>
          <w:tcPr>
            <w:tcBorders>
              <w:top w:val="single" w:color="D6DCE4" w:sz="2"/>
              <w:left w:val="single" w:color="D6DCE4" w:sz="2"/>
              <w:bottom w:val="single" w:color="D6DCE4" w:sz="2"/>
              <w:right w:val="single" w:color="D6DCE4" w:sz="2"/>
            </w:tcBorders>
            <w:shd w:fill="E8EEF5" w:val="clear"/>
            <w:tcMar>
              <w:top w:type="dxa" w:w="120"/>
              <w:left w:type="dxa" w:w="140"/>
              <w:bottom w:type="dxa" w:w="120"/>
              <w:right w:type="dxa" w:w="140"/>
            </w:tcMar>
          </w:tcPr>
          <w:p>
            <w:pPr>
              <w:spacing w:after="60" w:before="0"/>
            </w:pPr>
            <w:r>
              <w:rPr>
                <w:rFonts w:ascii="Arial" w:cs="Arial" w:eastAsia="Arial" w:hAnsi="Arial"/>
                <w:b/>
                <w:bCs/>
                <w:color w:val="1B3A5C"/>
                <w:sz w:val="17"/>
                <w:szCs w:val="17"/>
              </w:rPr>
              <w:t xml:space="preserve">Avg Months to Trial</w:t>
            </w:r>
          </w:p>
          <w:p>
            <w:pPr>
              <w:spacing w:after="0" w:before="0"/>
            </w:pPr>
            <w:r>
              <w:rPr>
                <w:rFonts w:ascii="Arial" w:cs="Arial" w:eastAsia="Arial" w:hAnsi="Arial"/>
                <w:b/>
                <w:bCs/>
                <w:color w:val="1B3A5C"/>
                <w:sz w:val="22"/>
                <w:szCs w:val="22"/>
              </w:rPr>
              <w:t xml:space="preserve">28</w:t>
            </w:r>
          </w:p>
        </w:tc>
        <w:tc>
          <w:tcPr>
            <w:tcBorders>
              <w:top w:val="single" w:color="D6DCE4" w:sz="2"/>
              <w:left w:val="single" w:color="D6DCE4" w:sz="2"/>
              <w:bottom w:val="single" w:color="D6DCE4" w:sz="2"/>
              <w:right w:val="single" w:color="D6DCE4" w:sz="2"/>
            </w:tcBorders>
            <w:shd w:fill="D4EDDA" w:val="clear"/>
            <w:tcMar>
              <w:top w:type="dxa" w:w="120"/>
              <w:left w:type="dxa" w:w="140"/>
              <w:bottom w:type="dxa" w:w="120"/>
              <w:right w:type="dxa" w:w="140"/>
            </w:tcMar>
          </w:tcPr>
          <w:p>
            <w:pPr>
              <w:spacing w:after="60" w:before="0"/>
            </w:pPr>
            <w:r>
              <w:rPr>
                <w:rFonts w:ascii="Arial" w:cs="Arial" w:eastAsia="Arial" w:hAnsi="Arial"/>
                <w:b/>
                <w:bCs/>
                <w:color w:val="155724"/>
                <w:sz w:val="17"/>
                <w:szCs w:val="17"/>
              </w:rPr>
              <w:t xml:space="preserve">Plaintiff Verdict Rate</w:t>
            </w:r>
          </w:p>
          <w:p>
            <w:pPr>
              <w:spacing w:after="0" w:before="0"/>
            </w:pPr>
            <w:r>
              <w:rPr>
                <w:rFonts w:ascii="Arial" w:cs="Arial" w:eastAsia="Arial" w:hAnsi="Arial"/>
                <w:b/>
                <w:bCs/>
                <w:color w:val="155724"/>
                <w:sz w:val="22"/>
                <w:szCs w:val="22"/>
              </w:rPr>
              <w:t xml:space="preserve">43%</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Verdict Environment</w:t>
            </w:r>
          </w:p>
        </w:tc>
      </w:tr>
    </w:tbl>
    <w:p>
      <w:pPr>
        <w:spacing w:after="60" w:before="0"/>
      </w:pPr>
    </w:p>
    <w:p>
      <w:pPr>
        <w:spacing w:after="80" w:before="60"/>
      </w:pPr>
      <w:r>
        <w:rPr>
          <w:rFonts w:ascii="Arial" w:cs="Arial" w:eastAsia="Arial" w:hAnsi="Arial"/>
          <w:color w:val="1A1A1A"/>
          <w:sz w:val="20"/>
          <w:szCs w:val="20"/>
        </w:rPr>
        <w:t xml:space="preserve">Texas is Meridian's most favorable large-state litigation environment for commercial construction liability. The combination of tort reform legislation, conservative jury pools in most Texas counties, and relatively rapid case resolution produces predictable settlement outcomes at moderate cost. The primary exposure concentration is Harris County (Houston) and Travis County (Austin), where plaintiff bar activity and jury pool demographics are less favorable than the statewide average. Outside these counties, Texas defense outcomes are highly predictable.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Key Texas Considerations</w:t>
            </w:r>
          </w:p>
        </w:tc>
      </w:tr>
    </w:tbl>
    <w:p>
      <w:pPr>
        <w:pStyle w:val="ListParagraph"/>
        <w:numPr>
          <w:ilvl w:val="0"/>
          <w:numId w:val="2"/>
        </w:numPr>
        <w:spacing w:after="40" w:before="40"/>
      </w:pPr>
      <w:r>
        <w:rPr>
          <w:rFonts w:ascii="Arial" w:cs="Arial" w:eastAsia="Arial" w:hAnsi="Arial"/>
          <w:color w:val="1A1A1A"/>
          <w:sz w:val="20"/>
          <w:szCs w:val="20"/>
        </w:rPr>
        <w:t xml:space="preserve">Harris County (Houston): Plaintiff-leaning environment. Apply 1.10x reserve loading for Harris County claims.</w:t>
      </w:r>
    </w:p>
    <w:p>
      <w:pPr>
        <w:pStyle w:val="ListParagraph"/>
        <w:numPr>
          <w:ilvl w:val="0"/>
          <w:numId w:val="2"/>
        </w:numPr>
        <w:spacing w:after="40" w:before="40"/>
      </w:pPr>
      <w:r>
        <w:rPr>
          <w:rFonts w:ascii="Arial" w:cs="Arial" w:eastAsia="Arial" w:hAnsi="Arial"/>
          <w:color w:val="1A1A1A"/>
          <w:sz w:val="20"/>
          <w:szCs w:val="20"/>
        </w:rPr>
        <w:t xml:space="preserve">Chapter 558 of the Texas Property Code: Provides a pre-suit notice and cure opportunity for residential construction defect claims. Early engagement in this process can resolve residential claims at minimal cost.</w:t>
      </w:r>
    </w:p>
    <w:p>
      <w:pPr>
        <w:pStyle w:val="ListParagraph"/>
        <w:numPr>
          <w:ilvl w:val="0"/>
          <w:numId w:val="2"/>
        </w:numPr>
        <w:spacing w:after="40" w:before="40"/>
      </w:pPr>
      <w:r>
        <w:rPr>
          <w:rFonts w:ascii="Arial" w:cs="Arial" w:eastAsia="Arial" w:hAnsi="Arial"/>
          <w:color w:val="1A1A1A"/>
          <w:sz w:val="20"/>
          <w:szCs w:val="20"/>
        </w:rPr>
        <w:t xml:space="preserve">OCIP/CCIP projects in TX: Oil and gas construction is excluded, but large commercial projects (data centers, logistics) are standard appetite. Standard reserving applies.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2E75B6" w:val="clear"/>
            <w:tcMar>
              <w:top w:type="dxa" w:w="100"/>
              <w:left w:type="dxa" w:w="200"/>
              <w:bottom w:type="dxa" w:w="100"/>
              <w:right w:type="dxa" w:w="200"/>
            </w:tcMar>
          </w:tcPr>
          <w:p>
            <w:r>
              <w:rPr>
                <w:rFonts w:ascii="Arial" w:cs="Arial" w:eastAsia="Arial" w:hAnsi="Arial"/>
                <w:b/>
                <w:bCs/>
                <w:color w:val="FFFFFF"/>
                <w:sz w:val="22"/>
                <w:szCs w:val="22"/>
              </w:rPr>
              <w:t xml:space="preserve">GP Platform Calibration -- Texas</w:t>
            </w:r>
          </w:p>
        </w:tc>
      </w:tr>
    </w:tbl>
    <w:p>
      <w:pPr>
        <w:pStyle w:val="ListParagraph"/>
        <w:numPr>
          <w:ilvl w:val="0"/>
          <w:numId w:val="2"/>
        </w:numPr>
        <w:spacing w:after="40" w:before="40"/>
      </w:pPr>
      <w:r>
        <w:rPr>
          <w:rFonts w:ascii="Arial" w:cs="Arial" w:eastAsia="Arial" w:hAnsi="Arial"/>
          <w:color w:val="1A1A1A"/>
          <w:sz w:val="20"/>
          <w:szCs w:val="20"/>
        </w:rPr>
        <w:t xml:space="preserve">ECA venue risk score: STANDARD. Harris County: ELEVATED.</w:t>
      </w:r>
    </w:p>
    <w:p>
      <w:pPr>
        <w:pStyle w:val="ListParagraph"/>
        <w:numPr>
          <w:ilvl w:val="0"/>
          <w:numId w:val="2"/>
        </w:numPr>
        <w:spacing w:after="40" w:before="40"/>
      </w:pPr>
      <w:r>
        <w:rPr>
          <w:rFonts w:ascii="Arial" w:cs="Arial" w:eastAsia="Arial" w:hAnsi="Arial"/>
          <w:color w:val="1A1A1A"/>
          <w:sz w:val="20"/>
          <w:szCs w:val="20"/>
        </w:rPr>
        <w:t xml:space="preserve">Initial reserve multiplier: 1.00x (standard baseline). Harris County: 1.10x.</w:t>
      </w:r>
    </w:p>
    <w:p>
      <w:pPr>
        <w:pStyle w:val="ListParagraph"/>
        <w:numPr>
          <w:ilvl w:val="0"/>
          <w:numId w:val="2"/>
        </w:numPr>
        <w:spacing w:after="40" w:before="40"/>
      </w:pPr>
      <w:r>
        <w:rPr>
          <w:rFonts w:ascii="Arial" w:cs="Arial" w:eastAsia="Arial" w:hAnsi="Arial"/>
          <w:color w:val="1A1A1A"/>
          <w:sz w:val="20"/>
          <w:szCs w:val="20"/>
        </w:rPr>
        <w:t xml:space="preserve">Chapter 558 flag: Any TX residential CD claim should trigger automatic Chapter 558 pre-suit procedure reminder to defense counsel</w:t>
      </w:r>
    </w:p>
    <w:p>
      <w:pPr>
        <w:spacing w:after="160" w:before="0"/>
      </w:pPr>
    </w:p>
    <w:p>
      <w:pPr>
        <w:spacing w:after="80" w:before="80"/>
        <w:jc w:val="center"/>
      </w:pPr>
      <w:r>
        <w:rPr>
          <w:rFonts w:ascii="Arial" w:cs="Arial" w:eastAsia="Arial" w:hAnsi="Arial"/>
          <w:i/>
          <w:iCs/>
          <w:color w:val="666666"/>
          <w:sz w:val="18"/>
          <w:szCs w:val="18"/>
        </w:rPr>
        <w:t xml:space="preserve">-- End of Venue Intelligence Summaries -- 2025 Edition --</w:t>
      </w:r>
    </w:p>
    <w:p>
      <w:pPr>
        <w:jc w:val="center"/>
      </w:pPr>
      <w:r>
        <w:rPr>
          <w:rFonts w:ascii="Arial" w:cs="Arial" w:eastAsia="Arial" w:hAnsi="Arial"/>
          <w:b/>
          <w:bCs/>
          <w:color w:val="C55A11"/>
          <w:sz w:val="18"/>
          <w:szCs w:val="18"/>
        </w:rPr>
        <w:t xml:space="preserve">Meridian Specialty Insurance | Claims Management | Confidential --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4"/>
      </w:pBdr>
      <w:spacing w:before="80"/>
      <w:jc w:val="center"/>
    </w:pPr>
    <w:r>
      <w:rPr>
        <w:rFonts w:ascii="Arial" w:cs="Arial" w:eastAsia="Arial" w:hAnsi="Arial"/>
        <w:color w:val="666666"/>
        <w:sz w:val="16"/>
        <w:szCs w:val="16"/>
      </w:rPr>
      <w:t xml:space="preserve">Meridian Specialty Insurance | Construction Liability Venue Intelligence | 2025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00"/>
      <w:gridCol w:w="4280"/>
    </w:tblGrid>
    <w:tr>
      <w:tc>
        <w:tcPr>
          <w:tcW w:type="dxa" w:w="5800"/>
          <w:tcBorders>
            <w:top w:val="single" w:color="FFFFFF" w:sz="4"/>
            <w:left w:val="single" w:color="FFFFFF" w:sz="4"/>
            <w:bottom w:val="single" w:color="FFFFFF" w:sz="4"/>
            <w:right w:val="single" w:color="FFFFFF" w:sz="4"/>
          </w:tcBorders>
        </w:tcPr>
        <w:p>
          <w:r>
            <w:rPr>
              <w:rFonts w:ascii="Arial" w:cs="Arial" w:eastAsia="Arial" w:hAnsi="Arial"/>
              <w:b/>
              <w:bCs/>
              <w:color w:val="1B3A5C"/>
              <w:sz w:val="18"/>
              <w:szCs w:val="18"/>
            </w:rPr>
            <w:t xml:space="preserve">Meridian Specialty Insurance</w:t>
          </w:r>
          <w:r>
            <w:rPr>
              <w:rFonts w:ascii="Arial" w:cs="Arial" w:eastAsia="Arial" w:hAnsi="Arial"/>
              <w:color w:val="1B3A5C"/>
              <w:sz w:val="18"/>
              <w:szCs w:val="18"/>
            </w:rPr>
            <w:t xml:space="preserve"> -- Construction Liability Venue Intelligence</w:t>
          </w:r>
        </w:p>
      </w:tc>
      <w:tc>
        <w:tcPr>
          <w:tcW w:type="dxa" w:w="4280"/>
          <w:tcBorders>
            <w:top w:val="single" w:color="FFFFFF" w:sz="4"/>
            <w:left w:val="single" w:color="FFFFFF" w:sz="4"/>
            <w:bottom w:val="single" w:color="FFFFFF" w:sz="4"/>
            <w:right w:val="single" w:color="FFFFFF" w:sz="4"/>
          </w:tcBorders>
        </w:tcPr>
        <w:p>
          <w:pPr>
            <w:jc w:val="right"/>
          </w:pPr>
          <w:r>
            <w:rPr>
              <w:rFonts w:ascii="Arial" w:cs="Arial" w:eastAsia="Arial" w:hAnsi="Arial"/>
              <w:b/>
              <w:bCs/>
              <w:color w:val="C55A11"/>
              <w:sz w:val="16"/>
              <w:szCs w:val="16"/>
            </w:rPr>
            <w:t xml:space="preserve">CLAIMS / LITIGATION | Confidential | 2025 Edition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2026-05-05T19:42:02.915Z</dcterms:created>
  <dcterms:modified xsi:type="dcterms:W3CDTF">2026-05-05T19:42:02.915Z</dcterms:modified>
</cp:coreProperties>
</file>

<file path=docProps/custom.xml><?xml version="1.0" encoding="utf-8"?>
<Properties xmlns="http://schemas.openxmlformats.org/officeDocument/2006/custom-properties" xmlns:vt="http://schemas.openxmlformats.org/officeDocument/2006/docPropsVTypes"/>
</file>