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epidemio"/>
    <w:p>
      <w:pPr>
        <w:pStyle w:val="Titre1"/>
      </w:pPr>
      <w:r>
        <w:t xml:space="preserve">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 par sexe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15.89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14.57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1"/>
    <w:bookmarkEnd w:id="22"/>
    <w:bookmarkStart w:id="34" w:name="etude"/>
    <w:p>
      <w:pPr>
        <w:pStyle w:val="Titre1"/>
      </w:pPr>
      <w:r>
        <w:t xml:space="preserve">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Start w:id="32" w:name="agenesie-dentaire"/>
    <w:p>
      <w:pPr>
        <w:pStyle w:val="Titre2"/>
      </w:pPr>
      <w:r>
        <w:t xml:space="preserve">Agenesie dentaire</w:t>
      </w:r>
    </w:p>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bookmarkEnd w:id="32"/>
    <w:bookmarkStart w:id="33" w:name="fistule-bucconasale"/>
    <w:p>
      <w:pPr>
        <w:pStyle w:val="Titre2"/>
      </w:pPr>
      <w:r>
        <w:t xml:space="preserve">Fistule bucconasale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bookmarkEnd w:id="33"/>
    <w:bookmarkEnd w:id="34"/>
    <w:bookmarkStart w:id="38" w:name="learning-curve"/>
    <w:p>
      <w:pPr>
        <w:pStyle w:val="Titre1"/>
      </w:pPr>
      <w:r>
        <w:t xml:space="preserve">Learning curve</w:t>
      </w:r>
    </w:p>
    <w:bookmarkStart w:id="35" w:name="graphe"/>
    <w:p>
      <w:pPr>
        <w:pStyle w:val="Titre2"/>
      </w:pPr>
      <w:r>
        <w:t xml:space="preserve">Graphe</w:t>
      </w:r>
    </w:p>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5"/>
    <w:bookmarkStart w:id="36"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6"/>
    <w:bookmarkStart w:id="37"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7"/>
    <w:bookmarkEnd w:id="38"/>
    <w:bookmarkStart w:id="47" w:name="cbct-26-patients"/>
    <w:p>
      <w:pPr>
        <w:pStyle w:val="Titre1"/>
      </w:pPr>
      <w:r>
        <w:t xml:space="preserve">CBCT (26 patients)</w:t>
      </w:r>
    </w:p>
    <w:bookmarkStart w:id="39"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39"/>
    <w:bookmarkStart w:id="41"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0.9991</w:t>
            </w:r>
          </w:p>
        </w:tc>
        <w:tc>
          <w:p>
            <w:pPr>
              <w:pStyle w:stlname="Normal" w:val="Normal"/>
            </w:pPr>
            <w:r>
              <w:t>2170</w:t>
            </w:r>
          </w:p>
        </w:tc>
        <w:tc>
          <w:p>
            <w:pPr>
              <w:pStyle w:stlname="Normal" w:val="Normal"/>
            </w:pPr>
            <w:r>
              <w:t>25</w:t>
            </w:r>
          </w:p>
        </w:tc>
        <w:tc>
          <w:p>
            <w:pPr>
              <w:pStyle w:stlname="Normal" w:val="Normal"/>
            </w:pPr>
            <w:r>
              <w:t>26</w:t>
            </w:r>
          </w:p>
        </w:tc>
        <w:tc>
          <w:p>
            <w:pPr>
              <w:pStyle w:stlname="Normal" w:val="Normal"/>
            </w:pPr>
            <w:r>
              <w:t>2.514e-37</w:t>
            </w:r>
          </w:p>
        </w:tc>
        <w:tc>
          <w:p>
            <w:pPr>
              <w:pStyle w:stlname="Normal" w:val="Normal"/>
            </w:pPr>
            <w:r>
              <w:t>0.998</w:t>
            </w:r>
          </w:p>
        </w:tc>
        <w:tc>
          <w:p>
            <w:pPr>
              <w:pStyle w:stlname="Normal" w:val="Normal"/>
            </w:pPr>
            <w:r>
              <w:t>0.9996</w:t>
            </w:r>
          </w:p>
        </w:tc>
      </w:tr>
    </w:tbl>
    <w:p>
      <w:pPr>
        <w:pStyle w:val="Corpsdetexte"/>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bookmarkStart w:id="40"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40"/>
    <w:bookmarkEnd w:id="41"/>
    <w:bookmarkStart w:id="42" w:name="concordance-mesures-volume-greffe"/>
    <w:p>
      <w:pPr>
        <w:pStyle w:val="Titre2"/>
      </w:pPr>
      <w:r>
        <w:t xml:space="preserve">Concordance mesures volume greffe</w:t>
      </w:r>
    </w:p>
    <w:p>
      <w:pPr>
        <w:pStyle w:val="FirstParagraph"/>
      </w:pPr>
      <w:r>
        <w:t xml:space="preserve">Même chose mais pour les mésuration du volume de la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0.9995</w:t>
            </w:r>
          </w:p>
        </w:tc>
        <w:tc>
          <w:p>
            <w:pPr>
              <w:pStyle w:stlname="Normal" w:val="Normal"/>
            </w:pPr>
            <w:r>
              <w:t>3956</w:t>
            </w:r>
          </w:p>
        </w:tc>
        <w:tc>
          <w:p>
            <w:pPr>
              <w:pStyle w:stlname="Normal" w:val="Normal"/>
            </w:pPr>
            <w:r>
              <w:t>25</w:t>
            </w:r>
          </w:p>
        </w:tc>
        <w:tc>
          <w:p>
            <w:pPr>
              <w:pStyle w:stlname="Normal" w:val="Normal"/>
            </w:pPr>
            <w:r>
              <w:t>26</w:t>
            </w:r>
          </w:p>
        </w:tc>
        <w:tc>
          <w:p>
            <w:pPr>
              <w:pStyle w:stlname="Normal" w:val="Normal"/>
            </w:pPr>
            <w:r>
              <w:t>1.03e-40</w:t>
            </w:r>
          </w:p>
        </w:tc>
        <w:tc>
          <w:p>
            <w:pPr>
              <w:pStyle w:stlname="Normal" w:val="Normal"/>
            </w:pPr>
            <w:r>
              <w:t>0.9989</w:t>
            </w:r>
          </w:p>
        </w:tc>
        <w:tc>
          <w:p>
            <w:pPr>
              <w:pStyle w:stlname="Normal" w:val="Normal"/>
            </w:pPr>
            <w:r>
              <w:t>0.9998</w:t>
            </w:r>
          </w:p>
        </w:tc>
      </w:tr>
    </w:tbl>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End w:id="42"/>
    <w:bookmarkStart w:id="43"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3"/>
    <w:bookmarkStart w:id="44"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4"/>
    <w:bookmarkStart w:id="45"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5"/>
    <w:bookmarkStart w:id="46"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6"/>
    <w:bookmarkEnd w:id="47"/>
    <w:bookmarkStart w:id="54" w:name="etude-préliminaire-13-patients"/>
    <w:p>
      <w:pPr>
        <w:pStyle w:val="Titre1"/>
      </w:pPr>
      <w:r>
        <w:t xml:space="preserve">Etude préliminaire (13 patients)</w:t>
      </w:r>
    </w:p>
    <w:bookmarkStart w:id="48" w:name="délai-cbct-postop"/>
    <w:p>
      <w:pPr>
        <w:pStyle w:val="Titre2"/>
      </w:pPr>
      <w:r>
        <w:t xml:space="preserve">Délai cbct postop</w:t>
      </w:r>
    </w:p>
    <w:p>
      <w:pPr>
        <w:pStyle w:val="SourceCode"/>
      </w:pPr>
      <w:r>
        <w:rPr>
          <w:rStyle w:val="VerbatimChar"/>
        </w:rPr>
        <w:t xml:space="preserve">## [1] "Délai CBCT postop 12.15 mois"</w:t>
      </w:r>
    </w:p>
    <w:bookmarkEnd w:id="48"/>
    <w:bookmarkStart w:id="49"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9"/>
    <w:bookmarkStart w:id="50" w:name="concordance-mesures-volume-fente-1"/>
    <w:p>
      <w:pPr>
        <w:pStyle w:val="Titre2"/>
      </w:pPr>
      <w:r>
        <w:t xml:space="preserve">Concordance mesures volume fente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0.9968</w:t>
            </w:r>
          </w:p>
        </w:tc>
        <w:tc>
          <w:p>
            <w:pPr>
              <w:pStyle w:stlname="Normal" w:val="Normal"/>
            </w:pPr>
            <w:r>
              <w:t>621</w:t>
            </w:r>
          </w:p>
        </w:tc>
        <w:tc>
          <w:p>
            <w:pPr>
              <w:pStyle w:stlname="Normal" w:val="Normal"/>
            </w:pPr>
            <w:r>
              <w:t>12</w:t>
            </w:r>
          </w:p>
        </w:tc>
        <w:tc>
          <w:p>
            <w:pPr>
              <w:pStyle w:stlname="Normal" w:val="Normal"/>
            </w:pPr>
            <w:r>
              <w:t>13</w:t>
            </w:r>
          </w:p>
        </w:tc>
        <w:tc>
          <w:p>
            <w:pPr>
              <w:pStyle w:stlname="Normal" w:val="Normal"/>
            </w:pPr>
            <w:r>
              <w:t>7.037e-16</w:t>
            </w:r>
          </w:p>
        </w:tc>
        <w:tc>
          <w:p>
            <w:pPr>
              <w:pStyle w:stlname="Normal" w:val="Normal"/>
            </w:pPr>
            <w:r>
              <w:t>0.9899</w:t>
            </w:r>
          </w:p>
        </w:tc>
        <w:tc>
          <w:p>
            <w:pPr>
              <w:pStyle w:stlname="Normal" w:val="Normal"/>
            </w:pPr>
            <w:r>
              <w:t>0.999</w:t>
            </w:r>
          </w:p>
        </w:tc>
      </w:tr>
    </w:tbl>
    <w:p>
      <w:pPr>
        <w:jc w:val="center"/>
        <w:pStyle w:val="Figure"/>
      </w:pPr>
      <w:r>
        <w:rPr/>
        <w:drawing>
          <wp:inline distT="0" distB="0" distL="0" distR="0">
            <wp:extent cx="6089904"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84582" cy="50800"/>
                    </a:xfrm>
                    <a:prstGeom prst="rect">
                      <a:avLst/>
                    </a:prstGeom>
                    <a:noFill/>
                  </pic:spPr>
                </pic:pic>
              </a:graphicData>
            </a:graphic>
          </wp:inline>
        </w:drawing>
      </w:r>
    </w:p>
    <w:bookmarkEnd w:id="50"/>
    <w:bookmarkStart w:id="51" w:name="concordance-mesures-volume-greffe-1"/>
    <w:p>
      <w:pPr>
        <w:pStyle w:val="Titre2"/>
      </w:pPr>
      <w:r>
        <w:t xml:space="preserve">Concordance mesures volume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0.9999</w:t>
            </w:r>
          </w:p>
        </w:tc>
        <w:tc>
          <w:p>
            <w:pPr>
              <w:pStyle w:stlname="Normal" w:val="Normal"/>
            </w:pPr>
            <w:r>
              <w:t>17293</w:t>
            </w:r>
          </w:p>
        </w:tc>
        <w:tc>
          <w:p>
            <w:pPr>
              <w:pStyle w:stlname="Normal" w:val="Normal"/>
            </w:pPr>
            <w:r>
              <w:t>12</w:t>
            </w:r>
          </w:p>
        </w:tc>
        <w:tc>
          <w:p>
            <w:pPr>
              <w:pStyle w:stlname="Normal" w:val="Normal"/>
            </w:pPr>
            <w:r>
              <w:t>13</w:t>
            </w:r>
          </w:p>
        </w:tc>
        <w:tc>
          <w:p>
            <w:pPr>
              <w:pStyle w:stlname="Normal" w:val="Normal"/>
            </w:pPr>
            <w:r>
              <w:t>2.913e-25</w:t>
            </w:r>
          </w:p>
        </w:tc>
        <w:tc>
          <w:p>
            <w:pPr>
              <w:pStyle w:stlname="Normal" w:val="Normal"/>
            </w:pPr>
            <w:r>
              <w:t>0.9996</w:t>
            </w:r>
          </w:p>
        </w:tc>
        <w:tc>
          <w:p>
            <w:pPr>
              <w:pStyle w:stlname="Normal" w:val="Normal"/>
            </w:pPr>
            <w:r>
              <w:t>1</w:t>
            </w:r>
          </w:p>
        </w:tc>
      </w:tr>
    </w:tbl>
    <w:p>
      <w:pPr>
        <w:jc w:val="center"/>
        <w:pStyle w:val="Figure"/>
      </w:pPr>
      <w:r>
        <w:rPr/>
        <w:drawing>
          <wp:inline distT="0" distB="0" distL="0" distR="0">
            <wp:extent cx="6089904"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84582" cy="50800"/>
                    </a:xfrm>
                    <a:prstGeom prst="rect">
                      <a:avLst/>
                    </a:prstGeom>
                    <a:noFill/>
                  </pic:spPr>
                </pic:pic>
              </a:graphicData>
            </a:graphic>
          </wp:inline>
        </w:drawing>
      </w:r>
    </w:p>
    <w:bookmarkEnd w:id="51"/>
    <w:bookmarkStart w:id="52"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2"/>
    <w:bookmarkStart w:id="53"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3"/>
    <w:bookmarkEnd w:id="5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f2b56e19f660880b6fb87f8b842c2b28c1da1c52.png"/>
<Relationship Id="rId18" Type="http://schemas.openxmlformats.org/officeDocument/2006/relationships/image" Target="media/810febce1044aa67cf185763d42b387f5f8610a8.png"/>
<Relationship Id="rId19" Type="http://schemas.openxmlformats.org/officeDocument/2006/relationships/image" Target="media/8495394d38752ef2cd4bdf5b68e27278fab7f7bf.png"/>
<Relationship Id="rId20" Type="http://schemas.openxmlformats.org/officeDocument/2006/relationships/image" Target="media/23fbcd9147a824204d5c3bee0ae7d024d898fd01.png"/>
<Relationship Id="rId21" Type="http://schemas.openxmlformats.org/officeDocument/2006/relationships/image" Target="media/8fa9c9631b9c562e4753c5c47b7963aadafc5c52.png"/>
<Relationship Id="rId22" Type="http://schemas.openxmlformats.org/officeDocument/2006/relationships/image" Target="media/3a99c354780d467091ba834e5641f17f782c3914.png"/>
<Relationship Id="rId23"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2023-08-08T14:24:44Z</dcterms:created>
  <dcterms:modified xsi:type="dcterms:W3CDTF">2023-08-08T16:24:45Z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