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partie-1---epidemio"/>
    <w:p>
      <w:pPr>
        <w:pStyle w:val="Titre1"/>
      </w:pPr>
      <w:r>
        <w:t xml:space="preserve">Partie 1 - 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 par sexe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15.89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14.57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1"/>
    <w:bookmarkEnd w:id="22"/>
    <w:bookmarkStart w:id="35" w:name="partie-1---etude"/>
    <w:p>
      <w:pPr>
        <w:pStyle w:val="Titre1"/>
      </w:pPr>
      <w:r>
        <w:t xml:space="preserve">Partie 1 - 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bookmarkEnd w:id="33"/>
    <w:bookmarkStart w:id="34" w:name="tableau-evolution"/>
    <w:p>
      <w:pPr>
        <w:pStyle w:val="Titre2"/>
      </w:pPr>
      <w:r>
        <w:t xml:space="preserve">Tableau evolution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Evolution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Succès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Echec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Taux de succès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Fistule BN 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Eruption dentaire spontanée ou 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82.78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Prise de greffe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Correction endomaxillie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52.30</w:t>
            </w:r>
          </w:p>
        </w:tc>
      </w:tr>
    </w:tbl>
    <w:bookmarkEnd w:id="34"/>
    <w:bookmarkEnd w:id="35"/>
    <w:bookmarkStart w:id="39" w:name="partie-1---learning-curve"/>
    <w:p>
      <w:pPr>
        <w:pStyle w:val="Titre1"/>
      </w:pPr>
      <w:r>
        <w:t xml:space="preserve">Partie 1 - Learning curve</w:t>
      </w:r>
    </w:p>
    <w:bookmarkStart w:id="36" w:name="graphe"/>
    <w:p>
      <w:pPr>
        <w:pStyle w:val="Titre2"/>
      </w:pPr>
      <w:r>
        <w:t xml:space="preserve">Graphe</w:t>
      </w:r>
    </w:p>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6"/>
    <w:bookmarkStart w:id="37"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7"/>
    <w:bookmarkStart w:id="38"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8"/>
    <w:bookmarkEnd w:id="39"/>
    <w:bookmarkStart w:id="53" w:name="partie-2---cbct-26-patients"/>
    <w:p>
      <w:pPr>
        <w:pStyle w:val="Titre1"/>
      </w:pPr>
      <w:r>
        <w:t xml:space="preserve">Partie 2 - CBCT (26 patients)</w:t>
      </w:r>
    </w:p>
    <w:bookmarkStart w:id="40"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40"/>
    <w:bookmarkStart w:id="42"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Start w:id="41"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1"/>
    <w:bookmarkEnd w:id="42"/>
    <w:bookmarkStart w:id="43" w:name="concordance-mesures-volume-greffe"/>
    <w:p>
      <w:pPr>
        <w:pStyle w:val="Titre2"/>
      </w:pPr>
      <w:r>
        <w:t xml:space="preserve">Concordance mesures volume greffe</w:t>
      </w:r>
    </w:p>
    <w:p>
      <w:pPr>
        <w:pStyle w:val="FirstParagraph"/>
      </w:pPr>
      <w:r>
        <w:t xml:space="preserve">Même chose mais pour les mésuration du volume de la greffe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0.9998</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43"/>
    <w:bookmarkStart w:id="44" w:name="concordance-lrdm"/>
    <w:p>
      <w:pPr>
        <w:pStyle w:val="Titre2"/>
      </w:pPr>
      <w:r>
        <w:t xml:space="preserve">Concordance LRDM</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0.9953</w:t>
            </w:r>
          </w:p>
        </w:tc>
      </w:tr>
    </w:tbl>
    <w:p>
      <w:pPr>
        <w:jc w:val="center"/>
        <w:pStyle w:val="Figure"/>
      </w:pPr>
      <w:r>
        <w:rPr/>
        <w:drawing>
          <wp:inline distT="0" distB="0" distL="0" distR="0">
            <wp:extent cx="6089904"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24"/>
                    <a:stretch>
                      <a:fillRect/>
                    </a:stretch>
                  </pic:blipFill>
                  <pic:spPr bwMode="auto">
                    <a:xfrm>
                      <a:off x="0" y="0"/>
                      <a:ext cx="84582" cy="50800"/>
                    </a:xfrm>
                    <a:prstGeom prst="rect">
                      <a:avLst/>
                    </a:prstGeom>
                    <a:noFill/>
                  </pic:spPr>
                </pic:pic>
              </a:graphicData>
            </a:graphic>
          </wp:inline>
        </w:drawing>
      </w:r>
    </w:p>
    <w:bookmarkEnd w:id="44"/>
    <w:bookmarkStart w:id="45" w:name="concordance-lrdl"/>
    <w:p>
      <w:pPr>
        <w:pStyle w:val="Titre2"/>
      </w:pPr>
      <w:r>
        <w:t xml:space="preserve">Concordance LRDL</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0.9632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0.9924</w:t>
            </w:r>
          </w:p>
        </w:tc>
      </w:tr>
    </w:tbl>
    <w:p>
      <w:pPr>
        <w:jc w:val="center"/>
        <w:pStyle w:val="Figure"/>
      </w:pPr>
      <w:r>
        <w:rPr/>
        <w:drawing>
          <wp:inline distT="0" distB="0" distL="0" distR="0">
            <wp:extent cx="6089904"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25"/>
                    <a:stretch>
                      <a:fillRect/>
                    </a:stretch>
                  </pic:blipFill>
                  <pic:spPr bwMode="auto">
                    <a:xfrm>
                      <a:off x="0" y="0"/>
                      <a:ext cx="84582" cy="50800"/>
                    </a:xfrm>
                    <a:prstGeom prst="rect">
                      <a:avLst/>
                    </a:prstGeom>
                    <a:noFill/>
                  </pic:spPr>
                </pic:pic>
              </a:graphicData>
            </a:graphic>
          </wp:inline>
        </w:drawing>
      </w:r>
    </w:p>
    <w:bookmarkEnd w:id="45"/>
    <w:bookmarkStart w:id="46" w:name="concordance-hcrdm"/>
    <w:p>
      <w:pPr>
        <w:pStyle w:val="Titre2"/>
      </w:pPr>
      <w:r>
        <w:t xml:space="preserve">Concordance HCRDM</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0.9993</w:t>
            </w:r>
          </w:p>
        </w:tc>
      </w:tr>
    </w:tbl>
    <w:p>
      <w:pPr>
        <w:jc w:val="center"/>
        <w:pStyle w:val="Figure"/>
      </w:pPr>
      <w:r>
        <w:rPr/>
        <w:drawing>
          <wp:inline distT="0" distB="0" distL="0" distR="0">
            <wp:extent cx="6089904"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26"/>
                    <a:stretch>
                      <a:fillRect/>
                    </a:stretch>
                  </pic:blipFill>
                  <pic:spPr bwMode="auto">
                    <a:xfrm>
                      <a:off x="0" y="0"/>
                      <a:ext cx="84582" cy="50800"/>
                    </a:xfrm>
                    <a:prstGeom prst="rect">
                      <a:avLst/>
                    </a:prstGeom>
                    <a:noFill/>
                  </pic:spPr>
                </pic:pic>
              </a:graphicData>
            </a:graphic>
          </wp:inline>
        </w:drawing>
      </w:r>
    </w:p>
    <w:bookmarkEnd w:id="46"/>
    <w:bookmarkStart w:id="47" w:name="concordance-hcrdl"/>
    <w:p>
      <w:pPr>
        <w:pStyle w:val="Titre2"/>
      </w:pPr>
      <w:r>
        <w:t xml:space="preserve">Concordance HCRDL</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0.9986</w:t>
            </w:r>
          </w:p>
        </w:tc>
      </w:tr>
    </w:tbl>
    <w:p>
      <w:pPr>
        <w:jc w:val="center"/>
        <w:pStyle w:val="Figure"/>
      </w:pPr>
      <w:r>
        <w:rPr/>
        <w:drawing>
          <wp:inline distT="0" distB="0" distL="0" distR="0">
            <wp:extent cx="6089904"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27"/>
                    <a:stretch>
                      <a:fillRect/>
                    </a:stretch>
                  </pic:blipFill>
                  <pic:spPr bwMode="auto">
                    <a:xfrm>
                      <a:off x="0" y="0"/>
                      <a:ext cx="84582" cy="50800"/>
                    </a:xfrm>
                    <a:prstGeom prst="rect">
                      <a:avLst/>
                    </a:prstGeom>
                    <a:noFill/>
                  </pic:spPr>
                </pic:pic>
              </a:graphicData>
            </a:graphic>
          </wp:inline>
        </w:drawing>
      </w:r>
    </w:p>
    <w:bookmarkEnd w:id="47"/>
    <w:bookmarkStart w:id="48" w:name="coverture-radiculaire"/>
    <w:p>
      <w:pPr>
        <w:pStyle w:val="Titre2"/>
      </w:pPr>
      <w:r>
        <w:t xml:space="preserve">Coverture radiculaire</w:t>
      </w:r>
    </w:p>
    <w:p>
      <w:pPr>
        <w:jc w:val="center"/>
        <w:pStyle w:val="Figure"/>
      </w:pPr>
      <w:r>
        <w:rPr/>
        <w:drawing>
          <wp:inline distT="0" distB="0" distL="0" distR="0">
            <wp:extent cx="6089904" cy="36576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28"/>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End w:id="48"/>
    <w:bookmarkStart w:id="49"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9"/>
    <w:bookmarkStart w:id="50"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0"/>
    <w:bookmarkStart w:id="51"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1"/>
    <w:bookmarkStart w:id="52"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2"/>
    <w:bookmarkEnd w:id="53"/>
    <w:bookmarkStart w:id="60" w:name="Xf6e1699b60672c307a6a1b7bfb83e6bc820f3b3"/>
    <w:p>
      <w:pPr>
        <w:pStyle w:val="Titre1"/>
      </w:pPr>
      <w:r>
        <w:t xml:space="preserve">Partie 3 - Etude préliminaire (13 patients)</w:t>
      </w:r>
    </w:p>
    <w:bookmarkStart w:id="54" w:name="délai-cbct-postop"/>
    <w:p>
      <w:pPr>
        <w:pStyle w:val="Titre2"/>
      </w:pPr>
      <w:r>
        <w:t xml:space="preserve">Délai cbct postop</w:t>
      </w:r>
    </w:p>
    <w:p>
      <w:pPr>
        <w:pStyle w:val="SourceCode"/>
      </w:pPr>
      <w:r>
        <w:rPr>
          <w:rStyle w:val="VerbatimChar"/>
        </w:rPr>
        <w:t xml:space="preserve">## [1] "Délai CBCT postop 12.15 mois"</w:t>
      </w:r>
    </w:p>
    <w:bookmarkEnd w:id="54"/>
    <w:bookmarkStart w:id="55"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5"/>
    <w:bookmarkStart w:id="56" w:name="concordance-mesures-volume-fente-1"/>
    <w:p>
      <w:pPr>
        <w:pStyle w:val="Titre2"/>
      </w:pPr>
      <w:r>
        <w:t xml:space="preserve">Concordance mesures volume fente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w:t>
            </w:r>
          </w:p>
        </w:tc>
      </w:tr>
    </w:tbl>
    <w:p>
      <w:pPr>
        <w:jc w:val="center"/>
        <w:pStyle w:val="Figure"/>
      </w:pPr>
      <w:r>
        <w:rPr/>
        <w:drawing>
          <wp:inline distT="0" distB="0" distL="0" distR="0">
            <wp:extent cx="6089904" cy="36576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29"/>
                    <a:stretch>
                      <a:fillRect/>
                    </a:stretch>
                  </pic:blipFill>
                  <pic:spPr bwMode="auto">
                    <a:xfrm>
                      <a:off x="0" y="0"/>
                      <a:ext cx="84582" cy="50800"/>
                    </a:xfrm>
                    <a:prstGeom prst="rect">
                      <a:avLst/>
                    </a:prstGeom>
                    <a:noFill/>
                  </pic:spPr>
                </pic:pic>
              </a:graphicData>
            </a:graphic>
          </wp:inline>
        </w:drawing>
      </w:r>
    </w:p>
    <w:bookmarkEnd w:id="56"/>
    <w:bookmarkStart w:id="57" w:name="concordance-mesures-volume-greffe-1"/>
    <w:p>
      <w:pPr>
        <w:pStyle w:val="Titre2"/>
      </w:pPr>
      <w:r>
        <w:t xml:space="preserve">Concordance mesures volume greffe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17,293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r>
    </w:tbl>
    <w:p>
      <w:pPr>
        <w:jc w:val="center"/>
        <w:pStyle w:val="Figure"/>
      </w:pPr>
      <w:r>
        <w:rPr/>
        <w:drawing>
          <wp:inline distT="0" distB="0" distL="0" distR="0">
            <wp:extent cx="6089904" cy="3657600"/>
            <wp:docPr id="41" name="" descr=""/>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cstate="print" r:embed="rId30"/>
                    <a:stretch>
                      <a:fillRect/>
                    </a:stretch>
                  </pic:blipFill>
                  <pic:spPr bwMode="auto">
                    <a:xfrm>
                      <a:off x="0" y="0"/>
                      <a:ext cx="84582" cy="50800"/>
                    </a:xfrm>
                    <a:prstGeom prst="rect">
                      <a:avLst/>
                    </a:prstGeom>
                    <a:noFill/>
                  </pic:spPr>
                </pic:pic>
              </a:graphicData>
            </a:graphic>
          </wp:inline>
        </w:drawing>
      </w:r>
    </w:p>
    <w:bookmarkEnd w:id="57"/>
    <w:bookmarkStart w:id="58"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8"/>
    <w:bookmarkStart w:id="59"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9"/>
    <w:bookmarkEnd w:id="60"/>
    <w:bookmarkStart w:id="64" w:name="wilcoxon-et-fisher"/>
    <w:p>
      <w:pPr>
        <w:pStyle w:val="Titre1"/>
      </w:pPr>
      <w:r>
        <w:t xml:space="preserve">Wilcoxon et Fisher</w:t>
      </w:r>
    </w:p>
    <w:bookmarkStart w:id="61" w:name="vs-13---croissance-maxillaire-ouinon"/>
    <w:p>
      <w:pPr>
        <w:pStyle w:val="Titre2"/>
      </w:pPr>
      <w:r>
        <w:t xml:space="preserve">26 vs 13 - croissance maxillaire oui/non</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0.02</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1.153 42.624</w:t>
      </w:r>
      <w:r>
        <w:br/>
      </w:r>
      <w:r>
        <w:rPr>
          <w:rStyle w:val="VerbatimChar"/>
        </w:rPr>
        <w:t xml:space="preserve">## sample estimates:</w:t>
      </w:r>
      <w:r>
        <w:br/>
      </w:r>
      <w:r>
        <w:rPr>
          <w:rStyle w:val="VerbatimChar"/>
        </w:rPr>
        <w:t xml:space="preserve">## odds ratio </w:t>
      </w:r>
      <w:r>
        <w:br/>
      </w:r>
      <w:r>
        <w:rPr>
          <w:rStyle w:val="VerbatimChar"/>
        </w:rPr>
        <w:t xml:space="preserve">##       5.98</w:t>
      </w:r>
    </w:p>
    <w:p>
      <w:pPr>
        <w:pStyle w:val="FirstParagraph"/>
      </w:pPr>
      <w:r>
        <w:rPr>
          <w:bCs/>
          <w:b/>
        </w:rPr>
        <w:t xml:space="preserve">Valeur p</w:t>
      </w:r>
      <w:r>
        <w:t xml:space="preserve"> </w:t>
      </w:r>
      <w:r>
        <w:t xml:space="preserve">: Une valeur p de 0,02 indique que, en supposant l’hypothèse nulle d’indépendance entre les deux variables catégorielles, la probabilité d’observer un tableau aussi extrême ou plus extrême que celui que vous avez est de 0,02. Un seuil typique de signification statistique est de 0,05, de sorte qu’une valeur p de 0,02 suggère que vous pouvez rejeter l’hypothèse nulle et conclure qu’il existe une association statistiquement significative entre les deux variables catégorielles.</w:t>
      </w:r>
    </w:p>
    <w:p>
      <w:pPr>
        <w:pStyle w:val="Corpsdetexte"/>
      </w:pPr>
      <w:r>
        <w:rPr>
          <w:bCs/>
          <w:b/>
        </w:rPr>
        <w:t xml:space="preserve">Hypothèse alternative</w:t>
      </w:r>
      <w:r>
        <w:t xml:space="preserve"> </w:t>
      </w:r>
      <w:r>
        <w:t xml:space="preserve">: Elle indique ce que vous testez par rapport à l’hypothèse nulle. Dans ce cas, vous testez si le véritable rapport de cotes est différent de 1.</w:t>
      </w:r>
    </w:p>
    <w:p>
      <w:pPr>
        <w:pStyle w:val="Corpsdetexte"/>
      </w:pPr>
      <w:r>
        <w:rPr>
          <w:bCs/>
          <w:b/>
        </w:rPr>
        <w:t xml:space="preserve">Intervalle de confiance à 95 %</w:t>
      </w:r>
      <w:r>
        <w:t xml:space="preserve"> </w:t>
      </w:r>
      <w:r>
        <w:t xml:space="preserve">: Cet intervalle va de 1,153 à 42,624, ce qui est assez large. Cela signifie que, sur la base des données de votre échantillon, vous êtes sûr à 95 % que le véritable rapport de cotes se situe quelque part dans cet intervalle.</w:t>
      </w:r>
    </w:p>
    <w:p>
      <w:pPr>
        <w:pStyle w:val="Corpsdetexte"/>
      </w:pPr>
      <w:r>
        <w:rPr>
          <w:bCs/>
          <w:b/>
        </w:rPr>
        <w:t xml:space="preserve">Estimations de l’échantillon</w:t>
      </w:r>
      <w:r>
        <w:t xml:space="preserve"> </w:t>
      </w:r>
      <w:r>
        <w:t xml:space="preserve">: Le rapport de cotes estimé à partir de votre échantillon est de 5,98. Le rapport de cotes représente la probabilité qu’un résultat se produise dans un groupe par rapport à la probabilité qu’il se produise dans un autre groupe. Un rapport de cotes de 1 indique qu’il n’y a pas de différence entre les groupes. Dans le cas présent, un rapport de cotes de 5,98 indique que la probabilité de survenue du résultat est presque 6 fois plus élevée dans un groupe que dans l’autre (la possibilité de voir une croissance du maxillaire dans ce cas).</w:t>
      </w:r>
    </w:p>
    <w:p>
      <w:pPr>
        <w:pStyle w:val="Corpsdetexte"/>
      </w:pPr>
      <w:r>
        <w:t xml:space="preserve">Garde à l’esprit que si la signification statistique (donnée par la valeur p) t’indique si un effet existe, elle ne t’indique pas nécessairement si cet effet est important ou significatif (faut toujours tenir compte du contexte de l’étude, de la taille et de la direction des effets, ainsi que d’autres facteurs potentiels ou facteurs de confusion).</w:t>
      </w:r>
    </w:p>
    <w:bookmarkEnd w:id="61"/>
    <w:bookmarkStart w:id="62" w:name="vs-13---taux-de-comblement"/>
    <w:p>
      <w:pPr>
        <w:pStyle w:val="Titre2"/>
      </w:pPr>
      <w:r>
        <w:t xml:space="preserve">26 vs 13 - taux de comblement</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radio$comblement and prelim$comblement</w:t>
      </w:r>
      <w:r>
        <w:br/>
      </w:r>
      <w:r>
        <w:rPr>
          <w:rStyle w:val="VerbatimChar"/>
        </w:rPr>
        <w:t xml:space="preserve">## W = 102, p-value = 0.05</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-16.5171  -0.5833</w:t>
      </w:r>
      <w:r>
        <w:br/>
      </w:r>
      <w:r>
        <w:rPr>
          <w:rStyle w:val="VerbatimChar"/>
        </w:rPr>
        <w:t xml:space="preserve">## sample estimates:</w:t>
      </w:r>
      <w:r>
        <w:br/>
      </w:r>
      <w:r>
        <w:rPr>
          <w:rStyle w:val="VerbatimChar"/>
        </w:rPr>
        <w:t xml:space="preserve">## difference in location </w:t>
      </w:r>
      <w:r>
        <w:br/>
      </w:r>
      <w:r>
        <w:rPr>
          <w:rStyle w:val="VerbatimChar"/>
        </w:rPr>
        <w:t xml:space="preserve">##                 -9.706</w:t>
      </w:r>
    </w:p>
    <w:p>
      <w:pPr>
        <w:pStyle w:val="FirstParagraph"/>
      </w:pPr>
      <w:r>
        <w:t xml:space="preserve">Voici la répartition des résultats :</w:t>
      </w:r>
    </w:p>
    <w:p>
      <w:pPr>
        <w:pStyle w:val="Corpsdetexte"/>
      </w:pPr>
      <w:r>
        <w:t xml:space="preserve">Données : Le test compare deux groupes :</w:t>
      </w:r>
      <w:r>
        <w:t xml:space="preserve"> </w:t>
      </w:r>
      <w:r>
        <w:t xml:space="preserve">radio</w:t>
      </w:r>
      <m:oMath>
        <m:r>
          <m:t>c</m:t>
        </m:r>
        <m:r>
          <m:t>o</m:t>
        </m:r>
        <m:r>
          <m:t>m</m:t>
        </m:r>
        <m:r>
          <m:t>b</m:t>
        </m:r>
        <m:r>
          <m:t>l</m:t>
        </m:r>
        <m:r>
          <m:t>e</m:t>
        </m:r>
        <m:r>
          <m:t>m</m:t>
        </m:r>
        <m:r>
          <m:t>e</m:t>
        </m:r>
        <m:r>
          <m:t>n</m:t>
        </m:r>
        <m:r>
          <m:t>t</m:t>
        </m:r>
        <m:r>
          <m:rPr>
            <m:sty m:val="p"/>
          </m:rPr>
          <m:t>:</m:t>
        </m:r>
        <m:r>
          <m:t>I</m:t>
        </m:r>
        <m:r>
          <m:t>l</m:t>
        </m:r>
        <m:r>
          <m:t>s</m:t>
        </m:r>
        <m:r>
          <m:rPr>
            <m:sty m:val="p"/>
          </m:rPr>
          <m:t>′</m:t>
        </m:r>
        <m:r>
          <m:t>a</m:t>
        </m:r>
        <m:r>
          <m:t>g</m:t>
        </m:r>
        <m:r>
          <m:t>i</m:t>
        </m:r>
        <m:r>
          <m:t>t</m:t>
        </m:r>
        <m:r>
          <m:t>d</m:t>
        </m:r>
        <m:r>
          <m:t>e</m:t>
        </m:r>
        <m:r>
          <m:t>s</m:t>
        </m:r>
        <m:r>
          <m:t>v</m:t>
        </m:r>
        <m:r>
          <m:t>a</m:t>
        </m:r>
        <m:r>
          <m:t>l</m:t>
        </m:r>
        <m:r>
          <m:t>e</m:t>
        </m:r>
        <m:r>
          <m:t>u</m:t>
        </m:r>
        <m:r>
          <m:t>r</m:t>
        </m:r>
        <m:r>
          <m:t>s</m:t>
        </m:r>
        <m:r>
          <m:t>d</m:t>
        </m:r>
        <m:r>
          <m:t>e</m:t>
        </m:r>
        <m:r>
          <m:t>c</m:t>
        </m:r>
        <m:r>
          <m:t>o</m:t>
        </m:r>
        <m:r>
          <m:t>m</m:t>
        </m:r>
        <m:r>
          <m:t>p</m:t>
        </m:r>
        <m:r>
          <m:t>l</m:t>
        </m:r>
        <m:r>
          <m:t>i</m:t>
        </m:r>
        <m:r>
          <m:t>c</m:t>
        </m:r>
        <m:r>
          <m:t>a</m:t>
        </m:r>
        <m:r>
          <m:t>t</m:t>
        </m:r>
        <m:r>
          <m:t>i</m:t>
        </m:r>
        <m:r>
          <m:t>o</m:t>
        </m:r>
        <m:r>
          <m:t>n</m:t>
        </m:r>
        <m:r>
          <m:t>d</m:t>
        </m:r>
        <m:r>
          <m:t>e</m:t>
        </m:r>
        <m:r>
          <m:t>l</m:t>
        </m:r>
        <m:r>
          <m:rPr>
            <m:sty m:val="p"/>
          </m:rPr>
          <m:t>′</m:t>
        </m:r>
        <m:r>
          <m:t>e</m:t>
        </m:r>
        <m:r>
          <m:t>n</m:t>
        </m:r>
        <m:r>
          <m:t>s</m:t>
        </m:r>
        <m:r>
          <m:t>e</m:t>
        </m:r>
        <m:r>
          <m:t>m</m:t>
        </m:r>
        <m:r>
          <m:t>b</m:t>
        </m:r>
        <m:r>
          <m:t>l</m:t>
        </m:r>
        <m:r>
          <m:t>e</m:t>
        </m:r>
        <m:r>
          <m:t>d</m:t>
        </m:r>
        <m:r>
          <m:t>e</m:t>
        </m:r>
        <m:r>
          <m:t>d</m:t>
        </m:r>
        <m:r>
          <m:t>o</m:t>
        </m:r>
        <m:r>
          <m:t>n</m:t>
        </m:r>
        <m:r>
          <m:t>n</m:t>
        </m:r>
        <m:r>
          <m:t>é</m:t>
        </m:r>
        <m:r>
          <m:t>e</m:t>
        </m:r>
        <m:r>
          <m:t>s</m:t>
        </m:r>
        <m:r>
          <m:t>d</m:t>
        </m:r>
        <m:r>
          <m:t>e</m:t>
        </m:r>
        <m:r>
          <m:t>l</m:t>
        </m:r>
        <m:r>
          <m:rPr>
            <m:sty m:val="p"/>
          </m:rPr>
          <m:t>′</m:t>
        </m:r>
        <m:r>
          <m:t>é</m:t>
        </m:r>
        <m:r>
          <m:t>t</m:t>
        </m:r>
        <m:r>
          <m:t>u</m:t>
        </m:r>
        <m:r>
          <m:t>d</m:t>
        </m:r>
        <m:r>
          <m:t>e</m:t>
        </m:r>
        <m:r>
          <m:t>p</m:t>
        </m:r>
        <m:r>
          <m:t>r</m:t>
        </m:r>
        <m:r>
          <m:t>i</m:t>
        </m:r>
        <m:r>
          <m:t>n</m:t>
        </m:r>
        <m:r>
          <m:t>c</m:t>
        </m:r>
        <m:r>
          <m:t>i</m:t>
        </m:r>
        <m:r>
          <m:t>p</m:t>
        </m:r>
        <m:r>
          <m:t>a</m:t>
        </m:r>
        <m:r>
          <m:t>l</m:t>
        </m:r>
        <m:r>
          <m:t>e</m:t>
        </m:r>
        <m:r>
          <m:rPr>
            <m:sty m:val="p"/>
          </m:rPr>
          <m:t>.</m:t>
        </m:r>
        <m:r>
          <m:t>p</m:t>
        </m:r>
        <m:r>
          <m:t>r</m:t>
        </m:r>
        <m:r>
          <m:t>e</m:t>
        </m:r>
        <m:r>
          <m:t>l</m:t>
        </m:r>
        <m:r>
          <m:t>i</m:t>
        </m:r>
        <m:r>
          <m:t>m</m:t>
        </m:r>
      </m:oMath>
      <w:r>
        <w:t xml:space="preserve">comblement : Il s’agit des valeurs de comparaison de l’ensemble de données de l’étude preliminaire.</w:t>
      </w:r>
    </w:p>
    <w:p>
      <w:pPr>
        <w:pStyle w:val="Corpsdetexte"/>
      </w:pPr>
      <w:r>
        <w:t xml:space="preserve">Statistique de test (W) : La valeur W=102W = 102W=102 est la statistique de test pour le test de somme des rangs de Wilcoxon. Elle représente la somme des rangs de l’un des deux groupes.</w:t>
      </w:r>
    </w:p>
    <w:p>
      <w:pPr>
        <w:pStyle w:val="Corpsdetexte"/>
      </w:pPr>
      <w:r>
        <w:t xml:space="preserve">Valeur p : La valeur p est de 0,050,050,05. Elle se situe juste au niveau du seuil typique de signification statistique. Si vous utilisez un niveau de signification de 0,05, ce résultat est limite. Il suggère qu’il pourrait y avoir une différence statistiquement significative entre les deux groupes, mais il est juste à la limite de la signification.</w:t>
      </w:r>
    </w:p>
    <w:p>
      <w:pPr>
        <w:pStyle w:val="Corpsdetexte"/>
      </w:pPr>
      <w:r>
        <w:t xml:space="preserve">Hypothèse alternative : Le test vérifie s’il y a un</w:t>
      </w:r>
      <w:r>
        <w:t xml:space="preserve"> </w:t>
      </w:r>
      <w:r>
        <w:t xml:space="preserve">“</w:t>
      </w:r>
      <w:r>
        <w:t xml:space="preserve">changement de lieu</w:t>
      </w:r>
      <w:r>
        <w:t xml:space="preserve">”</w:t>
      </w:r>
      <w:r>
        <w:t xml:space="preserve"> </w:t>
      </w:r>
      <w:r>
        <w:t xml:space="preserve">entre les deux groupes. Le résultat suggère que le véritable décalage de localisation n’est pas égal à 0, ce qui signifie que les médianes des deux groupes pourraient être différentes.</w:t>
      </w:r>
    </w:p>
    <w:p>
      <w:pPr>
        <w:pStyle w:val="Corpsdetexte"/>
      </w:pPr>
      <w:r>
        <w:t xml:space="preserve">Intervalle de confiance : L’intervalle de confiance à 95 % pour la différence de médianes (ou de localisation) entre les deux groupes est compris entre -16,5171 et -0,5833. Cela signifie que nous sommes sûrs à 95 % que la véritable différence entre les médianes se situe dans cet intervalle. Les valeurs négatives suggèrent que la médiane du groupe des 26 est inferieure à celle du groupe des 13.</w:t>
      </w:r>
    </w:p>
    <w:p>
      <w:pPr>
        <w:pStyle w:val="Corpsdetexte"/>
      </w:pPr>
      <w:r>
        <w:t xml:space="preserve">Estimations de l’échantillon : La différence estimée de localisation (ou médiane) entre les deux groupes est de -9,706.</w:t>
      </w:r>
    </w:p>
    <w:p>
      <w:pPr>
        <w:pStyle w:val="Corpsdetexte"/>
      </w:pPr>
      <w:r>
        <w:t xml:space="preserve">En résumé, d’après les résultats fournis, il pourrait y avoir une différence statistiquement significative dans les valeurs de comblement. L’ensemble de données de l’étude principale a probablement une valeur médiane inférieure à celle de l’ensemble de données de l’étude preliminaire d’environ 9,706 unités, avec un intervalle de confiance à 95 % de la différence allant de -16,5171 à -0,5833 unités. Cependant, la valeur p se situe juste au seuil de 0,05, ce résultat doit donc être interprété avec prudence.</w:t>
      </w:r>
      <w:r>
        <w:t xml:space="preserve"> </w:t>
      </w:r>
      <w:r>
        <w:t xml:space="preserve">p-value de 0.05 est pile limite de la significativité</w:t>
      </w:r>
      <w:r>
        <w:t xml:space="preserve"> </w:t>
      </w:r>
      <w:r>
        <w:rPr>
          <w:bCs/>
          <w:b/>
        </w:rPr>
        <w:t xml:space="preserve">mais</w:t>
      </w:r>
      <w:r>
        <w:t xml:space="preserve"> </w:t>
      </w:r>
      <w:r>
        <w:t xml:space="preserve">il n’est pas</w:t>
      </w:r>
      <w:r>
        <w:t xml:space="preserve"> </w:t>
      </w:r>
      <w:r>
        <w:rPr>
          <w:iCs/>
          <w:i/>
        </w:rPr>
        <w:t xml:space="preserve">&lt;0.05</w:t>
      </w:r>
      <w:r>
        <w:t xml:space="preserve">.</w:t>
      </w:r>
    </w:p>
    <w:bookmarkEnd w:id="62"/>
    <w:bookmarkStart w:id="63" w:name="partie-2-n26---comblement-vs-recidive"/>
    <w:p>
      <w:pPr>
        <w:pStyle w:val="Titre2"/>
      </w:pPr>
      <w:r>
        <w:t xml:space="preserve">Partie 2 (n=26) - comblement vs recidive</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radio$comblement[radio$evaluation_3d__recidive_ == "oui"] and radio$comblement[radio$evaluation_3d__recidive_ == "non"]</w:t>
      </w:r>
      <w:r>
        <w:br/>
      </w:r>
      <w:r>
        <w:rPr>
          <w:rStyle w:val="VerbatimChar"/>
        </w:rPr>
        <w:t xml:space="preserve">## W = 14, p-value = 3e-04</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-20.371  -5.648</w:t>
      </w:r>
      <w:r>
        <w:br/>
      </w:r>
      <w:r>
        <w:rPr>
          <w:rStyle w:val="VerbatimChar"/>
        </w:rPr>
        <w:t xml:space="preserve">## sample estimates:</w:t>
      </w:r>
      <w:r>
        <w:br/>
      </w:r>
      <w:r>
        <w:rPr>
          <w:rStyle w:val="VerbatimChar"/>
        </w:rPr>
        <w:t xml:space="preserve">## difference in location </w:t>
      </w:r>
      <w:r>
        <w:br/>
      </w:r>
      <w:r>
        <w:rPr>
          <w:rStyle w:val="VerbatimChar"/>
        </w:rPr>
        <w:t xml:space="preserve">##                 -12.36</w:t>
      </w:r>
    </w:p>
    <w:p>
      <w:pPr>
        <w:pStyle w:val="FirstParagraph"/>
      </w:pPr>
      <w:r>
        <w:t xml:space="preserve">Test de somme des rangs de Wilcoxon (également connu sous le nom de test U de Mann-Whitney). Il s’agit d’un test non paramétrique utilisé pour comparer deux échantillons indépendants afin de déterminer s’ils proviennent de la même distribution. Il est souvent utilisé lorsque les données ne répondent pas aux hypothèses d’un test t, en particulier lorsque les données ne sont pas normalement distribuées.</w:t>
      </w:r>
    </w:p>
    <w:p>
      <w:pPr>
        <w:pStyle w:val="Corpsdetexte"/>
      </w:pPr>
      <w:r>
        <w:t xml:space="preserve">Voici un aperçu des résultats :</w:t>
      </w:r>
    </w:p>
    <w:p>
      <w:pPr>
        <w:numPr>
          <w:ilvl w:val="0"/>
          <w:numId w:val="1001"/>
        </w:numPr>
      </w:pPr>
      <w:r>
        <w:rPr>
          <w:bCs/>
          <w:b/>
        </w:rPr>
        <w:t xml:space="preserve">Données</w:t>
      </w:r>
      <w:r>
        <w:t xml:space="preserve"> </w:t>
      </w:r>
      <w:r>
        <w:t xml:space="preserve">: Le test compare deux groupes :</w:t>
      </w:r>
    </w:p>
    <w:p>
      <w:pPr>
        <w:numPr>
          <w:ilvl w:val="1"/>
          <w:numId w:val="1002"/>
        </w:numPr>
        <w:pStyle w:val="Compact"/>
      </w:pPr>
      <w:r>
        <w:rPr>
          <w:rStyle w:val="VerbatimChar"/>
        </w:rPr>
        <w:t xml:space="preserve">radio$comblement[radio$evaluation_3d__recidive_ == "non"]</w:t>
      </w:r>
      <w:r>
        <w:t xml:space="preserve"> </w:t>
      </w:r>
      <w:r>
        <w:t xml:space="preserve">: Ceci représente les valeurs de</w:t>
      </w:r>
      <w:r>
        <w:t xml:space="preserve"> </w:t>
      </w:r>
      <w:r>
        <w:rPr>
          <w:rStyle w:val="VerbatimChar"/>
        </w:rPr>
        <w:t xml:space="preserve">comblement</w:t>
      </w:r>
      <w:r>
        <w:t xml:space="preserve"> </w:t>
      </w:r>
      <w:r>
        <w:t xml:space="preserve">pour les observations où</w:t>
      </w:r>
      <w:r>
        <w:t xml:space="preserve"> </w:t>
      </w:r>
      <w:r>
        <w:rPr>
          <w:rStyle w:val="VerbatimChar"/>
        </w:rPr>
        <w:t xml:space="preserve">evaluation_3d__recidive_</w:t>
      </w:r>
      <w:r>
        <w:t xml:space="preserve"> </w:t>
      </w:r>
      <w:r>
        <w:t xml:space="preserve">est</w:t>
      </w:r>
      <w:r>
        <w:t xml:space="preserve"> </w:t>
      </w:r>
      <w:r>
        <w:t xml:space="preserve">“</w:t>
      </w:r>
      <w:r>
        <w:t xml:space="preserve">non</w:t>
      </w:r>
      <w:r>
        <w:t xml:space="preserve">”</w:t>
      </w:r>
      <w:r>
        <w:t xml:space="preserve">.</w:t>
      </w:r>
    </w:p>
    <w:p>
      <w:pPr>
        <w:numPr>
          <w:ilvl w:val="1"/>
          <w:numId w:val="1002"/>
        </w:numPr>
        <w:pStyle w:val="Compact"/>
      </w:pPr>
      <w:r>
        <w:rPr>
          <w:rStyle w:val="VerbatimChar"/>
        </w:rPr>
        <w:t xml:space="preserve">radio$comblement[radio$evaluation_3d__recidive_ == "oui"]</w:t>
      </w:r>
      <w:r>
        <w:t xml:space="preserve"> </w:t>
      </w:r>
      <w:r>
        <w:t xml:space="preserve">: Ceci représente les valeurs de</w:t>
      </w:r>
      <w:r>
        <w:t xml:space="preserve"> </w:t>
      </w:r>
      <w:r>
        <w:rPr>
          <w:rStyle w:val="VerbatimChar"/>
        </w:rPr>
        <w:t xml:space="preserve">comblement</w:t>
      </w:r>
      <w:r>
        <w:t xml:space="preserve"> </w:t>
      </w:r>
      <w:r>
        <w:t xml:space="preserve">pour les observations où</w:t>
      </w:r>
      <w:r>
        <w:t xml:space="preserve"> </w:t>
      </w:r>
      <w:r>
        <w:rPr>
          <w:rStyle w:val="VerbatimChar"/>
        </w:rPr>
        <w:t xml:space="preserve">evaluation_3d__recidive_</w:t>
      </w:r>
      <w:r>
        <w:t xml:space="preserve"> </w:t>
      </w:r>
      <w:r>
        <w:t xml:space="preserve">est</w:t>
      </w:r>
      <w:r>
        <w:t xml:space="preserve"> </w:t>
      </w:r>
      <w:r>
        <w:t xml:space="preserve">“</w:t>
      </w:r>
      <w:r>
        <w:t xml:space="preserve">oui</w:t>
      </w:r>
      <w:r>
        <w:t xml:space="preserve">”</w:t>
      </w:r>
      <w:r>
        <w:t xml:space="preserve">.</w:t>
      </w:r>
    </w:p>
    <w:p>
      <w:pPr>
        <w:numPr>
          <w:ilvl w:val="0"/>
          <w:numId w:val="1001"/>
        </w:numPr>
      </w:pPr>
      <w:r>
        <w:rPr>
          <w:bCs/>
          <w:b/>
        </w:rPr>
        <w:t xml:space="preserve">Statistique de test (W)</w:t>
      </w:r>
      <w:r>
        <w:t xml:space="preserve"> </w:t>
      </w:r>
      <w:r>
        <w:t xml:space="preserve">: La valeur W = 139 est la statistique de test pour le test de la somme des rangs de Wilcoxon. Elle représente la somme des rangs de l’un des deux groupes. Tu peux l’ignorer.</w:t>
      </w:r>
    </w:p>
    <w:p>
      <w:pPr>
        <w:numPr>
          <w:ilvl w:val="0"/>
          <w:numId w:val="1001"/>
        </w:numPr>
      </w:pPr>
      <w:r>
        <w:rPr>
          <w:bCs/>
          <w:b/>
        </w:rPr>
        <w:t xml:space="preserve">valeur-p</w:t>
      </w:r>
      <w:r>
        <w:t xml:space="preserve"> </w:t>
      </w:r>
      <w:r>
        <w:t xml:space="preserve">: La valeur p est de 0,0003. Il s’agit d’une valeur p très faible, qui suggère qu’il existe une différence statistiquement significative entre les deux groupes.</w:t>
      </w:r>
    </w:p>
    <w:p>
      <w:pPr>
        <w:numPr>
          <w:ilvl w:val="0"/>
          <w:numId w:val="1001"/>
        </w:numPr>
      </w:pPr>
      <w:r>
        <w:rPr>
          <w:bCs/>
          <w:b/>
        </w:rPr>
        <w:t xml:space="preserve">Hypothèse alternative</w:t>
      </w:r>
      <w:r>
        <w:t xml:space="preserve"> </w:t>
      </w:r>
      <w:r>
        <w:t xml:space="preserve">: Le test vérifie s’il y a un</w:t>
      </w:r>
      <w:r>
        <w:t xml:space="preserve"> </w:t>
      </w:r>
      <w:r>
        <w:t xml:space="preserve">“</w:t>
      </w:r>
      <w:r>
        <w:t xml:space="preserve">changement de lieu</w:t>
      </w:r>
      <w:r>
        <w:t xml:space="preserve">”</w:t>
      </w:r>
      <w:r>
        <w:t xml:space="preserve"> </w:t>
      </w:r>
      <w:r>
        <w:t xml:space="preserve">entre les deux groupes. En termes plus simples, il s’agit de vérifier si la médiane d’un groupe est différente de l’autre. Le résultat suggère que le véritable décalage de localisation n’est pas égal à 0, ce qui signifie que les médianes des deux groupes sont différentes.</w:t>
      </w:r>
    </w:p>
    <w:p>
      <w:pPr>
        <w:numPr>
          <w:ilvl w:val="0"/>
          <w:numId w:val="1001"/>
        </w:numPr>
      </w:pPr>
      <w:r>
        <w:rPr>
          <w:bCs/>
          <w:b/>
        </w:rPr>
        <w:t xml:space="preserve">Intervalle de confiance</w:t>
      </w:r>
      <w:r>
        <w:t xml:space="preserve"> </w:t>
      </w:r>
      <w:r>
        <w:t xml:space="preserve">: L’intervalle de confiance à 95 % pour la différence de médianes (ou de localisation) entre les deux groupes est compris entre 5,648 et 20,371. Cela signifie que nous sommes sûrs à 95 % que la véritable différence entre les médianes se situe dans cet intervalle.</w:t>
      </w:r>
    </w:p>
    <w:p>
      <w:pPr>
        <w:numPr>
          <w:ilvl w:val="0"/>
          <w:numId w:val="1001"/>
        </w:numPr>
      </w:pPr>
      <w:r>
        <w:rPr>
          <w:bCs/>
          <w:b/>
        </w:rPr>
        <w:t xml:space="preserve">Estimation de l’échantillon</w:t>
      </w:r>
      <w:r>
        <w:t xml:space="preserve"> </w:t>
      </w:r>
      <w:r>
        <w:t xml:space="preserve">: La différence estimée de la médiane entre les deux groupes est de 12,36.</w:t>
      </w:r>
    </w:p>
    <w:bookmarkEnd w:id="63"/>
    <w:bookmarkEnd w:id="6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c44f858c0aa25cc3bf37db0ca88ca1947fbd3571.png"/>
<Relationship Id="rId18" Type="http://schemas.openxmlformats.org/officeDocument/2006/relationships/image" Target="media/f2b56e19f660880b6fb87f8b842c2b28c1da1c52.png"/>
<Relationship Id="rId19" Type="http://schemas.openxmlformats.org/officeDocument/2006/relationships/image" Target="media/810febce1044aa67cf185763d42b387f5f8610a8.png"/>
<Relationship Id="rId20" Type="http://schemas.openxmlformats.org/officeDocument/2006/relationships/image" Target="media/be0d0da28ab34566b9db743d79f021a86cb2e99c.png"/>
<Relationship Id="rId21" Type="http://schemas.openxmlformats.org/officeDocument/2006/relationships/image" Target="media/88c25d33b7add3aff84b5aa96fb9d0e4a8d0dfa8.png"/>
<Relationship Id="rId22" Type="http://schemas.openxmlformats.org/officeDocument/2006/relationships/image" Target="media/23fbcd9147a824204d5c3bee0ae7d024d898fd01.png"/>
<Relationship Id="rId23" Type="http://schemas.openxmlformats.org/officeDocument/2006/relationships/image" Target="media/2bf9bff3c489114dcd48b6d18713a77d79109d51.png"/>
<Relationship Id="rId24" Type="http://schemas.openxmlformats.org/officeDocument/2006/relationships/image" Target="media/fe7268d51553d0be2479872f3e89dab4465201b1.png"/>
<Relationship Id="rId25" Type="http://schemas.openxmlformats.org/officeDocument/2006/relationships/image" Target="media/30483226d8f7d36101786d5920858b27aa308fe5.png"/>
<Relationship Id="rId26" Type="http://schemas.openxmlformats.org/officeDocument/2006/relationships/image" Target="media/1737014cb6676547fad2d6d8ba22e041f0b409ce.png"/>
<Relationship Id="rId27" Type="http://schemas.openxmlformats.org/officeDocument/2006/relationships/image" Target="media/f78761b68981a3158471531cd34f5684001e8ef0.png"/>
<Relationship Id="rId28" Type="http://schemas.openxmlformats.org/officeDocument/2006/relationships/image" Target="media/fa8a9618c0444b3730f8230fda65735bf1af5e64.png"/>
<Relationship Id="rId29" Type="http://schemas.openxmlformats.org/officeDocument/2006/relationships/image" Target="media/3a99c354780d467091ba834e5641f17f782c3914.png"/>
<Relationship Id="rId30"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2023-08-11T19:46:08Z</dcterms:created>
  <dcterms:modified xsi:type="dcterms:W3CDTF">2023-08-11T21:46:09Z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