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156918A" w14:textId="67F116B9" w:rsidR="00C37D06" w:rsidRPr="000A5E99" w:rsidRDefault="5A63EDC9" w:rsidP="000A5E99">
      <w:pPr>
        <w:pStyle w:val="Title"/>
      </w:pPr>
      <w:r w:rsidRPr="32D5D1AF">
        <w:rPr>
          <w:rFonts w:cs="Times New Roman"/>
        </w:rPr>
        <w:t xml:space="preserve">Community performance curves </w:t>
      </w:r>
      <w:r w:rsidR="31B69407" w:rsidRPr="32D5D1AF">
        <w:rPr>
          <w:rFonts w:cs="Times New Roman"/>
        </w:rPr>
        <w:t>predict</w:t>
      </w:r>
      <w:r w:rsidRPr="32D5D1AF">
        <w:rPr>
          <w:rFonts w:cs="Times New Roman"/>
        </w:rPr>
        <w:t xml:space="preserve"> temporal stability despite interaction</w:t>
      </w:r>
      <w:r w:rsidR="5817E5E7" w:rsidRPr="32D5D1AF">
        <w:rPr>
          <w:rFonts w:cs="Times New Roman"/>
        </w:rPr>
        <w:t xml:space="preserve"> effects</w:t>
      </w:r>
    </w:p>
    <w:p w14:paraId="011A3CEB" w14:textId="1BB58AE7" w:rsidR="000A5E99" w:rsidRDefault="000A5E99" w:rsidP="000A5E99">
      <w:pPr>
        <w:rPr>
          <w:vertAlign w:val="superscript"/>
          <w:lang w:val="en-GB"/>
        </w:rPr>
      </w:pPr>
      <w:r w:rsidRPr="000529B2">
        <w:rPr>
          <w:lang w:val="en-GB"/>
        </w:rPr>
        <w:t>Francesco Polazzo</w:t>
      </w:r>
      <w:r w:rsidRPr="000529B2">
        <w:rPr>
          <w:vertAlign w:val="superscript"/>
          <w:lang w:val="it-IT"/>
        </w:rPr>
        <w:t>§</w:t>
      </w:r>
      <w:r w:rsidRPr="000529B2">
        <w:rPr>
          <w:lang w:val="en-GB"/>
        </w:rPr>
        <w:t>*</w:t>
      </w:r>
      <w:r w:rsidRPr="000529B2">
        <w:rPr>
          <w:vertAlign w:val="superscript"/>
          <w:lang w:val="en-GB"/>
        </w:rPr>
        <w:t>1</w:t>
      </w:r>
      <w:r w:rsidRPr="000529B2">
        <w:rPr>
          <w:lang w:val="en-GB"/>
        </w:rPr>
        <w:t>, Til Hämmig</w:t>
      </w:r>
      <w:r w:rsidRPr="000529B2">
        <w:rPr>
          <w:vertAlign w:val="superscript"/>
          <w:lang w:val="it-IT"/>
        </w:rPr>
        <w:t>§</w:t>
      </w:r>
      <w:r w:rsidRPr="000529B2">
        <w:rPr>
          <w:vertAlign w:val="superscript"/>
          <w:lang w:val="en-GB"/>
        </w:rPr>
        <w:t>1</w:t>
      </w:r>
      <w:r w:rsidRPr="000529B2">
        <w:rPr>
          <w:lang w:val="en-GB"/>
        </w:rPr>
        <w:t xml:space="preserve">, </w:t>
      </w:r>
      <w:r w:rsidRPr="000529B2">
        <w:t>Paula Eileen Stöckli</w:t>
      </w:r>
      <w:r>
        <w:rPr>
          <w:vertAlign w:val="superscript"/>
        </w:rPr>
        <w:t>1</w:t>
      </w:r>
      <w:r w:rsidRPr="000529B2">
        <w:t>,</w:t>
      </w:r>
      <w:r>
        <w:t xml:space="preserve"> </w:t>
      </w:r>
      <w:r w:rsidRPr="000529B2">
        <w:rPr>
          <w:lang w:val="en-GB"/>
        </w:rPr>
        <w:t>Shyamolina Ghosh</w:t>
      </w:r>
      <w:r w:rsidRPr="000529B2">
        <w:rPr>
          <w:vertAlign w:val="superscript"/>
          <w:lang w:val="en-GB"/>
        </w:rPr>
        <w:t>2</w:t>
      </w:r>
      <w:r w:rsidRPr="000529B2">
        <w:rPr>
          <w:lang w:val="en-GB"/>
        </w:rPr>
        <w:t xml:space="preserve">, </w:t>
      </w:r>
      <w:r w:rsidR="00607987">
        <w:rPr>
          <w:lang w:val="en-GB"/>
        </w:rPr>
        <w:t>Stephan B. Munch</w:t>
      </w:r>
      <w:r w:rsidR="00607987">
        <w:rPr>
          <w:vertAlign w:val="superscript"/>
          <w:lang w:val="en-GB"/>
        </w:rPr>
        <w:t>3</w:t>
      </w:r>
      <w:r w:rsidR="00607987">
        <w:rPr>
          <w:lang w:val="en-GB"/>
        </w:rPr>
        <w:t xml:space="preserve">, </w:t>
      </w:r>
      <w:r w:rsidRPr="000529B2">
        <w:rPr>
          <w:lang w:val="en-GB"/>
        </w:rPr>
        <w:t>Owen L. Petchey</w:t>
      </w:r>
      <w:r w:rsidRPr="000529B2">
        <w:rPr>
          <w:vertAlign w:val="superscript"/>
          <w:lang w:val="en-GB"/>
        </w:rPr>
        <w:t>1</w:t>
      </w:r>
    </w:p>
    <w:p w14:paraId="5091ED2D" w14:textId="77777777" w:rsidR="00E151BB" w:rsidRPr="00E151BB" w:rsidRDefault="000A5E99" w:rsidP="00E151BB">
      <w:r>
        <w:t>1 Department of Evolutionary Biology and Environmental Studies, University of Zurich, Zurich, Switzerland; 2 Agricultural and Ecological Research Unit, Indian Statistical Institute, West Bengal, India</w:t>
      </w:r>
      <w:r w:rsidR="00607987">
        <w:t>; 3</w:t>
      </w:r>
      <w:r w:rsidR="00E151BB">
        <w:t xml:space="preserve"> </w:t>
      </w:r>
      <w:r w:rsidR="00E151BB" w:rsidRPr="00E151BB">
        <w:t>Department of Applied Mathematics, UC Santa Cruz, California, USA</w:t>
      </w:r>
    </w:p>
    <w:p w14:paraId="669FB86B" w14:textId="0944BD8E" w:rsidR="000A5E99" w:rsidRPr="00E151BB" w:rsidRDefault="000A5E99" w:rsidP="000A5E99"/>
    <w:p w14:paraId="1872D1CB" w14:textId="77777777" w:rsidR="000A5E99" w:rsidRPr="00F14914" w:rsidRDefault="000A5E99" w:rsidP="000A5E99">
      <w:pPr>
        <w:rPr>
          <w:lang w:val="en-GB"/>
        </w:rPr>
      </w:pPr>
      <w:r w:rsidRPr="00D72F0D">
        <w:rPr>
          <w:lang w:val="en-GB"/>
        </w:rPr>
        <w:t>§ The two authors contributed equally to this work </w:t>
      </w:r>
    </w:p>
    <w:p w14:paraId="07E70D6D" w14:textId="77777777" w:rsidR="000A5E99" w:rsidRPr="000A5E99" w:rsidRDefault="000A5E99" w:rsidP="000A5E99">
      <w:pPr>
        <w:rPr>
          <w:lang w:val="en-GB"/>
        </w:rPr>
      </w:pPr>
      <w:r w:rsidRPr="000B2CAA">
        <w:t>*</w:t>
      </w:r>
      <w:r>
        <w:t xml:space="preserve"> Corresponding author: </w:t>
      </w:r>
      <w:r w:rsidRPr="00E10D68">
        <w:rPr>
          <w:lang w:val="en-GB"/>
        </w:rPr>
        <w:t>Francesco Polazzo</w:t>
      </w:r>
      <w:r>
        <w:rPr>
          <w:lang w:val="en-GB"/>
        </w:rPr>
        <w:t xml:space="preserve">, </w:t>
      </w:r>
      <w:hyperlink r:id="rId6" w:history="1">
        <w:r w:rsidRPr="00686234">
          <w:rPr>
            <w:rStyle w:val="Hyperlink"/>
            <w:lang w:val="en-GB"/>
          </w:rPr>
          <w:t>francesco.polazzo@uzh.ch</w:t>
        </w:r>
      </w:hyperlink>
    </w:p>
    <w:p w14:paraId="45FAB64F" w14:textId="77777777" w:rsidR="00F62D18" w:rsidRDefault="00C07156">
      <w:pPr>
        <w:pStyle w:val="Heading1"/>
      </w:pPr>
      <w:r>
        <w:rPr>
          <w:rFonts w:cs="Times New Roman"/>
        </w:rPr>
        <w:t>Abstract</w:t>
      </w:r>
    </w:p>
    <w:p w14:paraId="62C25589" w14:textId="065DAB90" w:rsidR="00CC4E23" w:rsidRDefault="5A63EDC9" w:rsidP="32D5D1AF">
      <w:pPr>
        <w:spacing w:after="160"/>
      </w:pPr>
      <w:r>
        <w:t xml:space="preserve">Predicting whether aggregate </w:t>
      </w:r>
      <w:r w:rsidR="0FB72439">
        <w:t>community</w:t>
      </w:r>
      <w:r>
        <w:t xml:space="preserve"> properties remain stable as environments fluctuate is </w:t>
      </w:r>
      <w:r w:rsidR="0FB72439">
        <w:t xml:space="preserve">a central challenge of </w:t>
      </w:r>
      <w:r w:rsidR="31B69407">
        <w:t>ecological research.</w:t>
      </w:r>
      <w:r>
        <w:t xml:space="preserve"> </w:t>
      </w:r>
      <w:r w:rsidR="5A0A86BA">
        <w:t>A critical open question is, however, how well the fundamental niche of species can predict this aspect of communit</w:t>
      </w:r>
      <w:r w:rsidR="56633F5F">
        <w:t xml:space="preserve">y stability. </w:t>
      </w:r>
      <w:r>
        <w:t xml:space="preserve">We </w:t>
      </w:r>
      <w:r w:rsidR="7EBE06C1">
        <w:t>conceptualise</w:t>
      </w:r>
      <w:r w:rsidR="4F09054F">
        <w:t>d</w:t>
      </w:r>
      <w:r>
        <w:t xml:space="preserve"> community performance (CP) curves by aggregating species-specific performance across environmental conditions and aske</w:t>
      </w:r>
      <w:r w:rsidR="00FC4452">
        <w:t>d</w:t>
      </w:r>
      <w:r>
        <w:t xml:space="preserve"> whether the variability of these curves </w:t>
      </w:r>
      <w:r w:rsidR="00FC4452">
        <w:t>explains</w:t>
      </w:r>
      <w:r>
        <w:t xml:space="preserve"> community </w:t>
      </w:r>
      <w:r w:rsidR="53C5BEF0">
        <w:t>temporal variability</w:t>
      </w:r>
      <w:r>
        <w:t xml:space="preserve">. </w:t>
      </w:r>
      <w:r w:rsidR="289376BB">
        <w:t xml:space="preserve">In </w:t>
      </w:r>
      <w:r>
        <w:t>Lotka–Volterra and</w:t>
      </w:r>
      <w:r w:rsidR="571AF374">
        <w:t xml:space="preserve"> in</w:t>
      </w:r>
      <w:r>
        <w:t xml:space="preserve"> mechanistic consumer–resource simulations, CP variability explained </w:t>
      </w:r>
      <w:r w:rsidR="00E13716">
        <w:t xml:space="preserve">on average </w:t>
      </w:r>
      <w:r w:rsidR="003338C1">
        <w:t>92</w:t>
      </w:r>
      <w:r w:rsidR="00B56012">
        <w:t>% of the</w:t>
      </w:r>
      <w:r>
        <w:t xml:space="preserve"> variation in total abundance variability</w:t>
      </w:r>
      <w:r w:rsidR="6D8FBB8E">
        <w:t xml:space="preserve">. </w:t>
      </w:r>
      <w:r w:rsidR="4C99E340">
        <w:t>Explanatory power remained above</w:t>
      </w:r>
      <w:r w:rsidR="7CC9CA48">
        <w:t xml:space="preserve"> </w:t>
      </w:r>
      <w:r w:rsidR="00B74195">
        <w:t>75</w:t>
      </w:r>
      <w:r w:rsidR="7CC9CA48">
        <w:t xml:space="preserve">% </w:t>
      </w:r>
      <w:r w:rsidR="6D8FBB8E">
        <w:t>across gradients of interaction strength and coexistence conditions.</w:t>
      </w:r>
      <w:r w:rsidR="2079AA22">
        <w:t xml:space="preserve"> </w:t>
      </w:r>
      <w:commentRangeStart w:id="0"/>
      <w:commentRangeStart w:id="1"/>
      <w:r w:rsidR="005E711E">
        <w:t xml:space="preserve">Derivation of the expected community variability – CP variability relationship for the Lotka-Volterra case explains this high explanatory power despite interaction effects. </w:t>
      </w:r>
      <w:commentRangeEnd w:id="0"/>
      <w:r w:rsidR="005E711E">
        <w:rPr>
          <w:rStyle w:val="CommentReference"/>
          <w:sz w:val="22"/>
          <w:szCs w:val="22"/>
        </w:rPr>
        <w:commentReference w:id="0"/>
      </w:r>
      <w:commentRangeEnd w:id="1"/>
      <w:r>
        <w:rPr>
          <w:rStyle w:val="CommentReference"/>
          <w:sz w:val="22"/>
          <w:szCs w:val="22"/>
        </w:rPr>
        <w:commentReference w:id="1"/>
      </w:r>
      <w:r>
        <w:t xml:space="preserve">In a purpose-designed </w:t>
      </w:r>
      <w:r w:rsidR="31B69407">
        <w:t>microcosm</w:t>
      </w:r>
      <w:r>
        <w:t xml:space="preserve"> experiment, CP variability </w:t>
      </w:r>
      <w:r w:rsidR="7EABDA87">
        <w:t>explained</w:t>
      </w:r>
      <w:r>
        <w:t xml:space="preserve"> </w:t>
      </w:r>
      <w:r w:rsidR="00043190">
        <w:t>67</w:t>
      </w:r>
      <w:r w:rsidR="36C86331">
        <w:t xml:space="preserve">% of variation in </w:t>
      </w:r>
      <w:r>
        <w:t xml:space="preserve">the </w:t>
      </w:r>
      <w:r w:rsidR="53C5BEF0">
        <w:t>temporal variability</w:t>
      </w:r>
      <w:r>
        <w:t xml:space="preserve"> of total community biomass. </w:t>
      </w:r>
      <w:r w:rsidR="00513E55">
        <w:t>Explanatory power of CP variability therefore retains substantial information about community stability even in strongly interacting systems, providing a tractable basis for forecasting stability when species interactions are unknown.</w:t>
      </w:r>
    </w:p>
    <w:p w14:paraId="72FD03F4" w14:textId="1803BEFB" w:rsidR="00F62D18" w:rsidRDefault="00C07156" w:rsidP="00CC4E23">
      <w:pPr>
        <w:spacing w:after="160"/>
      </w:pPr>
      <w:r>
        <w:rPr>
          <w:b/>
        </w:rPr>
        <w:t>One-sentence summary</w:t>
      </w:r>
    </w:p>
    <w:p w14:paraId="6F8DAE22" w14:textId="6E5D1C96" w:rsidR="00F62D18" w:rsidRDefault="00C07156">
      <w:pPr>
        <w:spacing w:after="200"/>
      </w:pPr>
      <w:r w:rsidRPr="093BB9C7">
        <w:rPr>
          <w:i/>
          <w:iCs/>
        </w:rPr>
        <w:t xml:space="preserve">Aggregated species performance curves </w:t>
      </w:r>
      <w:r w:rsidR="009643A7">
        <w:rPr>
          <w:i/>
          <w:iCs/>
        </w:rPr>
        <w:t>predict</w:t>
      </w:r>
      <w:r w:rsidRPr="093BB9C7">
        <w:rPr>
          <w:i/>
          <w:iCs/>
        </w:rPr>
        <w:t xml:space="preserve"> community stability even when interactions strongly reorganise population synchrony.</w:t>
      </w:r>
    </w:p>
    <w:p w14:paraId="295E505B" w14:textId="77777777" w:rsidR="00C37D06" w:rsidRDefault="00C07156" w:rsidP="000A5E99">
      <w:pPr>
        <w:pStyle w:val="Heading1"/>
      </w:pPr>
      <w:r>
        <w:t>Introduction</w:t>
      </w:r>
    </w:p>
    <w:p w14:paraId="100E6F24" w14:textId="0159C96A" w:rsidR="00CC4E23" w:rsidRPr="000A5E99" w:rsidRDefault="5A63EDC9" w:rsidP="00CC4E23">
      <w:r>
        <w:t xml:space="preserve">Forecasting whether ecosystems will remain stable as environments fluctuate is a central challenge in ecology. </w:t>
      </w:r>
      <w:r w:rsidR="31B69407">
        <w:t>Research on temporal stability typically focuses on aggregate community or ecosystem properties, and quantifies the extent to which total abundance, biomass, or productivity varies through time</w:t>
      </w:r>
      <w:r w:rsidR="00673929">
        <w:t xml:space="preserve"> </w:t>
      </w:r>
      <w:r w:rsidR="00673929">
        <w:fldChar w:fldCharType="begin"/>
      </w:r>
      <w:r w:rsidR="00FF72EC">
        <w:instrText xml:space="preserve"> ADDIN ZOTERO_ITEM CSL_CITATION {"citationID":"EDjj5GSk","properties":{"unsorted":false,"formattedCitation":"(Isbell {\\i{}et al.} 2015; Loreau &amp; de Mazancourt 2013; Pennekamp {\\i{}et al.} 2018; Thibaut &amp; Connolly 2013; Yachi &amp; Loreau 1999)","plainCitation":"(Isbell et al. 2015; Loreau &amp; de Mazancourt 2013; Pennekamp et al. 2018; Thibaut &amp; Connolly 2013; Yachi &amp; Loreau 1999)","noteIndex":0},"citationItems":[{"id":896,"uris":["http://zotero.org/users/10426170/items/FVUXAUQ3"],"itemData":{"id":896,"type":"article-journal","abstract":"It remains unclear whether biodiversity buffers ecosystems against climate extremes, which are becoming increasingly frequent worldwide. Early results suggested that the ecosystem productivity of diverse grassland plant communities was more resistant, changing less during drought, and more resilient, recovering more quickly after drought, than that of depauperate communities. However, subsequent experimental tests produced mixed results. Here we use data from 46 experiments that manipulated grassland plant diversity to test whether biodiversity provides resistance during and resilience after climate events. We show that biodiversity increased ecosystem resistance for a broad range of climate events, including wet or dry, moderate or extreme, and brief or prolonged events. Across all studies and climate events, the productivity of low-diversity communities with one or two species changed by approximately 50% during climate events, whereas that of high-diversity communities with 16-32 species was more resistant, changing by only approximately 25%. By a year after each climate event, ecosystem productivity had often fully recovered, or overshot, normal levels of productivity in both high- and low-diversity communities, leading to no detectable dependence of ecosystem resilience on biodiversity. Our results suggest that biodiversity mainly stabilizes ecosystem productivity, and productivity-dependent ecosystem services, by increasing resistance to climate events. Anthropogenic environmental changes that drive biodiversity loss thus seem likely to decrease ecosystem stability, and restoration of biodiversity to increase it, mainly by changing the resistance of ecosystem productivity to climate events.","container-title":"Nature","DOI":"10.1038/nature15374","ISSN":"14764687","issue":"7574","page":"574-577","PMID":"26466564","title":"Biodiversity increases the resistance of ecosystem productivity to climate extremes","volume":"526","author":[{"family":"Isbell","given":"Forest"},{"family":"Craven","given":"Dylan"},{"family":"Connolly","given":"John"},{"family":"Loreau","given":"Michel"},{"family":"Schmid","given":"Bernhard"},{"family":"Beierkuhnlein","given":"Carl"},{"family":"Bezemer","given":"T. Martijn"},{"family":"Bonin","given":"Catherine"},{"family":"Bruelheide","given":"Helge"},{"family":"De Luca","given":"Enrica"},{"family":"Ebeling","given":"Anne"},{"family":"Griffin","given":"John N."},{"family":"Guo","given":"Qinfeng"},{"family":"Hautier","given":"Yann"},{"family":"Hector","given":"Andy"},{"family":"Jentsch","given":"Anke"},{"family":"Kreyling","given":"Jürgen"},{"family":"Lanta","given":"Vojtêch"},{"family":"Manning","given":"Pete"},{"family":"Meyer","given":"Sebastian T."},{"family":"Mori","given":"Akira S."},{"family":"Naeem","given":"Shahid"},{"family":"Niklaus","given":"Pascal A."},{"family":"Polley","given":"H. Wayne"},{"family":"Reich","given":"Peter B."},{"family":"Roscher","given":"Christiane"},{"family":"Seabloom","given":"Eric W."},{"family":"Smith","given":"Melinda D."},{"family":"Thakur","given":"Madhav P."},{"family":"Tilman","given":"David"},{"family":"Tracy","given":"Benjamin F."},{"family":"Van Der Putten","given":"Wim H."},{"family":"Van Ruijven","given":"Jasper"},{"family":"Weigelt","given":"Alexandra"},{"family":"Weisser","given":"Wolfgang W."},{"family":"Wilsey","given":"Brian"},{"family":"Eisenhauer","given":"Nico"}],"issued":{"date-parts":[["2015"]]}}},{"id":782,"uris":["http://zotero.org/users/10426170/items/EMQAH75W"],"itemData":{"id":782,"type":"article-journal","abstract":"There is mounting evidence that biodiversity increases the stability of ecosystem processes in changing environments, but the mechanisms that underlie this effect are still controversial and poorly understood. Here, we extend mechanistic theory of ecosystem stability in competitive communities to clarify the mechanisms underlying diversity-stability relationships. We first explain why, contrary to a widely held belief, interspecific competition should generally play a destabilising role. We then explore the stabilising effect of differences in species' intrinsic rates of natural increase and provide a synthesis of various potentially stabilising mechanisms. Three main mechanisms are likely to operate in the stabilising effects of biodiversity on ecosystem properties: (1) asynchrony of species' intrinsic responses to environmental fluctuations, (2) differences in the speed at which species respond to perturbations, (3) reduction in the strength of competition. The first two mechanisms involve temporal complementarity between species, while the third results from functional complementarity. Additional potential mechanisms include selection effects, behavioural changes resulting from species interactions and mechanisms arising from trophic or non-trophic interactions and spatial heterogeneity. We conclude that mechanistic trait-based approaches are key to predicting the effects of diversity on ecosystem stability and to bringing the old diversity-stability debate to a final resolution. © 2013 John Wiley &amp; Sons Ltd/CNRS.","container-title":"Ecology Letters","DOI":"10.1111/ele.12073","ISSN":"1461023X","issue":"SUPPL.1","page":"106-115","PMID":"23346947","title":"Biodiversity and ecosystem stability: A synthesis of underlying mechanisms","volume":"16","author":[{"family":"Loreau","given":"Michel"},{"family":"Mazancourt","given":"Claire","non-dropping-particle":"de"}],"issued":{"date-parts":[["2013"]]}}},{"id":1681,"uris":["http://zotero.org/users/10426170/items/WQPVXY7J"],"itemData":{"id":1681,"type":"article-journal","abstract":"Losses and gains in species diversity affect ecological stability1–7 and the sustainability of ecosystem functions and services8–13. Experiments and models have revealed positive, negative and no effects of diversity on individual components of stability, such as temporal variability, resistance and resilience2,3,6,11,12,14. How these stability components covary remains poorly understood15. Similarly, the effects of diversity on overall ecosystem stability16, which is conceptually akin to ecosystem multifunctionality17,18, remain unknown. Here we studied communities of aquatic ciliates to understand how temporal variability, resistance and overall ecosystem stability responded to diversity (that is, species richness) in a large experiment involving 690 micro-ecosystems sampled 19 times over 40 days, resulting in 12,939 samplings. Species richness increased temporal stability but decreased resistance to warming. Thus, two stability components covaried negatively along the diversity gradient. Previous biodiversity manipulation studies rarely reported such negative covariation despite general predictions of the negative effects of diversity on individual stability components3. Integrating our findings with the ecosystem multifunctionality concept revealed hump- and U-shaped effects of diversity on overall ecosystem stability. That is, biodiversity can increase overall ecosystem stability when biodiversity is low, and decrease it when biodiversity is high, or the opposite with a U-shaped relationship. The effects of diversity on ecosystem multifunctionality would also be hump- or U-shaped if diversity had positive effects on some functions and negative effects on others. Linking the ecosystem multifunctionality concept and ecosystem stability can transform the perceived effects of diversity on ecological stability and may help to translate this science into policy-relevant information.","container-title":"Nature","DOI":"10.1038/s41586-018-0627-8","ISSN":"1476-4687","issue":"7729","language":"en","license":"2018 Springer Nature Limited","note":"number: 7729","page":"109-112","publisher":"Nature Publishing Group","source":"www.nature.com","title":"Biodiversity increases and decreases ecosystem stability","volume":"563","author":[{"family":"Pennekamp","given":"Frank"},{"family":"Pontarp","given":"Mikael"},{"family":"Tabi","given":"Andrea"},{"family":"Altermatt","given":"Florian"},{"family":"Alther","given":"Roman"},{"family":"Choffat","given":"Yves"},{"family":"Fronhofer","given":"Emanuel A."},{"family":"Ganesanandamoorthy","given":"Pravin"},{"family":"Garnier","given":"Aurélie"},{"family":"Griffiths","given":"Jason I."},{"family":"Greene","given":"Suzanne"},{"family":"Horgan","given":"Katherine"},{"family":"Massie","given":"Thomas M."},{"family":"Mächler","given":"Elvira"},{"family":"Palamara","given":"Gian Marco"},{"family":"Seymour","given":"Mathew"},{"family":"Petchey","given":"Owen L."}],"issued":{"date-parts":[["2018",11]]}}},{"id":2921,"uris":["http://zotero.org/users/10426170/items/HW7HLGEE"],"itemData":{"id":2921,"type":"article-journal","abstract":"A major ecosystem effect of biodiversity is to stabilise assemblages that perform particular functions. However, diversity–stability relationships (DSRs) are analysed using a variety of different population and community properties, most of which are adopted from theory that makes several restrictive assumptions that are unlikely to be reflected in nature. Here, we construct a simple synthesis and generalisation of previous theory for the DSR. We show that community stability is a product of two quantities: the synchrony of population fluctuations, and an average species-level population stability that is weighted by relative abundance. Weighted average population stability can be decomposed to consider effects of the mean-variance scaling of abundance, changes in mean abundance with diversity and differences in species' mean abundance in monoculture. Our framework makes explicit how unevenness in the abundances of species in real communities influences the DSR, which occurs both through effects on community synchrony, and effects on weighted average population variability. This theory provides a more robust framework for analysing the results of empirical studies of the DSR, and facilitates the integration of findings from real and model communities.","container-title":"Ecology Letters","DOI":"10.1111/ele.12019","ISSN":"1461-0248","issue":"2","language":"en","note":"_eprint: https://onlinelibrary.wiley.com/doi/pdf/10.1111/ele.12019","page":"140-150","source":"Wiley Online Library","title":"Understanding diversity–stability relationships: towards a unified model of portfolio effects","title-short":"Understanding diversity–stability relationships","volume":"16","author":[{"family":"Thibaut","given":"Loïc M."},{"family":"Connolly","given":"Sean R."}],"issued":{"date-parts":[["2013"]]}}},{"id":565,"uris":["http://zotero.org/users/10426170/items/YEECD24N"],"itemData":{"id":565,"type":"article-journal","abstract":"Although the effect of biodiversity on ecosystem functioning has become a major focus in ecology, its significance in a fluctuating environment is still poorly understood. According to the insurance hypothesis, biodiversity insures ecosystems against declines in their functioning because many species provide greater guarantees that some will maintain functioning even if others fail. Here we examine this hypothesis theoretically. We develop a general stochastic dynamic model to assess the effects of species richness on the expected temporal mean and variance of ecosystem processes such as productivity, based on individual species' productivity responses to environmental fluctuations. Our model shows two major insurance effects of species richness on ecosystem productivity: (i) a buffering effect, i.e., a reduction in the temporal variance of productivity, and (ii) a performance- enhancing effect, i.e., an increase in the temporal mean of productivity. The strength of these insurance effects is determined by three factors: (i) the way ecosystem productivity is determined by individual species responses to environmental fluctuations, (ii) the degree of asynchronicity of these responses, and (iii) the detailed form of these responses. In particular, the greater the variance of the species responses, the lower the species richness at which the temporal mean of the ecosystem process saturates and the ecosystem becomes redundant. These results provide a strong theoretical foundation for the insurance hypothesis, which proves to be a fundamental principle for understanding the long-term effects of biodiversity on ecosystem processes.","container-title":"Proceedings of the National Academy of Sciences of the United States of America","DOI":"10.1073/pnas.96.4.1463","ISSN":"00278424","issue":"4","page":"1463-1468","PMID":"9990046","title":"Biodiversity and ecosystem productivity in a fluctuating environment: The insurance hypothesis","volume":"96","author":[{"family":"Yachi","given":"Shigeo"},{"family":"Loreau","given":"Michel"}],"issued":{"date-parts":[["1999"]]}}}],"schema":"https://github.com/citation-style-language/schema/raw/master/csl-citation.json"} </w:instrText>
      </w:r>
      <w:r w:rsidR="00673929">
        <w:fldChar w:fldCharType="separate"/>
      </w:r>
      <w:r w:rsidR="00FF72EC" w:rsidRPr="00FF72EC">
        <w:rPr>
          <w:rFonts w:eastAsiaTheme="minorEastAsia"/>
          <w:szCs w:val="24"/>
        </w:rPr>
        <w:t xml:space="preserve">(Isbell </w:t>
      </w:r>
      <w:r w:rsidR="00FF72EC" w:rsidRPr="00FF72EC">
        <w:rPr>
          <w:rFonts w:eastAsiaTheme="minorEastAsia"/>
          <w:i/>
          <w:iCs/>
          <w:szCs w:val="24"/>
        </w:rPr>
        <w:t>et al.</w:t>
      </w:r>
      <w:r w:rsidR="00FF72EC" w:rsidRPr="00FF72EC">
        <w:rPr>
          <w:rFonts w:eastAsiaTheme="minorEastAsia"/>
          <w:szCs w:val="24"/>
        </w:rPr>
        <w:t xml:space="preserve"> 2015; Loreau &amp; de Mazancourt 2013; Pennekamp </w:t>
      </w:r>
      <w:r w:rsidR="00FF72EC" w:rsidRPr="00FF72EC">
        <w:rPr>
          <w:rFonts w:eastAsiaTheme="minorEastAsia"/>
          <w:i/>
          <w:iCs/>
          <w:szCs w:val="24"/>
        </w:rPr>
        <w:t>et al.</w:t>
      </w:r>
      <w:r w:rsidR="00FF72EC" w:rsidRPr="00FF72EC">
        <w:rPr>
          <w:rFonts w:eastAsiaTheme="minorEastAsia"/>
          <w:szCs w:val="24"/>
        </w:rPr>
        <w:t xml:space="preserve"> 2018; Thibaut &amp; Connolly 2013; Yachi &amp; Loreau 1999)</w:t>
      </w:r>
      <w:r w:rsidR="00673929">
        <w:fldChar w:fldCharType="end"/>
      </w:r>
      <w:r w:rsidR="31B69407">
        <w:t xml:space="preserve">. This framework </w:t>
      </w:r>
      <w:r w:rsidR="00512648">
        <w:t>differs</w:t>
      </w:r>
      <w:r w:rsidR="31B69407">
        <w:t xml:space="preserve"> from classical equilibrium notions of stability, which historically focused on whether a system returns to a baseline state after a single perturbation, or whether interacting species can locally coexist </w:t>
      </w:r>
      <w:r>
        <w:fldChar w:fldCharType="begin"/>
      </w:r>
      <w:r>
        <w:instrText>ease ecosystem stability, and restoration of biodiversity to increase it, mainly by changing the resistance of ecosystem productivity to climate events.","container-title":"Nature","DOI":"10.1038/nature15374","ISSN":"14764687","issue":"7574","page":"574-577","PMID":"26466564","title":"Biodiversity increases the resistance of ecosystem productivity to climate extremes","volume":"526","author":[{"family":"Isbell","given":"Forest"},{"family":"Craven","given":"Dylan"},{"family":"Connolly","given":"John"},{"fami</w:instrText>
      </w:r>
      <w:r>
        <w:fldChar w:fldCharType="separate"/>
      </w:r>
      <w:r w:rsidR="31B69407" w:rsidRPr="093BB9C7">
        <w:rPr>
          <w:noProof/>
        </w:rPr>
        <w:t>(Allesina &amp; Tang 2012; Chesson 2000; May 1973; Pimm 1984)</w:t>
      </w:r>
      <w:r>
        <w:fldChar w:fldCharType="end"/>
      </w:r>
      <w:r w:rsidR="31B69407">
        <w:t>. Instead, our focus centers on the stability of an aggregate property in a continuously variable environment</w:t>
      </w:r>
      <w:r w:rsidR="000B2C64">
        <w:t>,</w:t>
      </w:r>
      <w:r w:rsidR="016E7D8E">
        <w:t xml:space="preserve"> and</w:t>
      </w:r>
      <w:r w:rsidR="0021456D">
        <w:t xml:space="preserve"> </w:t>
      </w:r>
      <w:r w:rsidR="3A38C348">
        <w:t xml:space="preserve">what properties of a community </w:t>
      </w:r>
      <w:r w:rsidR="31B69407">
        <w:t>can</w:t>
      </w:r>
      <w:r w:rsidR="73AF6CCC">
        <w:t xml:space="preserve"> result in</w:t>
      </w:r>
      <w:r w:rsidR="31B69407">
        <w:t xml:space="preserve"> relatively constan</w:t>
      </w:r>
      <w:r w:rsidR="00EC0724">
        <w:t>t</w:t>
      </w:r>
      <w:r w:rsidR="45E1D4C8">
        <w:t xml:space="preserve"> aggregate properties</w:t>
      </w:r>
      <w:r w:rsidR="31B69407">
        <w:t xml:space="preserve"> as </w:t>
      </w:r>
      <w:r w:rsidR="634FBCF4">
        <w:t>environmental</w:t>
      </w:r>
      <w:r w:rsidR="31B69407">
        <w:t xml:space="preserve"> conditions fluctuate.</w:t>
      </w:r>
    </w:p>
    <w:p w14:paraId="296DDD9D" w14:textId="1472CBB0" w:rsidR="00F62D18" w:rsidRDefault="00CC4E23">
      <w:r>
        <w:t xml:space="preserve">Temporal stability is an aggregate property, but it is the result of population level dynamics. </w:t>
      </w:r>
      <w:bookmarkStart w:id="3" w:name="_Hlk235797194"/>
      <w:r>
        <w:t>Environmental variation first acts through species-specific response functions</w:t>
      </w:r>
      <w:bookmarkEnd w:id="3"/>
      <w:r w:rsidR="00553CD4">
        <w:t xml:space="preserve"> </w:t>
      </w:r>
      <w:r w:rsidR="00553CD4">
        <w:fldChar w:fldCharType="begin"/>
      </w:r>
      <w:r w:rsidR="00553CD4">
        <w:instrText xml:space="preserve"> ADDIN ZOTERO_ITEM CSL_CITATION {"citationID":"aVPFOn4x","properties":{"unsorted":false,"formattedCitation":"(Ives {\\i{}et al.} 1999)","plainCitation":"(Ives et al. 1999)","noteIndex":0},"citationItems":[{"id":964,"uris":["http://zotero.org/users/10426170/items/GXQ8JC2P"],"itemData":{"id":964,"type":"article-journal","abstract":"Long-term variability in the abundance of populations depends on the sensitivity of species to environmental fluctuations and the amplification of environmental fluctuations by interactions among species. Although competitive interactions and species number may have diverse effects on variability measured at the individual species level, a combination of theoretical analyses shows that these factors have no effect on variability measured at the community level. Therefore, biodiversity may increase community stability by promoting diversity among species in their responses to environmental fluctuations, but increasing the number and strength of competitive interactions has little effect.","container-title":"Science","DOI":"10.1126/science.286.5439.542","ISSN":"00368075","issue":"5439","title":"Stability and variability in competitive communities","volume":"286","author":[{"family":"Ives","given":"A. R."},{"family":"Gross","given":"K."},{"family":"Klug","given":"J. L."}],"issued":{"date-parts":[["1999"]]}}}],"schema":"https://github.com/citation-style-language/schema/raw/master/csl-citation.json"} </w:instrText>
      </w:r>
      <w:r w:rsidR="00553CD4">
        <w:fldChar w:fldCharType="separate"/>
      </w:r>
      <w:r w:rsidR="00553CD4" w:rsidRPr="00553CD4">
        <w:rPr>
          <w:rFonts w:eastAsiaTheme="minorEastAsia"/>
          <w:szCs w:val="24"/>
        </w:rPr>
        <w:t xml:space="preserve">(Ives </w:t>
      </w:r>
      <w:r w:rsidR="00553CD4" w:rsidRPr="00553CD4">
        <w:rPr>
          <w:rFonts w:eastAsiaTheme="minorEastAsia"/>
          <w:i/>
          <w:iCs/>
          <w:szCs w:val="24"/>
        </w:rPr>
        <w:t>et al.</w:t>
      </w:r>
      <w:r w:rsidR="00553CD4" w:rsidRPr="00553CD4">
        <w:rPr>
          <w:rFonts w:eastAsiaTheme="minorEastAsia"/>
          <w:szCs w:val="24"/>
        </w:rPr>
        <w:t xml:space="preserve"> 1999)</w:t>
      </w:r>
      <w:r w:rsidR="00553CD4">
        <w:fldChar w:fldCharType="end"/>
      </w:r>
      <w:r>
        <w:t xml:space="preserve">. When species differ in the conditions that maximise performance, or in the breadth and shape of their responses, the same environmental sequence can drive dissimilar fluctuations among populations. </w:t>
      </w:r>
      <w:r w:rsidR="00654026" w:rsidRPr="00654026">
        <w:t xml:space="preserve">Theory therefore establishes a </w:t>
      </w:r>
      <w:r w:rsidR="00654026" w:rsidRPr="00654026">
        <w:lastRenderedPageBreak/>
        <w:t>qualitative link between such response diversity and aggregate biomass variability: heterogeneous responses can reduce synchrony and buffer variation in aggregate community properties even when individual populations are variable</w:t>
      </w:r>
      <w:r>
        <w:t xml:space="preserve"> </w:t>
      </w:r>
      <w:r>
        <w:fldChar w:fldCharType="begin"/>
      </w:r>
      <w:r w:rsidR="000B1D2D">
        <w:instrText xml:space="preserve"> ADDIN ZOTERO_ITEM CSL_CITATION {"citationID":"EKF8js8X","properties":{"unsorted":false,"formattedCitation":"(Doak {\\i{}et al.} 1998; Loreau &amp; de Mazancourt 2008; Yachi &amp; Loreau 1999)","plainCitation":"(Doak et al. 1998; Loreau &amp; de Mazancourt 2008; Yachi &amp; Loreau 1999)","noteIndex":0},"citationItems":[{"id":2941,"uris":["http://zotero.org/users/10426170/items/MNMLULSC"],"itemData":{"id":2941,"type":"article-journal","abstract":"In this article, we explain an often overlooked process that may significantly contribute to positive correlations between measures of species diversity and community stability. Empirical studies showing positive stability‐diversity relationships have, for the most part, used a single class of stability (or, more accurately, instability) measures: the temporal variation in aggregate community properties such as biomass or productivity. We show that for these measures, stability will essentially always rise with species diversity because of the statistical averaging of the fluctuations in species' abundances. This simple probabilistic process will operate in the absence of any strong species interactions, although its strength is driven by the relative abundances of species, as well as by the existence of positive or negative correlations in the fluctuations of species. To explore the possible importance of this effect in real communities, we fit a simple simulation model to Tilman's grassland community. Our results indicate that statistical averaging might play a substantial role in explaining stability‐diversity correlations for this and other systems. Models of statistical averaging can serve as a useful baseline for predictions of community stability, to which the influences of both negative and positive species interactions may then be added and tested.","container-title":"The American Naturalist","DOI":"10.1086/286117","ISSN":"0003-0147","issue":"3","page":"264-276","publisher":"The University of Chicago Press","source":"journals.uchicago.edu (Atypon)","title":"The Statistical Inevitability of Stability‐Diversity Relationships in Community Ecology","volume":"151","author":[{"family":"Doak","given":"D. F."},{"family":"Bigger","given":"D."},{"family":"Harding","given":"E. K."},{"family":"Marvier","given":"M. A."},{"family":"O'Malley","given":"R. E."},{"family":"Thomson","given":"D."}],"issued":{"date-parts":[["1998",3]]}}},{"id":3485,"uris":["http://zotero.org/users/10426170/items/WCVW3YUX"],"itemData":{"id":3485,"type":"article-journal","abstract":"Independent species fluctuations are commonly used as a null hypothesis to test the role of competition and niche differences between species in community stability. This hypothesis, however, is unrealistic because it ignores the forces that contribute to synchronization of population dynamics. Here we present a mechanistic neutral model that describes the dynamics of a community of equivalent species under the joint influence of density dependence, environmental forcing, and demographic stochasticity. We also introduce a new standardized measure of species synchrony in multispecies communities. We show that the per capita population growth rates of equivalent species are strongly synchronized, especially when endogenous population dynamics are cyclic or chaotic, while their long‐term fluctuations in population sizes are desynchronized by ecological drift. We then generalize our model to nonneutral dynamics by incorporating temporal and nontemporal forms of niche differentiation. Niche differentiation consistently decreases the synchrony of species per capita population growth rates, while its effects on the synchrony of population sizes are more complex. Comparing the observed synchrony of species per capita population growth rates with that predicted by the neutral model potentially provides a simple test of deterministic asynchrony in a community.","container-title":"The American Naturalist","DOI":"10.1086/589746","ISSN":"0003-0147","issue":"2","page":"E48-E66","publisher":"The University of Chicago Press","source":"journals.uchicago.edu (Atypon)","title":"Species Synchrony and Its Drivers: Neutral and Nonneutral Community Dynamics in Fluctuating Environments.","title-short":"Species Synchrony and Its Drivers","volume":"172","author":[{"family":"Loreau","given":"Michel"},{"family":"Mazancourt","given":"Claire","non-dropping-particle":"de"}],"issued":{"date-parts":[["2008",8]]}}},{"id":565,"uris":["http://zotero.org/users/10426170/items/YEECD24N"],"itemData":{"id":565,"type":"article-journal","abstract":"Although the effect of biodiversity on ecosystem functioning has become a major focus in ecology, its significance in a fluctuating environment is still poorly understood. According to the insurance hypothesis, biodiversity insures ecosystems against declines in their functioning because many species provide greater guarantees that some will maintain functioning even if others fail. Here we examine this hypothesis theoretically. We develop a general stochastic dynamic model to assess the effects of species richness on the expected temporal mean and variance of ecosystem processes such as productivity, based on individual species' productivity responses to environmental fluctuations. Our model shows two major insurance effects of species richness on ecosystem productivity: (i) a buffering effect, i.e., a reduction in the temporal variance of productivity, and (ii) a performance- enhancing effect, i.e., an increase in the temporal mean of productivity. The strength of these insurance effects is determined by three factors: (i) the way ecosystem productivity is determined by individual species responses to environmental fluctuations, (ii) the degree of asynchronicity of these responses, and (iii) the detailed form of these responses. In particular, the greater the variance of the species responses, the lower the species richness at which the temporal mean of the ecosystem process saturates and the ecosystem becomes redundant. These results provide a strong theoretical foundation for the insurance hypothesis, which proves to be a fundamental principle for understanding the long-term effects of biodiversity on ecosystem processes.","container-title":"Proceedings of the National Academy of Sciences of the United States of America","DOI":"10.1073/pnas.96.4.1463","ISSN":"00278424","issue":"4","page":"1463-1468","PMID":"9990046","title":"Biodiversity and ecosystem productivity in a fluctuating environment: The insurance hypothesis","volume":"96","author":[{"family":"Yachi","given":"Shigeo"},{"family":"Loreau","given":"Michel"}],"issued":{"date-parts":[["1999"]]}}}],"schema":"https://github.com/citation-style-language/schema/raw/master/csl-citation.json"} </w:instrText>
      </w:r>
      <w:r>
        <w:fldChar w:fldCharType="separate"/>
      </w:r>
      <w:r w:rsidR="000B1D2D" w:rsidRPr="000B1D2D">
        <w:rPr>
          <w:rFonts w:eastAsiaTheme="minorEastAsia"/>
          <w:szCs w:val="24"/>
        </w:rPr>
        <w:t xml:space="preserve">(Doak </w:t>
      </w:r>
      <w:r w:rsidR="000B1D2D" w:rsidRPr="000B1D2D">
        <w:rPr>
          <w:rFonts w:eastAsiaTheme="minorEastAsia"/>
          <w:i/>
          <w:iCs/>
          <w:szCs w:val="24"/>
        </w:rPr>
        <w:t>et al.</w:t>
      </w:r>
      <w:r w:rsidR="000B1D2D" w:rsidRPr="000B1D2D">
        <w:rPr>
          <w:rFonts w:eastAsiaTheme="minorEastAsia"/>
          <w:szCs w:val="24"/>
        </w:rPr>
        <w:t xml:space="preserve"> 1998; Loreau &amp; de Mazancourt 2008; Yachi &amp; Loreau 1999)</w:t>
      </w:r>
      <w:r>
        <w:fldChar w:fldCharType="end"/>
      </w:r>
      <w:r>
        <w:t>.</w:t>
      </w:r>
      <w:r w:rsidR="00541065">
        <w:t xml:space="preserve"> </w:t>
      </w:r>
    </w:p>
    <w:p w14:paraId="3F38CA32" w14:textId="0C02235D" w:rsidR="00A75D7F" w:rsidRDefault="623A9093" w:rsidP="00A75D7F">
      <w:r>
        <w:t xml:space="preserve">Yet species do not experience environmental fluctuations in isolation. Interspecific interactions can reshape environmental responses </w:t>
      </w:r>
      <w:r>
        <w:fldChar w:fldCharType="begin"/>
      </w:r>
      <w:r>
        <w:instrText xml:space="preserve"> ADDIN ZOTERO_ITEM CSL_CITATION {"citationID":"IXLVWeXq","properties":{"unsorted":false,"formattedCitation":"(Ntetsika {\\i{}et al.} 2026)","plainCitation":"(Ntetsika et al. 2026)","noteIndex":0},"citationItems":[{"id":3673,"uris":["http://zotero.org/users/10426170/items/Y8DZZSZU"],"itemData":{"id":3673,"type":"article-journal","abstract":"Cyanobacterial blooms increasingly threaten vital freshwater ecosystems, with harmful impacts exacerbated by climate change and eutrophication. Cyanobacteria produce toxic metabolites whose concentrations increase with biomass accumulation, posing direct risks to drinking water, aquatic ecosystems and recreational use while generating substantial economic costs. Despite extensive research on temperature and nutrient effects, our explanatory and predictive capacity remains limited. We propose that this limitation stems from insufficient understanding of how biotic and abiotic factors interact to modify cyanobacterial net growth and, consequently, biomass accumulation. Here, using five years of daily monitoring data from a eutrophic lake and causal inference via state-space reconstruction modelling, we show that interactions with co-occurring plankton taxa fundamentally reshape the realized niche of bloom-forming cyanobacteria over environmental gradients. Biotic interactions shift temperature boundaries for net growth by up to 13 °C and phosphorus requirements by over 20 μg l−1 in toxic Microcystaceae and Dolichospermum spp. Grazing inhibits bloom formation across cyanobacterial taxa, while facilitation by other phytoplankton may allow blooms at unexpectedly low temperatures and phosphate concentrations. These findings address a fundamental research gap—how biotic interactions shape realized niches in natural ecosystems—while offering practical insights for harmful algal bloom management.","container-title":"Nature Ecology &amp; Evolution","DOI":"10.1038/s41559-026-03131-0","ISSN":"2397-334X","journalAbbreviation":"Nat Ecol Evol","language":"en","license":"2026 The Author(s)","page":"1-15","publisher":"Nature Publishing Group","source":"www.nature.com","title":"Biotic interactions shape the realized niche of toxic cyanobacteria","author":[{"family":"Ntetsika","given":"Pinelopi"},{"family":"Eyring","given":"Stefanie"},{"family":"Merz","given":"Ewa"},{"family":"Reyes","given":"Marta"},{"family":"Käch","given":"Benno"},{"family":"Munch","given":"Stephan B."},{"family":"Dennis","given":"Stuart R."},{"family":"Baity-Jesi","given":"Marco"},{"family":"Pomati","given":"Francesco"}],"issued":{"date-parts":[["2026",7,20]]}}}],"schema":"https://github.com/citation-style-language/schema/raw/master/csl-citation.json"} </w:instrText>
      </w:r>
      <w:r>
        <w:fldChar w:fldCharType="separate"/>
      </w:r>
      <w:r w:rsidRPr="7F6EFE56">
        <w:rPr>
          <w:rFonts w:eastAsiaTheme="minorEastAsia"/>
        </w:rPr>
        <w:t xml:space="preserve">(Ntetsika </w:t>
      </w:r>
      <w:r w:rsidRPr="7F6EFE56">
        <w:rPr>
          <w:rFonts w:eastAsiaTheme="minorEastAsia"/>
          <w:i/>
          <w:iCs/>
        </w:rPr>
        <w:t>et al.</w:t>
      </w:r>
      <w:r w:rsidRPr="7F6EFE56">
        <w:rPr>
          <w:rFonts w:eastAsiaTheme="minorEastAsia"/>
        </w:rPr>
        <w:t xml:space="preserve"> 2026)</w:t>
      </w:r>
      <w:r>
        <w:fldChar w:fldCharType="end"/>
      </w:r>
      <w:r>
        <w:t xml:space="preserve">, potentially amplifying or dampening environmentally driven fluctuations and altering the underlying covariance structure among populations </w:t>
      </w:r>
      <w:r>
        <w:fldChar w:fldCharType="begin"/>
      </w:r>
      <w:r>
        <w:instrText xml:space="preserve"> ADDIN ZOTERO_ITEM CSL_CITATION {"citationID":"Hl35f9uJ","properties":{"unsorted":false,"formattedCitation":"(Gonzalez &amp; Loreau 2009; Ives {\\i{}et al.} 1999; McCann {\\i{}et al.} 1998)","plainCitation":"(Gonzalez &amp; Loreau 2009; Ives et al. 1999; McCann et al. 1998)","noteIndex":0},"citationItems":[{"id":69,"uris":["http://zotero.org/users/10426170/items/DCQAMPHR"],"itemData":{"id":69,"type":"article-journal","abstract":"Ecological communities are constantly responding to environmental change. Theory and evidence suggest that the loss or decline of stress-intolerant species can be compensated for by the growth of other species. Compensatory dynamics are a long-term feature of community dynamics across a broad range of models, and they can have strong stabilizing effects at the community level. Coexistence theory indicates that distinct environmental responses are required for compensatory dynamics and deemphasizes competition. Compensatory dynamics have been detected under experimental conditions, but are not dominant in a metanalysis of field surveys. Recent progress has been made in quantitative methods that detect compensatory dynamics at different temporal scales. Appropriate null models are required to sharpen our understanding of compensatory dynamics in nature. An integrated theory of compensation and compensatory dynamics will improve our ability to understand when communities maintain sufficient response diversity to buffer the effects of environmental change and anthropogenic stress. Copyright © 2009 by Annual Reviews. All rights reserved.","container-title":"Annual Review of Ecology, Evolution, and Systematics","DOI":"10.1146/annurev.ecolsys.39.110707.173349","ISSN":"1543592X","title":"The causes and consequences of compensatory dynamics in ecological communities","volume":"40","author":[{"family":"Gonzalez","given":"Andrew"},{"family":"Loreau","given":"Michel"}],"issued":{"date-parts":[["2009"]]}}},{"id":964,"uris":["http://zotero.org/users/10426170/items/GXQ8JC2P"],"itemData":{"id":964,"type":"article-journal","abstract":"Long-term variability in the abundance of populations depends on the sensitivity of species to environmental fluctuations and the amplification of environmental fluctuations by interactions among species. Although competitive interactions and species number may have diverse effects on variability measured at the individual species level, a combination of theoretical analyses shows that these factors have no effect on variability measured at the community level. Therefore, biodiversity may increase community stability by promoting diversity among species in their responses to environmental fluctuations, but increasing the number and strength of competitive interactions has little effect.","container-title":"Science","DOI":"10.1126/science.286.5439.542","ISSN":"00368075","issue":"5439","title":"Stability and variability in competitive communities","volume":"286","author":[{"family":"Ives","given":"A. R."},{"family":"Gross","given":"K."},{"family":"Klug","given":"J. L."}],"issued":{"date-parts":[["1999"]]}}},{"id":91,"uris":["http://zotero.org/users/10426170/items/QKHAEJ76"],"itemData":{"id":91,"type":"article-journal","abstract":"Ecological models show that complexity usually destabilizes food webs, predicting that food webs should not amass the large numbers of interacting species that are in fact found in nature. Here, using nonlinear models, we study the influence of interaction strength (likelihood of consumption of one species by another) on food-web dynamics away from equilibrium. Consistent with previous suggestions, our results show that weak to intermediate strength links are important in promoting community persistence and stability. Weak links act to dampen oscillations between consumers and resources. This tends to maintain population densities further away from zero, decreasing the statistical chance that a population will become extinct (lower population densities are more prone to such chances). Data on interaction strengths in natural food webs indicate that food-web interaction strengths are indeed characterized by many weak interactions and a few strong interactions.","container-title":"Nature","DOI":"10.1038/27427","ISSN":"00280836","issue":"6704","title":"Weak trophic interactions and the balance of nature","volume":"395","author":[{"family":"McCann","given":"Kevin"},{"family":"Hastings","given":"Alan"},{"family":"Huxel","given":"Gary R."}],"issued":{"date-parts":[["1998"]]}}}],"schema":"https://github.com/citation-style-language/schema/raw/master/csl-citation.json"} </w:instrText>
      </w:r>
      <w:r>
        <w:fldChar w:fldCharType="separate"/>
      </w:r>
      <w:r w:rsidRPr="7F6EFE56">
        <w:rPr>
          <w:rFonts w:eastAsiaTheme="minorEastAsia"/>
        </w:rPr>
        <w:t xml:space="preserve">(Gonzalez &amp; Loreau 2009; Ives </w:t>
      </w:r>
      <w:r w:rsidRPr="7F6EFE56">
        <w:rPr>
          <w:rFonts w:eastAsiaTheme="minorEastAsia"/>
          <w:i/>
          <w:iCs/>
        </w:rPr>
        <w:t>et al.</w:t>
      </w:r>
      <w:r w:rsidRPr="7F6EFE56">
        <w:rPr>
          <w:rFonts w:eastAsiaTheme="minorEastAsia"/>
        </w:rPr>
        <w:t xml:space="preserve"> 1999; McCann </w:t>
      </w:r>
      <w:r w:rsidRPr="7F6EFE56">
        <w:rPr>
          <w:rFonts w:eastAsiaTheme="minorEastAsia"/>
          <w:i/>
          <w:iCs/>
        </w:rPr>
        <w:t>et al.</w:t>
      </w:r>
      <w:r w:rsidRPr="7F6EFE56">
        <w:rPr>
          <w:rFonts w:eastAsiaTheme="minorEastAsia"/>
        </w:rPr>
        <w:t xml:space="preserve"> 1998)</w:t>
      </w:r>
      <w:r>
        <w:fldChar w:fldCharType="end"/>
      </w:r>
      <w:r>
        <w:t xml:space="preserve">. This </w:t>
      </w:r>
      <w:r w:rsidR="5BE80E53">
        <w:t>could make</w:t>
      </w:r>
      <w:r>
        <w:t xml:space="preserve"> predicti</w:t>
      </w:r>
      <w:r w:rsidR="4C70BC89">
        <w:t>ng stability from species responses challenging</w:t>
      </w:r>
      <w:r>
        <w:t xml:space="preserve">. </w:t>
      </w:r>
      <w:r w:rsidR="76906C5D">
        <w:t>However, t</w:t>
      </w:r>
      <w:r>
        <w:t>he issue is not whether interactions matter; they clearly do. The question is whether the environmental response structure of a community can nonetheless provide a practical and general predictor of temporal stability when detailed information on interaction strengths is unavailable.</w:t>
      </w:r>
    </w:p>
    <w:p w14:paraId="00B1C552" w14:textId="1B5E30A1" w:rsidR="00A75D7F" w:rsidRDefault="53C5BEF0" w:rsidP="00A75D7F">
      <w:r>
        <w:t xml:space="preserve">Answering this question has been difficult for both historical and </w:t>
      </w:r>
      <w:r w:rsidR="008349FA">
        <w:t>methodological</w:t>
      </w:r>
      <w:r>
        <w:t xml:space="preserve"> reasons. </w:t>
      </w:r>
      <w:r w:rsidR="00661498">
        <w:t>Historically, e</w:t>
      </w:r>
      <w:r>
        <w:t>cological stability theory has traditionally focused on coexistence, persistence, and return to equilibrium, from classical complexity analyses to modern interaction-network approaches, thereby making interaction structure central</w:t>
      </w:r>
      <w:r w:rsidR="623A9093">
        <w:t xml:space="preserve"> </w:t>
      </w:r>
      <w:r w:rsidR="00553CD4">
        <w:fldChar w:fldCharType="begin"/>
      </w:r>
      <w:r w:rsidR="00553CD4">
        <w:instrText xml:space="preserve"> ADDIN ZOTERO_ITEM CSL_CITATION {"citationID":"HDfgYw3r","properties":{"unsorted":false,"formattedCitation":"(Allesina &amp; Tang 2012; Grilli {\\i{}et al.} 2016; May 1973)","plainCitation":"(Allesina &amp; Tang 2012; Grilli et al. 2016; May 1973)","noteIndex":0},"citationItems":[{"id":90,"uris":["http://zotero.org/users/10426170/items/L9Z3U4RL"],"itemData":{"id":90,"type":"article-journal","abstract":"Forty years ago, May proved that sufficiently large or complex ecological networks have a probability of persisting that is close to zero, contrary to previous expectations. May analysed large networks in which species interact at random. However, in natural systems pairs of species have well-defined interactions (for example predator-prey, mutualistic or competitive). Here we extend May's results to these relationships and find remarkable differences between predator-prey interactions, which are stabilizing, and mutualistic and competitive interactions, which are destabilizing. We provide analytic stability criteria for all cases. We use the criteria to prove that, counterintuitively, the probability of stability for predator-prey networks decreases when a realistic food web structure is imposed or if there is a large preponderance of weak interactions. Similarly, stability is negatively affected by nestedness in bipartite mutualistic networks. These results are found by separating the contribution of network structure and interaction strengths to stability. Stable predator-prey networks can be arbitrarily large and complex, provided that predator-prey pairs are tightly coupled. The stability criteria are widely applicable, because they hold for any system of differential equations. © 2012 Macmillan Publishers Limited. All rights reserved.","container-title":"Nature","DOI":"10.1038/nature10832","ISSN":"00280836","issue":"7388","note":"arXiv: 1105.2071","page":"205-208","PMID":"22343894","publisher":"Nature Publishing Group","title":"Stability criteria for complex ecosystems","volume":"483","author":[{"family":"Allesina","given":"Stefano"},{"family":"Tang","given":"Si"}],"issued":{"date-parts":[["2012"]]}}},{"id":145,"uris":["http://zotero.org/users/10426170/items/XII47H3Y"],"itemData":{"id":145,"type":"article-journal","abstract":"Networks composed of distinct, densely connected subsystems are called modular. In ecology, it has been posited that a modular organization of species interactions would benefit the dynamical stability of communities, even though evidence supporting this hypothesis is mixed. Here we study the effect of modularity on the local stability of ecological dynamical systems, by presenting new results in random matrix theory, which are obtained using a quaternionic parameterization of the cavity method. Results show that modularity can have moderate stabilizing effects for particular parameter choices, while anti-modularity can greatly destabilize ecological networks.","container-title":"Nature Communications","DOI":"10.1038/ncomms12031","ISSN":"20411723","title":"Modularity and stability in ecological communities","volume":"7","author":[{"family":"Grilli","given":"Jacopo"},{"family":"Rogers","given":"Tim"},{"family":"Allesina","given":"Stefano"}],"issued":{"date-parts":[["2016"]]}}},{"id":148,"uris":["http://zotero.org/users/10426170/items/NYXEYEDK"],"itemData":{"id":148,"type":"article-journal","container-title":"Monographs in population biology","DOI":"10.2307/3743","ISSN":"00770930","title":"Stability and complexity in model ecosystems.","volume":"6","author":[{"family":"May","given":"R. M."}],"issued":{"date-parts":[["1973"]]}}}],"schema":"https://github.com/citation-style-language/schema/raw/master/csl-citation.json"} </w:instrText>
      </w:r>
      <w:r w:rsidR="00553CD4">
        <w:fldChar w:fldCharType="separate"/>
      </w:r>
      <w:r w:rsidR="623A9093" w:rsidRPr="32D5D1AF">
        <w:rPr>
          <w:rFonts w:eastAsiaTheme="minorEastAsia"/>
        </w:rPr>
        <w:t xml:space="preserve">(Allesina &amp; Tang 2012; Grilli </w:t>
      </w:r>
      <w:r w:rsidR="623A9093" w:rsidRPr="32D5D1AF">
        <w:rPr>
          <w:rFonts w:eastAsiaTheme="minorEastAsia"/>
          <w:i/>
          <w:iCs/>
        </w:rPr>
        <w:t>et al.</w:t>
      </w:r>
      <w:r w:rsidR="623A9093" w:rsidRPr="32D5D1AF">
        <w:rPr>
          <w:rFonts w:eastAsiaTheme="minorEastAsia"/>
        </w:rPr>
        <w:t xml:space="preserve"> 2016; May 1973)</w:t>
      </w:r>
      <w:r w:rsidR="00553CD4">
        <w:fldChar w:fldCharType="end"/>
      </w:r>
      <w:r w:rsidR="623A9093">
        <w:t xml:space="preserve">. </w:t>
      </w:r>
      <w:r w:rsidR="694553C7">
        <w:t>However,</w:t>
      </w:r>
      <w:r w:rsidR="623A9093">
        <w:t xml:space="preserve"> aggregate temporal stability </w:t>
      </w:r>
      <w:r w:rsidR="00EB34ED">
        <w:t xml:space="preserve">questions </w:t>
      </w:r>
      <w:r w:rsidR="623A9093">
        <w:t>ask not whether every population persists or returns to equilibrium</w:t>
      </w:r>
      <w:r w:rsidR="597F13A8">
        <w:t>, or whether there is coexistence</w:t>
      </w:r>
      <w:r w:rsidR="623A9093">
        <w:t>,</w:t>
      </w:r>
      <w:r w:rsidR="00AC1025">
        <w:t xml:space="preserve"> or how robust a network is,</w:t>
      </w:r>
      <w:r w:rsidR="623A9093">
        <w:t xml:space="preserve"> but how species-level fluctuations combine into the variability of a total community or ecosystem property. </w:t>
      </w:r>
      <w:r w:rsidR="3483522D">
        <w:t>In this context</w:t>
      </w:r>
      <w:r w:rsidR="623A9093">
        <w:t xml:space="preserve">, interaction effects on aggregate temporal stability </w:t>
      </w:r>
      <w:r w:rsidR="00C24D40">
        <w:t>c</w:t>
      </w:r>
      <w:r w:rsidR="00DD0827">
        <w:t>ould</w:t>
      </w:r>
      <w:r w:rsidR="00C24D40">
        <w:t xml:space="preserve"> be</w:t>
      </w:r>
      <w:r w:rsidR="623A9093">
        <w:t xml:space="preserve"> positive or negative. Interspecific competition can generate compensatory dynamics by reducing synchrony among species, but can also increase population-level variability </w:t>
      </w:r>
      <w:r w:rsidR="00553CD4">
        <w:fldChar w:fldCharType="begin"/>
      </w:r>
      <w:r w:rsidR="00553CD4">
        <w:instrText xml:space="preserve"> ADDIN ZOTERO_ITEM CSL_CITATION {"citationID":"csQrB1o3","properties":{"unsorted":false,"formattedCitation":"(Ives {\\i{}et al.} 1999; Loreau &amp; de Mazancourt 2013)","plainCitation":"(Ives et al. 1999; Loreau &amp; de Mazancourt 2013)","noteIndex":0},"citationItems":[{"id":964,"uris":["http://zotero.org/users/10426170/items/GXQ8JC2P"],"itemData":{"id":964,"type":"article-journal","abstract":"Long-term variability in the abundance of populations depends on the sensitivity of species to environmental fluctuations and the amplification of environmental fluctuations by interactions among species. Although competitive interactions and species number may have diverse effects on variability measured at the individual species level, a combination of theoretical analyses shows that these factors have no effect on variability measured at the community level. Therefore, biodiversity may increase community stability by promoting diversity among species in their responses to environmental fluctuations, but increasing the number and strength of competitive interactions has little effect.","container-title":"Science","DOI":"10.1126/science.286.5439.542","ISSN":"00368075","issue":"5439","title":"Stability and variability in competitive communities","volume":"286","author":[{"family":"Ives","given":"A. R."},{"family":"Gross","given":"K."},{"family":"Klug","given":"J. L."}],"issued":{"date-parts":[["1999"]]}}},{"id":782,"uris":["http://zotero.org/users/10426170/items/EMQAH75W"],"itemData":{"id":782,"type":"article-journal","abstract":"There is mounting evidence that biodiversity increases the stability of ecosystem processes in changing environments, but the mechanisms that underlie this effect are still controversial and poorly understood. Here, we extend mechanistic theory of ecosystem stability in competitive communities to clarify the mechanisms underlying diversity-stability relationships. We first explain why, contrary to a widely held belief, interspecific competition should generally play a destabilising role. We then explore the stabilising effect of differences in species' intrinsic rates of natural increase and provide a synthesis of various potentially stabilising mechanisms. Three main mechanisms are likely to operate in the stabilising effects of biodiversity on ecosystem properties: (1) asynchrony of species' intrinsic responses to environmental fluctuations, (2) differences in the speed at which species respond to perturbations, (3) reduction in the strength of competition. The first two mechanisms involve temporal complementarity between species, while the third results from functional complementarity. Additional potential mechanisms include selection effects, behavioural changes resulting from species interactions and mechanisms arising from trophic or non-trophic interactions and spatial heterogeneity. We conclude that mechanistic trait-based approaches are key to predicting the effects of diversity on ecosystem stability and to bringing the old diversity-stability debate to a final resolution. © 2013 John Wiley &amp; Sons Ltd/CNRS.","container-title":"Ecology Letters","DOI":"10.1111/ele.12073","ISSN":"1461023X","issue":"SUPPL.1","page":"106-115","PMID":"23346947","title":"Biodiversity and ecosystem stability: A synthesis of underlying mechanisms","volume":"16","author":[{"family":"Loreau","given":"Michel"},{"family":"Mazancourt","given":"Claire","non-dropping-particle":"de"}],"issued":{"date-parts":[["2013"]]}}}],"schema":"https://github.com/citation-style-language/schema/raw/master/csl-citation.json"} </w:instrText>
      </w:r>
      <w:r w:rsidR="00553CD4">
        <w:fldChar w:fldCharType="separate"/>
      </w:r>
      <w:r w:rsidR="623A9093" w:rsidRPr="32D5D1AF">
        <w:rPr>
          <w:rFonts w:eastAsiaTheme="minorEastAsia"/>
        </w:rPr>
        <w:t xml:space="preserve">(Ives </w:t>
      </w:r>
      <w:r w:rsidR="623A9093" w:rsidRPr="32D5D1AF">
        <w:rPr>
          <w:rFonts w:eastAsiaTheme="minorEastAsia"/>
          <w:i/>
          <w:iCs/>
        </w:rPr>
        <w:t>et al.</w:t>
      </w:r>
      <w:r w:rsidR="623A9093" w:rsidRPr="32D5D1AF">
        <w:rPr>
          <w:rFonts w:eastAsiaTheme="minorEastAsia"/>
        </w:rPr>
        <w:t xml:space="preserve"> 1999; Loreau &amp; de Mazancourt 2013)</w:t>
      </w:r>
      <w:r w:rsidR="00553CD4">
        <w:fldChar w:fldCharType="end"/>
      </w:r>
      <w:r w:rsidR="623A9093">
        <w:t xml:space="preserve">. </w:t>
      </w:r>
      <w:r w:rsidR="00513E55">
        <w:t xml:space="preserve">Depending on interaction symmetry (i.e. how similarly species affect one another) and strength, these effects can cancel or produce either stabilizing or destabilizing net effects on community variability </w:t>
      </w:r>
      <w:r w:rsidR="00553CD4">
        <w:fldChar w:fldCharType="begin"/>
      </w:r>
      <w:r w:rsidR="00553CD4">
        <w:instrText xml:space="preserve"> ADDIN ZOTERO_ITEM CSL_CITATION {"citationID":"uNFQv4o3","properties":{"unsorted":false,"formattedCitation":"(Hughes &amp; Roughgarden 1998; Loreau &amp; de Mazancourt 2008)","plainCitation":"(Hughes &amp; Roughgarden 1998; Loreau &amp; de Mazancourt 2008)","noteIndex":0},"citationItems":[{"id":3301,"uris":["http://zotero.org/users/10426170/items/6JZE8SXY"],"itemData":{"id":3301,"type":"article-journal","abstract":"Although humanity depends on the continued, aggregate functioning of natural ecosystems, few studies have explored the impact of community structure on the stability of aggregate community properties. Here we derive the stability of the aggregate property of community biomass as a function of species’ competition coefficients for a two-species model. The model predicts that the stability of community biomass is relatively independent of the magnitude of the interaction strengths. Instead, the degree of asymmetry of the interactions appears to be key to community stability.","container-title":"Proceedings of the National Academy of Sciences","DOI":"10.1073/pnas.95.12.6837","issue":"12","page":"6837-6842","publisher":"Proceedings of the National Academy of Sciences","source":"pnas.org (Atypon)","title":"Aggregate community properties and the strength of species’ interactions","volume":"95","author":[{"family":"Hughes","given":"Jennifer B."},{"family":"Roughgarden","given":"Joan"}],"issued":{"date-parts":[["1998",6,9]]}}},{"id":3485,"uris":["http://zotero.org/users/10426170/items/WCVW3YUX"],"itemData":{"id":3485,"type":"article-journal","abstract":"Independent species fluctuations are commonly used as a null hypothesis to test the role of competition and niche differences between species in community stability. This hypothesis, however, is unrealistic because it ignores the forces that contribute to synchronization of population dynamics. Here we present a mechanistic neutral model that describes the dynamics of a community of equivalent species under the joint influence of density dependence, environmental forcing, and demographic stochasticity. We also introduce a new standardized measure of species synchrony in multispecies communities. We show that the per capita population growth rates of equivalent species are strongly synchronized, especially when endogenous population dynamics are cyclic or chaotic, while their long‐term fluctuations in population sizes are desynchronized by ecological drift. We then generalize our model to nonneutral dynamics by incorporating temporal and nontemporal forms of niche differentiation. Niche differentiation consistently decreases the synchrony of species per capita population growth rates, while its effects on the synchrony of population sizes are more complex. Comparing the observed synchrony of species per capita population growth rates with that predicted by the neutral model potentially provides a simple test of deterministic asynchrony in a community.","container-title":"The American Naturalist","DOI":"10.1086/589746","ISSN":"0003-0147","issue":"2","page":"E48-E66","publisher":"The University of Chicago Press","source":"journals.uchicago.edu (Atypon)","title":"Species Synchrony and Its Drivers: Neutral and Nonneutral Community Dynamics in Fluctuating Environments.","title-short":"Species Synchrony and Its Drivers","volume":"172","author":[{"family":"Loreau","given":"Michel"},{"family":"Mazancourt","given":"Claire","non-dropping-particle":"de"}],"issued":{"date-parts":[["2008",8]]}}}],"schema":"https://github.com/citation-style-language/schema/raw/master/csl-citation.json"} </w:instrText>
      </w:r>
      <w:r w:rsidR="00553CD4">
        <w:fldChar w:fldCharType="separate"/>
      </w:r>
      <w:r w:rsidR="623A9093" w:rsidRPr="32D5D1AF">
        <w:rPr>
          <w:noProof/>
        </w:rPr>
        <w:t>(Hughes &amp; Roughgarden 1998; Loreau &amp; de Mazancourt 2008)</w:t>
      </w:r>
      <w:r w:rsidR="00553CD4">
        <w:fldChar w:fldCharType="end"/>
      </w:r>
      <w:r w:rsidR="623A9093">
        <w:t>.</w:t>
      </w:r>
    </w:p>
    <w:p w14:paraId="46861283" w14:textId="2DC6AFE2" w:rsidR="00E4111C" w:rsidRDefault="00E4111C" w:rsidP="7F6EFE56">
      <w:pPr>
        <w:jc w:val="both"/>
      </w:pPr>
      <w:r>
        <w:t>Empirically, however, this possibility has rarely been tested by placing environmental responses and interactions within the same predictive framework. Our literature review found that both mechanisms are widely invoked, but seldom compared within the same framework</w:t>
      </w:r>
      <w:r w:rsidR="00F87CF0">
        <w:t xml:space="preserve"> (Su</w:t>
      </w:r>
      <w:r w:rsidR="00C0756C">
        <w:t>pplementary Information 1)</w:t>
      </w:r>
      <w:r>
        <w:t xml:space="preserve">. </w:t>
      </w:r>
      <w:r w:rsidR="004F25F5">
        <w:t>Moreover, while</w:t>
      </w:r>
      <w:r>
        <w:t xml:space="preserve"> theory and experiments increasingly </w:t>
      </w:r>
      <w:r w:rsidR="007E5FF3">
        <w:t xml:space="preserve">find that </w:t>
      </w:r>
      <w:r w:rsidR="00F5049C">
        <w:t>differential environmental responses (i.e., response diversity) and</w:t>
      </w:r>
      <w:r>
        <w:t xml:space="preserve"> species-specific dynamics </w:t>
      </w:r>
      <w:r w:rsidR="001F38B9">
        <w:t>can stabilize</w:t>
      </w:r>
      <w:r>
        <w:t xml:space="preserve"> aggregate </w:t>
      </w:r>
      <w:r w:rsidR="001F38B9">
        <w:t>properties</w:t>
      </w:r>
      <w:r w:rsidR="4E8E282B" w:rsidRPr="7F6EFE56">
        <w:rPr>
          <w:rFonts w:eastAsiaTheme="minorEastAsia"/>
          <w:i/>
          <w:iCs/>
        </w:rPr>
        <w:t xml:space="preserve"> </w:t>
      </w:r>
      <w:r>
        <w:fldChar w:fldCharType="begin"/>
      </w:r>
      <w:r>
        <w:instrText xml:space="preserve"> ADDIN ZOTERO_ITEM CSL_CITATION {"citationID":"3s4fgAhf","properties":{"unsorted":false,"formattedCitation":"(Danet {\\i{}et al.} 2025; de Mazancourt {\\i{}et al.} 2013; Meng {\\i{}et al.} 2025; Polazzo {\\i{}et al.} 2025; Ruiz-Moreno {\\i{}et al.} 2024)","plainCitation":"(Danet et al. 2025; de Mazancourt et al. 2013; Meng et al. 2025; Polazzo et al. 2025; Ruiz-Moreno et al. 2024)","noteIndex":0},"citationItems":[{"id":3524,"uris":["http://zotero.org/users/10426170/items/QSZWK8ZU"],"itemData":{"id":3524,"type":"article-journal","abstract":"Global change constitutes a major threat to biodiversity and ecosystem functions and places the temporal stability of ecological communities at risk. Classic theory identifies species richness and food web structure as key drivers of temporal stability, while recent work highlights response diversity—variation in species’ responses to environmental perturbations—as a critical stabilizer via asynchrony in population fluctuations. However, how these mechanisms interact in complex, multi-trophic communities remain unresolved. Using a stochastic, bioenergetic food web model, we integrate these multiple bodies of theory to reveal that response diversity is a major driver of community stability. Moreover, our integrated theory reveals that positive stability-richness relationships emerge only in the presence of response diversity. In contrast to previous work, we also find that food web structure is only a secondary driver of community stability but interacts with response diversity to determine the sign of the stability-richness relationship. Our study reveals identifiable pathways by which food web structure and response diversity drive community stability and raises concerns about how the loss of response diversity may lead to a breakdown of community stability.","container-title":"Proceedings of the Royal Society B: Biological Sciences","DOI":"10.1098/rspb.2025.0730","ISSN":"0962-8452","issue":"2058","journalAbbreviation":"Proc Biol Sci","page":"20250730","source":"Silverchair","title":"Response diversity is a major driver of temporal stability in complex food webs","volume":"292","author":[{"family":"Danet","given":"Alain"},{"family":"Kéfi","given":"Sonia"},{"family":"Johnson","given":"Thomas F."},{"family":"Beckerman","given":"Andrew P."}],"issued":{"date-parts":[["2025",11,5]]}}},{"id":591,"uris":["http://zotero.org/users/10426170/items/8K7ULFVY"],"itemData":{"id":591,"type":"article-journal","abstract":"As biodiversity is declining at an unprecedented rate, an important current scientific challenge is to understand and predict the consequences of biodiversity loss. Here, we develop a theory that predicts the temporal variability of community biomass from the properties of individual component species in monoculture. Our theory shows that biodiversity stabilises ecosystems through three main mechanisms: (1) asynchrony in species' responses to environmental fluctuations, (2) reduced demographic stochasticity due to overyielding in species mixtures and (3) reduced observation error (including spatial and sampling variability). Parameterised with empirical data from four long-term grassland biodiversity experiments, our prediction explained 22-75% of the observed variability, and captured much of the effect of species richness. Richness stabilised communities mainly by increasing community biomass and reducing the strength of demographic stochasticity. Our approach calls for a re-evaluation of the mechanisms explaining the effects of biodiversity on ecosystem stability. © 2013 Blackwell Publishing Ltd/CNRS.","container-title":"Ecology Letters","DOI":"10.1111/ele.12088","ISSN":"1461023X","issue":"5","page":"617-625","title":"Predicting ecosystem stability from community composition and biodiversity","volume":"16","author":[{"family":"Mazancourt","given":"Claire","non-dropping-particle":"de"},{"family":"Isbell","given":"Forest"},{"family":"Larocque","given":"Allen"},{"family":"Berendse","given":"Frank"},{"family":"De Luca","given":"Enrica"},{"family":"Grace","given":"James B."},{"family":"Haegeman","given":"Bart"},{"family":"Wayne Polley","given":"H."},{"family":"Roscher","given":"Christiane"},{"family":"Schmid","given":"Bernhard"},{"family":"Tilman","given":"David"},{"family":"Ruijven","given":"Jasper","non-dropping-particle":"van"},{"family":"Weigelt","given":"Alexandra"},{"family":"Wilsey","given":"Brian J."},{"family":"Loreau","given":"Michel"}],"issued":{"date-parts":[["2013"]]}}},{"id":3299,"uris":["http://zotero.org/users/10426170/items/8HRZ2JVJ"],"itemData":{"id":3299,"type":"article-journal","abstract":"Although numerous studies have demonstrated a positive relationship between biodiversity and ecosystem stability, that is low temporal variability in ecosystem functions, the role of interspecific interactions in driving this relationship remains elusive. Here we develop a partitioning framework to disentangle the effects of interspecific interactions on ecosystem variability from those of interaction-independent processes. Applying this framework to competition models and biodiversity experiments in European and North American grasslands, we find that species-specific dynamics observable in monocultures (for example, environmental responses or demographic stochasticity), rather than interspecific interactions observable only in mixtures, explain much of the stabilizing effects of biodiversity on ecosystems. The weak net effect of interspecific interactions results from two counter-balancing effects: an interaction-driven increase in average species variability and an interaction-driven decrease in average species synchrony. We also find that interspecific interactions contributing to higher ecosystem functioning tend to reduce ecosystem variability. Our study provides a systematic empirical assessment of the role of interspecific interactions in shaping grassland ecosystem stability, challenging traditional assumptions about their importance and highlighting species-specific dynamics as the primary mechanism underlying the pervasive biodiversity–stability relationship.","container-title":"Nature Ecology &amp; Evolution","DOI":"10.1038/s41559-025-02787-4","ISSN":"2397-334X","journalAbbreviation":"Nat Ecol Evol","language":"en","license":"2025 The Author(s), under exclusive licence to Springer Nature Limited","page":"1-11","publisher":"Nature Publishing Group","source":"www.nature.com","title":"Stabilizing effects of biodiversity arise from species-specific dynamics rather than interspecific interactions in grasslands","author":[{"family":"Meng","given":"Bo"},{"family":"Luo","given":"Mingyu"},{"family":"Loreau","given":"Michel"},{"family":"Hong","given":"Pubin"},{"family":"Craven","given":"Dylan"},{"family":"Eisenhauer","given":"Nico"},{"family":"Isbell","given":"Forest"},{"family":"Liang","given":"Maowei"},{"family":"Reuman","given":"Daniel"},{"family":"Wilsey","given":"Brian"},{"family":"Ruijven","given":"Jasper","non-dropping-particle":"van"},{"family":"Zhao","given":"Lei"},{"family":"Wang","given":"Shaopeng"}],"issued":{"date-parts":[["2025",7,11]]}}},{"id":3400,"uris":["http://zotero.org/users/10426170/items/9FJYBSPC"],"itemData":{"id":3400,"type":"article-journal","abstract":"Understanding stability is crucial for predicting ecological responses to environmental fluctuations. While the diversity-stability relationship is well studied, the role of species' fundamental responses remains underexplored. We investigate how the distribution of species' fundamental responses, captured by a novel metric—imbalance—drives community stability through asynchrony and population stability. Using a protist microcosm experiment, we manipulated species richness and response distributions (defined as interspecific variation in species performance curves) under fluctuating temperature at different nutrient concentrations. Results show that lower imbalance leads to higher temporal stability, while richness has no effect. Structural equation modelling revealed that asynchrony and population stability explain 90% of the variation in stability. Imbalance estimated from monocultures predicted community stability, suggesting that fundamental species responses drove community stability. This study offers new insights into the responses of ecological systems to environmental change.","container-title":"Ecology Letters","DOI":"10.1111/ele.70224","ISSN":"1461-0248","issue":"10","language":"en","license":"© 2025 The Author(s). Ecology Letters published by John Wiley &amp; Sons Ltd.","note":"_eprint: https://onlinelibrary.wiley.com/doi/pdf/10.1111/ele.70224","page":"e70224","source":"Wiley Online Library","title":"The Imbalance of Nature: The Role of Species Environmental Responses for Community Stability","title-short":"The Imbalance of Nature","volume":"28","author":[{"family":"Polazzo","given":"Francesco"},{"family":"Hämmig","given":"Til"},{"family":"Petchey","given":"Owen L."},{"family":"Pennekamp","given":"Frank"}],"issued":{"date-parts":[["2025"]]}}},{"id":2568,"uris":["http://zotero.org/users/10426170/items/LBFS8GKB"],"itemData":{"id":2568,"type":"article-journal","abstract":"Species-to-species and species-to-environment interactions are key drivers of community dynamics. Disentangling these drivers in species-rich assemblages is challenging due to the high number of potentially interacting species (the ‘curse of dimensionality’). We develop a process-based model that quantifies how intraspecific and interspecific interactions, and species’ covarying responses to environmental fluctuations, jointly drive community dynamics. We fit the model to reef fish abundance time series from 41 reefs of Australia's Great Barrier Reef. We found that fluctuating relative abundances are driven by species’ heterogenous responses to environmental fluctuations, whereas interspecific interactions are negligible. Species differences in long-term average abundances are driven by interspecific variation in the magnitudes of both conspecific density-dependence and density-independent growth rates. This study introduces a novel approach to overcoming the curse of dimensionality, which reveals highly individualistic dynamics in coral reef fish communities that imply a high level of niche structure.","container-title":"Ecology Letters","DOI":"10.1111/ele.14424","ISSN":"1461-0248","issue":"4","language":"en","note":"_eprint: https://onlinelibrary.wiley.com/doi/pdf/10.1111/ele.14424","page":"e14424","source":"Wiley Online Library","title":"High response diversity and conspecific density-dependence, not species interactions, drive dynamics of coral reef fish communities","volume":"27","author":[{"family":"Ruiz-Moreno","given":"Alfonso"},{"family":"Emslie","given":"Michael J."},{"family":"Connolly","given":"Sean R."}],"issued":{"date-parts":[["2024"]]}}}],"schema":"https://github.com/citation-style-language/schema/raw/master/csl-citation.json"} </w:instrText>
      </w:r>
      <w:r>
        <w:fldChar w:fldCharType="separate"/>
      </w:r>
      <w:r w:rsidR="4E8E282B" w:rsidRPr="7F6EFE56">
        <w:rPr>
          <w:rFonts w:eastAsiaTheme="minorEastAsia"/>
        </w:rPr>
        <w:t xml:space="preserve">(Danet </w:t>
      </w:r>
      <w:r w:rsidR="4E8E282B" w:rsidRPr="7F6EFE56">
        <w:rPr>
          <w:rFonts w:eastAsiaTheme="minorEastAsia"/>
          <w:i/>
          <w:iCs/>
        </w:rPr>
        <w:t>et al.</w:t>
      </w:r>
      <w:r w:rsidR="4E8E282B" w:rsidRPr="7F6EFE56">
        <w:rPr>
          <w:rFonts w:eastAsiaTheme="minorEastAsia"/>
        </w:rPr>
        <w:t xml:space="preserve"> 2025; de Mazancourt </w:t>
      </w:r>
      <w:r w:rsidR="4E8E282B" w:rsidRPr="7F6EFE56">
        <w:rPr>
          <w:rFonts w:eastAsiaTheme="minorEastAsia"/>
          <w:i/>
          <w:iCs/>
        </w:rPr>
        <w:t>et al.</w:t>
      </w:r>
      <w:r w:rsidR="4E8E282B" w:rsidRPr="7F6EFE56">
        <w:rPr>
          <w:rFonts w:eastAsiaTheme="minorEastAsia"/>
        </w:rPr>
        <w:t xml:space="preserve"> 2013; Meng </w:t>
      </w:r>
      <w:r w:rsidR="4E8E282B" w:rsidRPr="7F6EFE56">
        <w:rPr>
          <w:rFonts w:eastAsiaTheme="minorEastAsia"/>
          <w:i/>
          <w:iCs/>
        </w:rPr>
        <w:t>et al.</w:t>
      </w:r>
      <w:r w:rsidR="4E8E282B" w:rsidRPr="7F6EFE56">
        <w:rPr>
          <w:rFonts w:eastAsiaTheme="minorEastAsia"/>
        </w:rPr>
        <w:t xml:space="preserve"> 2025; Polazzo </w:t>
      </w:r>
      <w:r w:rsidR="4E8E282B" w:rsidRPr="7F6EFE56">
        <w:rPr>
          <w:rFonts w:eastAsiaTheme="minorEastAsia"/>
          <w:i/>
          <w:iCs/>
        </w:rPr>
        <w:t>et al.</w:t>
      </w:r>
      <w:r w:rsidR="4E8E282B" w:rsidRPr="7F6EFE56">
        <w:rPr>
          <w:rFonts w:eastAsiaTheme="minorEastAsia"/>
        </w:rPr>
        <w:t xml:space="preserve"> 2025; Ruiz-Moreno </w:t>
      </w:r>
      <w:r w:rsidR="4E8E282B" w:rsidRPr="7F6EFE56">
        <w:rPr>
          <w:rFonts w:eastAsiaTheme="minorEastAsia"/>
          <w:i/>
          <w:iCs/>
        </w:rPr>
        <w:t>et al.</w:t>
      </w:r>
      <w:r w:rsidR="4E8E282B" w:rsidRPr="7F6EFE56">
        <w:rPr>
          <w:rFonts w:eastAsiaTheme="minorEastAsia"/>
        </w:rPr>
        <w:t xml:space="preserve"> 2024)</w:t>
      </w:r>
      <w:r>
        <w:fldChar w:fldCharType="end"/>
      </w:r>
      <w:r>
        <w:t xml:space="preserve">, experts continue to rank interactions among the principal obstacles to using response diversity predictively </w:t>
      </w:r>
      <w:r w:rsidR="00FF72EC">
        <w:fldChar w:fldCharType="begin"/>
      </w:r>
      <w:r w:rsidR="009C579B">
        <w:instrText xml:space="preserve"> ADDIN ZOTERO_ITEM CSL_CITATION {"citationID":"LCEWojUn","properties":{"unsorted":false,"formattedCitation":"(Ross {\\i{}et al.} 2026)","plainCitation":"(Ross et al. 2026)","noteIndex":0},"citationItems":[{"id":3537,"uris":["http://zotero.org/users/10426170/items/TSIZHRQS"],"itemData":{"id":3537,"type":"article-journal","abstract":"Response diversity describes variation in ecological responses to environmental change. Response diversity is expected to drive ecological stability since a wider variety of responses to one or more ...","container-title":"Oikos","DOI":"10.1002/oik.11358","ISSN":"1600-0706","language":"en","page":"e11358","publisher":"John Wiley &amp; Sons, Ltd","source":"nsojournals.onlinelibrary.wiley.com","title":"Expert-led priorities for a response diversity research agenda in ecology","author":[{"family":"Ross","given":"Samuel R. P.-J."},{"family":"Barros","given":"Ceres"},{"family":"Dee","given":"Laura E."},{"family":"Fowler","given":"Mike S."},{"family":"Petchey","given":"Owen L."},{"family":"Sasaki","given":"Takehiro"},{"family":"White","given":"Hannah J."},{"family":"LoPresti","given":"Anna"}],"issued":{"date-parts":[["2026",1,25]]}}}],"schema":"https://github.com/citation-style-language/schema/raw/master/csl-citation.json"} </w:instrText>
      </w:r>
      <w:r w:rsidR="00FF72EC">
        <w:fldChar w:fldCharType="separate"/>
      </w:r>
      <w:r w:rsidR="009C579B" w:rsidRPr="009C579B">
        <w:rPr>
          <w:rFonts w:eastAsiaTheme="minorEastAsia"/>
          <w:szCs w:val="24"/>
        </w:rPr>
        <w:t xml:space="preserve">(Ross </w:t>
      </w:r>
      <w:r w:rsidR="009C579B" w:rsidRPr="009C579B">
        <w:rPr>
          <w:rFonts w:eastAsiaTheme="minorEastAsia"/>
          <w:i/>
          <w:iCs/>
          <w:szCs w:val="24"/>
        </w:rPr>
        <w:t>et al.</w:t>
      </w:r>
      <w:r w:rsidR="009C579B" w:rsidRPr="009C579B">
        <w:rPr>
          <w:rFonts w:eastAsiaTheme="minorEastAsia"/>
          <w:szCs w:val="24"/>
        </w:rPr>
        <w:t xml:space="preserve"> 2026)</w:t>
      </w:r>
      <w:r w:rsidR="00FF72EC">
        <w:fldChar w:fldCharType="end"/>
      </w:r>
      <w:r w:rsidR="009C579B">
        <w:t>.</w:t>
      </w:r>
    </w:p>
    <w:p w14:paraId="2E161397" w14:textId="7B53D992" w:rsidR="00F62D18" w:rsidRDefault="1C7C60C5">
      <w:r>
        <w:t>The second</w:t>
      </w:r>
      <w:r w:rsidR="5A63EDC9">
        <w:t xml:space="preserve"> obstacle is </w:t>
      </w:r>
      <w:r w:rsidR="00385870">
        <w:t>methodological</w:t>
      </w:r>
      <w:r w:rsidR="5A63EDC9">
        <w:t xml:space="preserve">. Environmental responses are commonly represented by single traits or moments of trait distributions, such as a community-weighted mean or variance. These summaries identify where species perform </w:t>
      </w:r>
      <w:r w:rsidR="53C5BEF0">
        <w:t>best but</w:t>
      </w:r>
      <w:r w:rsidR="5A63EDC9">
        <w:t xml:space="preserve"> discard </w:t>
      </w:r>
      <w:r w:rsidR="3483522D">
        <w:t>the intrinsic non-linearity of species performance-environment relationships</w:t>
      </w:r>
      <w:r w:rsidR="5A63EDC9">
        <w:t>.</w:t>
      </w:r>
      <w:r w:rsidR="00545DD0">
        <w:t xml:space="preserve"> </w:t>
      </w:r>
      <w:r w:rsidR="00E4111C">
        <w:t>What is missing is response shape. A thermal optimum, for example, tells us where a species performs best. It does not tell us, however, how rapidly performance declines away from that optimum, whether tolerance is broad or narrow, whether the curve is symmetric or skewed, or whether different species’ curves complement one another</w:t>
      </w:r>
      <w:r w:rsidR="006656CD">
        <w:t xml:space="preserve"> </w:t>
      </w:r>
      <w:r w:rsidR="006656CD">
        <w:fldChar w:fldCharType="begin"/>
      </w:r>
      <w:r w:rsidR="00553CD4">
        <w:instrText xml:space="preserve"> ADDIN ZOTERO_ITEM CSL_CITATION {"citationID":"P2eIT7QQ","properties":{"unsorted":false,"formattedCitation":"(Angilletta 2006; Arnoldi {\\i{}et al.} 2025)","plainCitation":"(Angilletta 2006; Arnoldi et al. 2025)","noteIndex":0},"citationItems":[{"id":3518,"uris":["http://zotero.org/users/10426170/items/4KAQJGK2"],"itemData":{"id":3518,"type":"article-journal","abstract":"I show how one can estimate the shape of a thermal performance curve using information theory. This approach ranks plausible models by their Akaike information criterion (AIC), which is a measure of a model's ability to describe the data discounted by the model's complexity. I analyze previously published data to demonstrate how one applies this approach to describe a thermal performance curve. This exemplary analysis produced two interesting results. First, a model with a very high r2 (a modified Gaussian function) appeared to overfit the data. Second, the model favored by information theory (a Gaussian function) has been used widely in optimality studies of thermal performance curves. Finally, I discuss the choice between regression and ANOVA when comparing thermal performance curves and highlight a superior method called template mode of variation. Much progress can be made by abandoning traditional methods for a method that combines information theory with template mode of variation.","container-title":"Journal of Thermal Biology","DOI":"10.1016/j.jtherbio.2006.06.002","ISSN":"0306-4565","issue":"7","journalAbbreviation":"Journal of Thermal Biology","page":"541-545","source":"ScienceDirect","title":"Estimating and comparing thermal performance curves","volume":"31","author":[{"family":"Angilletta","given":"Michael J."}],"issued":{"date-parts":[["2006",10,1]]}}},{"id":3682,"uris":["http://zotero.org/users/10426170/items/TBCVL3NL"],"itemData":{"id":3682,"type":"article-journal","abstract":"Temperature has strong impacts on all biological and ecological processes, and thermal performance curves (TPCs) have been employed recurrently to assess them. TPCs almost always take a particular asymmetric shape across the biological hierarchy, with many different competing mechanisms and models doing a similarly good job of trying to explain the TPC phenomenon. Here, we reveal that the ubiquitous exponential scaling of biological processes with temperature creates a mechanistic tendency for TPC data and models to collapse onto a single curve (which we call the Universal TPC, UTPC), explaining mathematically why biological systems respond to temperature in such a consistent way. We illustrate that many seemingly different TPCs actually approximate rescaled versions of the same curve, even when thermal performance estimates vary widely across organisms, systems, and contexts. We demonstrate remarkable UTPC collapse across the tree of life, with diverse datasets spanning microbes to vertebrates, and individual physiology to population growth. UTPC phenomena also provide a strong theoretical basis for predicting performance of warm-adapted organisms will be more sensitive to- and less tolerant of- temperature fluctuations; an important consideration in the context of climate change.","container-title":"Proceedings of the National Academy of Sciences","DOI":"10.1073/pnas.2513099122","issue":"43","page":"e2513099122","publisher":"Proceedings of the National Academy of Sciences","source":"pnas.org (Atypon)","title":"A universal thermal performance curve arises in biology and ecology","volume":"122","author":[{"family":"Arnoldi","given":"Jean-François"},{"family":"Jackson","given":"Andrew L."},{"family":"Peralta-Maraver","given":"Ignacio"},{"family":"Payne","given":"Nicholas L."}],"issued":{"date-parts":[["2025",10,28]]}}}],"schema":"https://github.com/citation-style-language/schema/raw/master/csl-citation.json"} </w:instrText>
      </w:r>
      <w:r w:rsidR="006656CD">
        <w:fldChar w:fldCharType="separate"/>
      </w:r>
      <w:r w:rsidR="00553CD4" w:rsidRPr="00553CD4">
        <w:rPr>
          <w:rFonts w:eastAsiaTheme="minorEastAsia"/>
          <w:szCs w:val="24"/>
        </w:rPr>
        <w:t xml:space="preserve">(Angilletta 2006; Arnoldi </w:t>
      </w:r>
      <w:r w:rsidR="00553CD4" w:rsidRPr="00553CD4">
        <w:rPr>
          <w:rFonts w:eastAsiaTheme="minorEastAsia"/>
          <w:i/>
          <w:iCs/>
          <w:szCs w:val="24"/>
        </w:rPr>
        <w:t>et al.</w:t>
      </w:r>
      <w:r w:rsidR="00553CD4" w:rsidRPr="00553CD4">
        <w:rPr>
          <w:rFonts w:eastAsiaTheme="minorEastAsia"/>
          <w:szCs w:val="24"/>
        </w:rPr>
        <w:t xml:space="preserve"> 2025)</w:t>
      </w:r>
      <w:r w:rsidR="006656CD">
        <w:fldChar w:fldCharType="end"/>
      </w:r>
      <w:r w:rsidR="00E4111C">
        <w:t>.</w:t>
      </w:r>
      <w:r w:rsidR="006656CD">
        <w:t xml:space="preserve"> </w:t>
      </w:r>
      <w:r w:rsidR="00E4111C">
        <w:t xml:space="preserve">Communities with identical means and variances in thermal optima can nonetheless differ sharply in response breadth, skew, overlap, and complementarity. Because performance–environment relationships are nonlinear, those differences determine how environmental variation is converted into temporal variation </w:t>
      </w:r>
      <w:r w:rsidR="00E4111C">
        <w:fldChar w:fldCharType="begin"/>
      </w:r>
      <w:r w:rsidR="00E4111C">
        <w:instrText xml:space="preserve"> ADDIN ZOTERO_ITEM CSL_CITATION {"citationID":"bmkWwfiD","properties":{"unsorted":false,"formattedCitation":"(Angilletta 2006; Dell {\\i{}et al.} 2011; Huey &amp; Kingsolver 1989)","plainCitation":"(Angilletta 2006; Dell et al. 2011; Huey &amp; Kingsolver 1989)","noteIndex":0},"citationItems":[{"id":3518,"uris":["http://zotero.org/users/10426170/items/4KAQJGK2"],"itemData":{"id":3518,"type":"article-journal","abstract":"I show how one can estimate the shape of a thermal performance curve using information theory. This approach ranks plausible models by their Akaike information criterion (AIC), which is a measure of a model's ability to describe the data discounted by the model's complexity. I analyze previously published data to demonstrate how one applies this approach to describe a thermal performance curve. This exemplary analysis produced two interesting results. First, a model with a very high r2 (a modified Gaussian function) appeared to overfit the data. Second, the model favored by information theory (a Gaussian function) has been used widely in optimality studies of thermal performance curves. Finally, I discuss the choice between regression and ANOVA when comparing thermal performance curves and highlight a superior method called template mode of variation. Much progress can be made by abandoning traditional methods for a method that combines information theory with template mode of variation.","container-title":"Journal of Thermal Biology","DOI":"10.1016/j.jtherbio.2006.06.002","ISSN":"0306-4565","issue":"7","journalAbbreviation":"Journal of Thermal Biology","page":"541-545","source":"ScienceDirect","title":"Estimating and comparing thermal performance curves","volume":"31","author":[{"family":"Angilletta","given":"Michael J."}],"issued":{"date-parts":[["2006",10,1]]}}},{"id":3349,"uris":["http://zotero.org/users/10426170/items/WSQQUYAK"],"itemData":{"id":3349,"type":"article-journal","abstract":"To understand the effects of temperature on biological systems, we compile, organize, and analyze a database of 1,072 thermal responses for microbes, plants, and animals. The unprecedented diversity of traits (n = 112), species (n = 309), body sizes (15 orders of magnitude), and habitats (all major biomes) in our database allows us to quantify novel features of the temperature response of biological traits. In particular, analysis of the rising component of within-species (intraspecific) responses reveals that 87% are fit well by the Boltzmann–Arrhenius model. The mean activation energy for these rises is 0.66 ± 0.05 eV, similar to the reported across-species (interspecific) value of 0.65 eV. However, systematic variation in the distribution of rise activation energies is evident, including previously unrecognized right skewness around a median of 0.55 eV. This skewness exists across levels of organization, taxa, trophic groups, and habitats, and it is partially explained by prey having increased trait performance at lower temperatures relative to predators, suggesting a thermal version of the life-dinner principle—stronger selection on running for your life than running for your dinner. For unimodal responses, habitat (marine, freshwater, and terrestrial) largely explains the mean temperature at which trait values are optimal but not variation around the mean. The distribution of activation energies for trait falls has a mean of 1.15 ± 0.39 eV (significantly higher than rises) and is also right-skewed. Our results highlight generalities and deviations in the thermal response of biological traits and help to provide a basis to predict better how biological systems, from cells to communities, respond to temperature change.","container-title":"Proceedings of the National Academy of Sciences","DOI":"10.1073/pnas.1015178108","issue":"26","page":"10591-10596","publisher":"Proceedings of the National Academy of Sciences","source":"pnas.org (Atypon)","title":"Systematic variation in the temperature dependence of physiological and ecological traits","volume":"108","author":[{"family":"Dell","given":"Anthony I."},{"family":"Pawar","given":"Samraat"},{"family":"Savage","given":"Van M."}],"issued":{"date-parts":[["2011",6,28]]}}},{"id":3345,"uris":["http://zotero.org/users/10426170/items/X6HM2KYS"],"itemData":{"id":3345,"type":"article-journal","container-title":"Trends in Ecology &amp; Evolution","DOI":"10.1016/0169-5347(89)90211-5","ISSN":"0169-5347","issue":"5","journalAbbreviation":"Trends in Ecology &amp; Evolution","language":"English","page":"131-135","PMID":"21227334","publisher":"Elsevier","source":"www.cell.com","title":"Evolution of thermal sensitivity of ectotherm performance","volume":"4","author":[{"family":"Huey","given":"Raymond B."},{"family":"Kingsolver","given":"Joel G."}],"issued":{"date-parts":[["1989",5,1]]}}}],"schema":"https://github.com/citation-style-language/schema/raw/master/csl-citation.json"} </w:instrText>
      </w:r>
      <w:r w:rsidR="00E4111C">
        <w:fldChar w:fldCharType="separate"/>
      </w:r>
      <w:r w:rsidR="00E4111C" w:rsidRPr="00512BCB">
        <w:rPr>
          <w:rFonts w:eastAsiaTheme="minorEastAsia"/>
          <w:szCs w:val="24"/>
        </w:rPr>
        <w:t xml:space="preserve">(Angilletta 2006; Dell </w:t>
      </w:r>
      <w:r w:rsidR="00E4111C" w:rsidRPr="00512BCB">
        <w:rPr>
          <w:rFonts w:eastAsiaTheme="minorEastAsia"/>
          <w:i/>
          <w:iCs/>
          <w:szCs w:val="24"/>
        </w:rPr>
        <w:t>et al.</w:t>
      </w:r>
      <w:r w:rsidR="00E4111C" w:rsidRPr="00512BCB">
        <w:rPr>
          <w:rFonts w:eastAsiaTheme="minorEastAsia"/>
          <w:szCs w:val="24"/>
        </w:rPr>
        <w:t xml:space="preserve"> 2011; Huey &amp; Kingsolver 1989)</w:t>
      </w:r>
      <w:r w:rsidR="00E4111C">
        <w:fldChar w:fldCharType="end"/>
      </w:r>
      <w:r w:rsidR="00E4111C">
        <w:t xml:space="preserve">. </w:t>
      </w:r>
    </w:p>
    <w:p w14:paraId="1FFA5ABA" w14:textId="660A8770" w:rsidR="00F62D18" w:rsidRDefault="5A63EDC9">
      <w:r>
        <w:t>We address this limitation by treating each species performance curve as a metatrait</w:t>
      </w:r>
      <w:r w:rsidR="3B6EA268">
        <w:t xml:space="preserve">: integrated response profiles that capture how multiple underlying traits jointly determine performance across an environmental gradient. We then aggregate these species-level curves into a </w:t>
      </w:r>
      <w:r w:rsidR="3B6EA268" w:rsidRPr="32D5D1AF">
        <w:rPr>
          <w:i/>
          <w:iCs/>
        </w:rPr>
        <w:t>community performance (CP) curve</w:t>
      </w:r>
      <w:r w:rsidR="3B6EA268">
        <w:t>, which describes the expected performance of a community across environmental conditions</w:t>
      </w:r>
      <w:r>
        <w:t xml:space="preserve">. Evaluating a CP curve over an environmental sequence produces a distribution of expected community performance (Fig. 1). Its coefficient of variation is an explicit </w:t>
      </w:r>
      <w:r w:rsidR="00A40941">
        <w:t>prediction</w:t>
      </w:r>
      <w:r>
        <w:t xml:space="preserve"> of temporal </w:t>
      </w:r>
      <w:r w:rsidR="53C5BEF0">
        <w:t>variability</w:t>
      </w:r>
      <w:r w:rsidR="0A6D3BCC">
        <w:t xml:space="preserve"> of total community </w:t>
      </w:r>
      <w:r w:rsidR="00E45107">
        <w:t>performance</w:t>
      </w:r>
      <w:r>
        <w:t xml:space="preserve">: flat CP curves predict relatively constant aggregate performance, whereas strongly varying CP curves predict </w:t>
      </w:r>
      <w:r>
        <w:lastRenderedPageBreak/>
        <w:t>larger fluctuations</w:t>
      </w:r>
      <w:r w:rsidR="588C37C2">
        <w:t xml:space="preserve"> (just as would be the case for species performance curves and fluctuation in population abundance)</w:t>
      </w:r>
      <w:r>
        <w:t>.</w:t>
      </w:r>
    </w:p>
    <w:p w14:paraId="6277675D" w14:textId="78757E91" w:rsidR="00F62D18" w:rsidRDefault="5A63EDC9">
      <w:r>
        <w:t xml:space="preserve">CP variability can be calculated using the realised environmental sequence </w:t>
      </w:r>
      <w:r w:rsidR="53C5BEF0">
        <w:t xml:space="preserve">a community experiences </w:t>
      </w:r>
      <w:r>
        <w:t>(</w:t>
      </w:r>
      <w:r w:rsidRPr="32D5D1AF">
        <w:rPr>
          <w:i/>
          <w:iCs/>
        </w:rPr>
        <w:t>actual</w:t>
      </w:r>
      <w:r>
        <w:t xml:space="preserve"> CP variability) or, when that sequence is unavailable, a </w:t>
      </w:r>
      <w:r w:rsidR="00F019AD">
        <w:t xml:space="preserve">null assumption, such as a </w:t>
      </w:r>
      <w:r>
        <w:t>uniform distribution across the relevant environmental range (</w:t>
      </w:r>
      <w:r w:rsidRPr="32D5D1AF">
        <w:rPr>
          <w:i/>
          <w:iCs/>
        </w:rPr>
        <w:t>null</w:t>
      </w:r>
      <w:r>
        <w:t xml:space="preserve"> CP variability). The framework therefore separates information contained in</w:t>
      </w:r>
      <w:r w:rsidR="33400FA7">
        <w:t xml:space="preserve"> the CP curve</w:t>
      </w:r>
      <w:r>
        <w:t xml:space="preserve"> shape from information added by the environmental frequency distribution</w:t>
      </w:r>
      <w:r w:rsidR="4C72946D">
        <w:t xml:space="preserve"> (Fig. 1)</w:t>
      </w:r>
      <w:r>
        <w:t xml:space="preserve">. It also yields a test of </w:t>
      </w:r>
      <w:r w:rsidR="7443A094">
        <w:t xml:space="preserve">the importance of </w:t>
      </w:r>
      <w:r>
        <w:t xml:space="preserve">interaction effects. If </w:t>
      </w:r>
      <w:r w:rsidR="0B0328FA">
        <w:t xml:space="preserve">the presence of </w:t>
      </w:r>
      <w:r>
        <w:t xml:space="preserve">interactions </w:t>
      </w:r>
      <w:r w:rsidR="20B3A7FA">
        <w:t>is importan</w:t>
      </w:r>
      <w:r w:rsidR="001415BE">
        <w:t>t</w:t>
      </w:r>
      <w:r>
        <w:t xml:space="preserve">, CP-based prediction should deteriorate as interaction </w:t>
      </w:r>
      <w:r w:rsidR="586570A5">
        <w:t xml:space="preserve">effects </w:t>
      </w:r>
      <w:r>
        <w:t xml:space="preserve">increase. </w:t>
      </w:r>
    </w:p>
    <w:p w14:paraId="19C533CD" w14:textId="49460C7E" w:rsidR="00F62D18" w:rsidRDefault="0DB52258">
      <w:r>
        <w:t xml:space="preserve">Here, we test </w:t>
      </w:r>
      <w:r w:rsidR="0CEE2A60">
        <w:t>if CP variability explains variation in community stability using</w:t>
      </w:r>
      <w:r>
        <w:t xml:space="preserve"> </w:t>
      </w:r>
      <w:r w:rsidR="7C6692BC">
        <w:t xml:space="preserve">mathematical </w:t>
      </w:r>
      <w:r>
        <w:t>simulation</w:t>
      </w:r>
      <w:r w:rsidR="1B06C831">
        <w:t>s</w:t>
      </w:r>
      <w:r w:rsidR="6A53A5C8">
        <w:t xml:space="preserve"> of communitie</w:t>
      </w:r>
      <w:r>
        <w:t xml:space="preserve">s and a purpose-designed microcosm experiment. A </w:t>
      </w:r>
      <w:r w:rsidR="00A05590">
        <w:t>continuous</w:t>
      </w:r>
      <w:r>
        <w:t xml:space="preserve">-time Lotka–Volterra model and a mechanistic consumer–resource model independently vary response structure and interaction strength. In parallel, we use thermal performance curves measured in ciliate monocultures to design multispecies communities spanning a predicted gradient of CP variability, then expose them to fluctuating temperature. Together, these approaches ask whether aggregate temporal stability can be </w:t>
      </w:r>
      <w:r w:rsidR="08A61CCD">
        <w:t>predicted</w:t>
      </w:r>
      <w:r w:rsidR="00647456">
        <w:t xml:space="preserve"> </w:t>
      </w:r>
      <w:r>
        <w:t>from species environmental responses even when detailed interaction matrices are unknown.</w:t>
      </w:r>
    </w:p>
    <w:p w14:paraId="3D611138" w14:textId="07666518" w:rsidR="000A5E99" w:rsidRPr="00E10D68" w:rsidRDefault="00513E55" w:rsidP="006D41A8">
      <w:pPr>
        <w:keepNext/>
        <w:jc w:val="center"/>
        <w:rPr>
          <w:lang w:val="en-GB"/>
        </w:rPr>
      </w:pPr>
      <w:r w:rsidRPr="0059234C">
        <w:rPr>
          <w:noProof/>
        </w:rPr>
        <w:drawing>
          <wp:inline distT="0" distB="0" distL="0" distR="0" wp14:anchorId="7E410090" wp14:editId="1F0C154B">
            <wp:extent cx="6126480" cy="4130040"/>
            <wp:effectExtent l="0" t="0" r="0" b="0"/>
            <wp:docPr id="884404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404551" name=""/>
                    <pic:cNvPicPr/>
                  </pic:nvPicPr>
                  <pic:blipFill>
                    <a:blip r:embed="rId11"/>
                    <a:stretch>
                      <a:fillRect/>
                    </a:stretch>
                  </pic:blipFill>
                  <pic:spPr>
                    <a:xfrm>
                      <a:off x="0" y="0"/>
                      <a:ext cx="6126480" cy="4130040"/>
                    </a:xfrm>
                    <a:prstGeom prst="rect">
                      <a:avLst/>
                    </a:prstGeom>
                  </pic:spPr>
                </pic:pic>
              </a:graphicData>
            </a:graphic>
          </wp:inline>
        </w:drawing>
      </w:r>
      <w:r w:rsidR="006D41A8">
        <w:fldChar w:fldCharType="begin"/>
      </w:r>
      <w:r w:rsidR="006D41A8">
        <w:instrText xml:space="preserve"> INCLUDEPICTURE "http://127.0.0.1:40274/chunk_output/s/4A780342/c9xupllwwpprd/000010.png?fixed_size=1" \* MERGEFORMATINET </w:instrText>
      </w:r>
      <w:r w:rsidR="006D41A8">
        <w:fldChar w:fldCharType="separate"/>
      </w:r>
      <w:r w:rsidR="006D41A8">
        <w:fldChar w:fldCharType="end"/>
      </w:r>
    </w:p>
    <w:p w14:paraId="2A86D8D5" w14:textId="52F31694" w:rsidR="00513E55" w:rsidRPr="006D41A8" w:rsidRDefault="00513E55" w:rsidP="00513E55">
      <w:pPr>
        <w:pStyle w:val="Figurecaption"/>
        <w:rPr>
          <w:b w:val="0"/>
          <w:bCs w:val="0"/>
        </w:rPr>
      </w:pPr>
      <w:bookmarkStart w:id="4" w:name="methods"/>
      <w:r w:rsidRPr="006D41A8">
        <w:rPr>
          <w:rStyle w:val="Strong"/>
          <w:b/>
          <w:bCs/>
        </w:rPr>
        <w:t xml:space="preserve">Figure 1. </w:t>
      </w:r>
      <w:r w:rsidRPr="00E10D68">
        <w:rPr>
          <w:rFonts w:eastAsiaTheme="majorEastAsia"/>
        </w:rPr>
        <w:t>Community performance curves, species performance curves, and temperature</w:t>
      </w:r>
      <w:r w:rsidRPr="097EF343">
        <w:rPr>
          <w:rFonts w:eastAsiaTheme="majorEastAsia"/>
        </w:rPr>
        <w:t xml:space="preserve"> </w:t>
      </w:r>
      <w:r w:rsidRPr="00E10D68">
        <w:rPr>
          <w:rFonts w:eastAsiaTheme="majorEastAsia"/>
        </w:rPr>
        <w:t xml:space="preserve">driven </w:t>
      </w:r>
      <w:r>
        <w:rPr>
          <w:rFonts w:eastAsiaTheme="majorEastAsia"/>
        </w:rPr>
        <w:t>community performance</w:t>
      </w:r>
      <w:r w:rsidRPr="00E10D68">
        <w:rPr>
          <w:rFonts w:eastAsiaTheme="majorEastAsia"/>
        </w:rPr>
        <w:t xml:space="preserve"> distributions across four community types</w:t>
      </w:r>
      <w:r w:rsidRPr="006D41A8">
        <w:rPr>
          <w:rStyle w:val="Strong"/>
          <w:b/>
          <w:bCs/>
        </w:rPr>
        <w:t>.</w:t>
      </w:r>
      <w:r>
        <w:t xml:space="preserve"> </w:t>
      </w:r>
      <w:r w:rsidRPr="006D41A8">
        <w:rPr>
          <w:b w:val="0"/>
          <w:bCs w:val="0"/>
        </w:rPr>
        <w:t>Four idealised community configurations are shown, with species thermal optima that are (a–c) widely spaced, (d–f) tightly clustered, (g–i) skewed toward cooler temperatures. In the first column, thin coloured lines show species-level thermal performance curves and thick black lines show their sum, the community performance (CP) curve. In the second column, the same species curves are evaluated over a null temperature sequence that samples the full thermal range uniformly, producing a null CP time series and its coefficient of variation, CV(CP). In the third column, the curves are evaluated over a realised temperature sequence, producing the actual CP time series and CV(CP). In the time-series panels, coloured lines and points show species-level performance, thick black lines show summed community performance, and dashed grey lines show the corresponding temperature sequence. These examples illustrate that CP variability is determined jointly by the arrangement of species response curves and by the environmental conditions the community experiences.</w:t>
      </w:r>
    </w:p>
    <w:p w14:paraId="6F434FB6" w14:textId="7872C683" w:rsidR="00553CD4" w:rsidRDefault="00F136F5" w:rsidP="00F136F5">
      <w:pPr>
        <w:pStyle w:val="Heading1"/>
      </w:pPr>
      <w:bookmarkStart w:id="5" w:name="results"/>
      <w:bookmarkEnd w:id="4"/>
      <w:r>
        <w:lastRenderedPageBreak/>
        <w:t>Results</w:t>
      </w:r>
    </w:p>
    <w:p w14:paraId="219CB568" w14:textId="77777777" w:rsidR="006245B6" w:rsidRPr="000A5E99" w:rsidRDefault="006245B6" w:rsidP="006245B6">
      <w:pPr>
        <w:pStyle w:val="Heading3"/>
      </w:pPr>
      <w:r>
        <w:t>Simulations</w:t>
      </w:r>
    </w:p>
    <w:p w14:paraId="6DAFFA28" w14:textId="61FCD7C6" w:rsidR="00624E84" w:rsidRPr="00624E84" w:rsidRDefault="00661498" w:rsidP="00624E84">
      <w:r w:rsidRPr="00661498">
        <w:t>We quantified explanatory power of the relationship between community abundance variability (</w:t>
      </w:r>
      <m:oMath>
        <m:r>
          <w:rPr>
            <w:rFonts w:ascii="Cambria Math" w:hAnsi="Cambria Math"/>
          </w:rPr>
          <m:t>CV</m:t>
        </m:r>
        <m:r>
          <m:rPr>
            <m:sty m:val="p"/>
          </m:rPr>
          <w:rPr>
            <w:rFonts w:ascii="Cambria Math" w:hAnsi="Cambria Math"/>
          </w:rPr>
          <m:t>(</m:t>
        </m:r>
        <m:sSub>
          <m:sSubPr>
            <m:ctrlPr>
              <w:rPr>
                <w:rFonts w:ascii="Cambria Math" w:hAnsi="Cambria Math"/>
              </w:rPr>
            </m:ctrlPr>
          </m:sSubPr>
          <m:e>
            <m:r>
              <w:rPr>
                <w:rFonts w:ascii="Cambria Math" w:hAnsi="Cambria Math"/>
              </w:rPr>
              <m:t>N</m:t>
            </m:r>
          </m:e>
          <m:sub>
            <m:r>
              <m:rPr>
                <m:sty m:val="p"/>
              </m:rPr>
              <w:rPr>
                <w:rFonts w:ascii="Cambria Math" w:hAnsi="Cambria Math"/>
              </w:rPr>
              <m:t>tot</m:t>
            </m:r>
          </m:sub>
        </m:sSub>
        <m:r>
          <m:rPr>
            <m:sty m:val="p"/>
          </m:rPr>
          <w:rPr>
            <w:rFonts w:ascii="Cambria Math" w:hAnsi="Cambria Math"/>
          </w:rPr>
          <m:t>)</m:t>
        </m:r>
      </m:oMath>
      <w:r w:rsidRPr="00661498">
        <w:t>) and various predictors across communities</w:t>
      </w:r>
      <w:r>
        <w:t xml:space="preserve"> using </w:t>
      </w:r>
      <w:r w:rsidR="00790A74">
        <w:t xml:space="preserve">separate </w:t>
      </w:r>
      <w:r>
        <w:t>linear models</w:t>
      </w:r>
      <w:r w:rsidRPr="00661498">
        <w:t xml:space="preserve">. </w:t>
      </w:r>
      <w:r w:rsidR="00624E84" w:rsidRPr="00624E84">
        <w:t xml:space="preserve">In the Lotka–Volterra simulations, actual </w:t>
      </w:r>
      <w:r w:rsidR="00FA48CB" w:rsidRPr="00624E84">
        <w:t>CP</w:t>
      </w:r>
      <w:r w:rsidR="00FA48CB">
        <w:t xml:space="preserve"> </w:t>
      </w:r>
      <w:r w:rsidR="00FA48CB" w:rsidRPr="00624E84">
        <w:t xml:space="preserve">variability </w:t>
      </w:r>
      <w:r w:rsidR="00FA48CB">
        <w:t>(</w:t>
      </w:r>
      <m:oMath>
        <m:r>
          <w:rPr>
            <w:rFonts w:ascii="Cambria Math" w:hAnsi="Cambria Math"/>
          </w:rPr>
          <m:t>CV</m:t>
        </m:r>
        <m:d>
          <m:dPr>
            <m:ctrlPr>
              <w:rPr>
                <w:rFonts w:ascii="Cambria Math" w:hAnsi="Cambria Math"/>
              </w:rPr>
            </m:ctrlPr>
          </m:dPr>
          <m:e>
            <m:sSub>
              <m:sSubPr>
                <m:ctrlPr>
                  <w:rPr>
                    <w:rFonts w:ascii="Cambria Math" w:hAnsi="Cambria Math"/>
                    <w:i/>
                  </w:rPr>
                </m:ctrlPr>
              </m:sSubPr>
              <m:e>
                <m:r>
                  <w:rPr>
                    <w:rFonts w:ascii="Cambria Math" w:hAnsi="Cambria Math"/>
                  </w:rPr>
                  <m:t>CP</m:t>
                </m:r>
              </m:e>
              <m:sub>
                <m:r>
                  <w:rPr>
                    <w:rFonts w:ascii="Cambria Math" w:hAnsi="Cambria Math"/>
                  </w:rPr>
                  <m:t>actual</m:t>
                </m:r>
              </m:sub>
            </m:sSub>
          </m:e>
        </m:d>
      </m:oMath>
      <w:r w:rsidR="00FA48CB">
        <w:t>)</w:t>
      </w:r>
      <w:r w:rsidR="00FA48CB" w:rsidRPr="00624E84">
        <w:t xml:space="preserve"> </w:t>
      </w:r>
      <w:r w:rsidR="00CA780B" w:rsidRPr="00624E84">
        <w:t>had</w:t>
      </w:r>
      <w:r w:rsidR="00CA780B">
        <w:t xml:space="preserve"> a</w:t>
      </w:r>
      <w:r w:rsidR="00CA780B" w:rsidRPr="00624E84">
        <w:t xml:space="preserve"> mean </w:t>
      </w:r>
      <m:oMath>
        <m:sSup>
          <m:sSupPr>
            <m:ctrlPr>
              <w:rPr>
                <w:rFonts w:ascii="Cambria Math" w:hAnsi="Cambria Math"/>
              </w:rPr>
            </m:ctrlPr>
          </m:sSupPr>
          <m:e>
            <m:r>
              <w:rPr>
                <w:rFonts w:ascii="Cambria Math" w:hAnsi="Cambria Math"/>
              </w:rPr>
              <m:t>R</m:t>
            </m:r>
          </m:e>
          <m:sup>
            <m:r>
              <w:rPr>
                <w:rFonts w:ascii="Cambria Math" w:hAnsi="Cambria Math"/>
              </w:rPr>
              <m:t>2</m:t>
            </m:r>
          </m:sup>
        </m:sSup>
      </m:oMath>
      <w:r w:rsidR="00CA780B">
        <w:t>-</w:t>
      </w:r>
      <w:r w:rsidR="00CA780B" w:rsidRPr="00624E84">
        <w:t>value of 0.8</w:t>
      </w:r>
      <w:r w:rsidR="00E71236">
        <w:t>7</w:t>
      </w:r>
      <w:r w:rsidR="00CA780B">
        <w:t xml:space="preserve"> </w:t>
      </w:r>
      <w:r w:rsidR="00624E84" w:rsidRPr="00624E84">
        <w:t xml:space="preserve">and null </w:t>
      </w:r>
      <w:r w:rsidR="00FA48CB" w:rsidRPr="00624E84">
        <w:t>CP</w:t>
      </w:r>
      <w:r w:rsidR="00FA48CB">
        <w:t xml:space="preserve"> </w:t>
      </w:r>
      <w:r w:rsidR="00FA48CB" w:rsidRPr="00624E84">
        <w:t xml:space="preserve">variability </w:t>
      </w:r>
      <w:r w:rsidR="00FA48CB">
        <w:t>(C</w:t>
      </w:r>
      <m:oMath>
        <m:r>
          <w:rPr>
            <w:rFonts w:ascii="Cambria Math" w:hAnsi="Cambria Math"/>
          </w:rPr>
          <m:t>V</m:t>
        </m:r>
        <m:d>
          <m:dPr>
            <m:ctrlPr>
              <w:rPr>
                <w:rFonts w:ascii="Cambria Math" w:hAnsi="Cambria Math"/>
              </w:rPr>
            </m:ctrlPr>
          </m:dPr>
          <m:e>
            <m:sSub>
              <m:sSubPr>
                <m:ctrlPr>
                  <w:rPr>
                    <w:rFonts w:ascii="Cambria Math" w:hAnsi="Cambria Math"/>
                    <w:i/>
                  </w:rPr>
                </m:ctrlPr>
              </m:sSubPr>
              <m:e>
                <m:r>
                  <w:rPr>
                    <w:rFonts w:ascii="Cambria Math" w:hAnsi="Cambria Math"/>
                  </w:rPr>
                  <m:t>CP</m:t>
                </m:r>
              </m:e>
              <m:sub>
                <m:r>
                  <w:rPr>
                    <w:rFonts w:ascii="Cambria Math" w:hAnsi="Cambria Math"/>
                  </w:rPr>
                  <m:t>null</m:t>
                </m:r>
              </m:sub>
            </m:sSub>
          </m:e>
        </m:d>
      </m:oMath>
      <w:r w:rsidR="00FA48CB">
        <w:t xml:space="preserve">) </w:t>
      </w:r>
      <w:r w:rsidR="00624E84" w:rsidRPr="00624E84">
        <w:t>had</w:t>
      </w:r>
      <w:r w:rsidR="00624E84">
        <w:t xml:space="preserve"> a</w:t>
      </w:r>
      <w:r w:rsidR="00624E84" w:rsidRPr="00624E84">
        <w:t xml:space="preserve"> mean </w:t>
      </w:r>
      <m:oMath>
        <m:sSup>
          <m:sSupPr>
            <m:ctrlPr>
              <w:rPr>
                <w:rFonts w:ascii="Cambria Math" w:hAnsi="Cambria Math"/>
              </w:rPr>
            </m:ctrlPr>
          </m:sSupPr>
          <m:e>
            <m:r>
              <w:rPr>
                <w:rFonts w:ascii="Cambria Math" w:hAnsi="Cambria Math"/>
              </w:rPr>
              <m:t>R</m:t>
            </m:r>
          </m:e>
          <m:sup>
            <m:r>
              <w:rPr>
                <w:rFonts w:ascii="Cambria Math" w:hAnsi="Cambria Math"/>
              </w:rPr>
              <m:t>2</m:t>
            </m:r>
          </m:sup>
        </m:sSup>
      </m:oMath>
      <w:r w:rsidR="005154DA">
        <w:t>-</w:t>
      </w:r>
      <w:r w:rsidR="00624E84" w:rsidRPr="00624E84">
        <w:t>value of 0.8</w:t>
      </w:r>
      <w:r w:rsidR="006C52D1">
        <w:t>4</w:t>
      </w:r>
      <w:r w:rsidR="00F21757">
        <w:t xml:space="preserve"> (Fig. 2a)</w:t>
      </w:r>
      <w:r w:rsidR="00624E84" w:rsidRPr="00624E84">
        <w:t xml:space="preserve">. </w:t>
      </w:r>
      <m:oMath>
        <m:sSup>
          <m:sSupPr>
            <m:ctrlPr>
              <w:rPr>
                <w:rFonts w:ascii="Cambria Math" w:hAnsi="Cambria Math"/>
              </w:rPr>
            </m:ctrlPr>
          </m:sSupPr>
          <m:e>
            <m:r>
              <w:rPr>
                <w:rFonts w:ascii="Cambria Math" w:hAnsi="Cambria Math"/>
              </w:rPr>
              <m:t>R</m:t>
            </m:r>
          </m:e>
          <m:sup>
            <m:r>
              <w:rPr>
                <w:rFonts w:ascii="Cambria Math" w:hAnsi="Cambria Math"/>
              </w:rPr>
              <m:t>2</m:t>
            </m:r>
          </m:sup>
        </m:sSup>
      </m:oMath>
      <w:r w:rsidR="005154DA">
        <w:t xml:space="preserve"> </w:t>
      </w:r>
      <w:r w:rsidR="00624E84" w:rsidRPr="00624E84">
        <w:t>declined across the interaction-strength gradient</w:t>
      </w:r>
      <w:r w:rsidR="00624E84">
        <w:t xml:space="preserve">, from 0.99 </w:t>
      </w:r>
      <w:r w:rsidR="000607B9">
        <w:t>in non-interacting communities</w:t>
      </w:r>
      <w:r w:rsidR="00624E84">
        <w:t xml:space="preserve"> to 0.7</w:t>
      </w:r>
      <w:r w:rsidR="006C0C88">
        <w:t>4</w:t>
      </w:r>
      <w:r w:rsidR="00624E84">
        <w:t xml:space="preserve"> </w:t>
      </w:r>
      <w:r w:rsidR="000607B9">
        <w:t xml:space="preserve">in communities </w:t>
      </w:r>
      <w:r w:rsidR="00624E84">
        <w:t xml:space="preserve">with </w:t>
      </w:r>
      <w:r w:rsidR="000607B9">
        <w:t xml:space="preserve">the </w:t>
      </w:r>
      <w:r w:rsidR="00624E84">
        <w:t>highest interaction strength for</w:t>
      </w:r>
      <w:r w:rsidR="00645498">
        <w:t xml:space="preserve"> </w:t>
      </w:r>
      <m:oMath>
        <m:r>
          <w:rPr>
            <w:rFonts w:ascii="Cambria Math" w:hAnsi="Cambria Math"/>
          </w:rPr>
          <m:t>CV</m:t>
        </m:r>
        <m:d>
          <m:dPr>
            <m:ctrlPr>
              <w:rPr>
                <w:rFonts w:ascii="Cambria Math" w:hAnsi="Cambria Math"/>
              </w:rPr>
            </m:ctrlPr>
          </m:dPr>
          <m:e>
            <m:sSub>
              <m:sSubPr>
                <m:ctrlPr>
                  <w:rPr>
                    <w:rFonts w:ascii="Cambria Math" w:hAnsi="Cambria Math"/>
                    <w:i/>
                  </w:rPr>
                </m:ctrlPr>
              </m:sSubPr>
              <m:e>
                <m:r>
                  <w:rPr>
                    <w:rFonts w:ascii="Cambria Math" w:hAnsi="Cambria Math"/>
                  </w:rPr>
                  <m:t>CP</m:t>
                </m:r>
              </m:e>
              <m:sub>
                <m:r>
                  <w:rPr>
                    <w:rFonts w:ascii="Cambria Math" w:hAnsi="Cambria Math"/>
                  </w:rPr>
                  <m:t>actual</m:t>
                </m:r>
              </m:sub>
            </m:sSub>
          </m:e>
        </m:d>
      </m:oMath>
      <w:r w:rsidR="00624E84">
        <w:t>; and from 0.9</w:t>
      </w:r>
      <w:r w:rsidR="00906659">
        <w:t>3</w:t>
      </w:r>
      <w:r w:rsidR="00624E84">
        <w:t xml:space="preserve"> to 0.7</w:t>
      </w:r>
      <w:r w:rsidR="00711110">
        <w:t>3</w:t>
      </w:r>
      <w:r w:rsidR="00624E84">
        <w:t xml:space="preserve"> for </w:t>
      </w:r>
      <m:oMath>
        <m:r>
          <w:rPr>
            <w:rFonts w:ascii="Cambria Math" w:hAnsi="Cambria Math"/>
          </w:rPr>
          <m:t>CV</m:t>
        </m:r>
        <m:d>
          <m:dPr>
            <m:ctrlPr>
              <w:rPr>
                <w:rFonts w:ascii="Cambria Math" w:hAnsi="Cambria Math"/>
              </w:rPr>
            </m:ctrlPr>
          </m:dPr>
          <m:e>
            <m:sSub>
              <m:sSubPr>
                <m:ctrlPr>
                  <w:rPr>
                    <w:rFonts w:ascii="Cambria Math" w:hAnsi="Cambria Math"/>
                    <w:i/>
                  </w:rPr>
                </m:ctrlPr>
              </m:sSubPr>
              <m:e>
                <m:r>
                  <w:rPr>
                    <w:rFonts w:ascii="Cambria Math" w:hAnsi="Cambria Math"/>
                  </w:rPr>
                  <m:t>CP</m:t>
                </m:r>
              </m:e>
              <m:sub>
                <m:r>
                  <w:rPr>
                    <w:rFonts w:ascii="Cambria Math" w:hAnsi="Cambria Math"/>
                  </w:rPr>
                  <m:t>null</m:t>
                </m:r>
              </m:sub>
            </m:sSub>
          </m:e>
        </m:d>
      </m:oMath>
      <w:r w:rsidR="00624E84" w:rsidRPr="00624E84">
        <w:t xml:space="preserve">. The trait-summary model had a </w:t>
      </w:r>
      <w:r w:rsidR="00624E84">
        <w:t>mean</w:t>
      </w:r>
      <w:r w:rsidR="00624E84" w:rsidRPr="00624E84">
        <w:t xml:space="preserve"> </w:t>
      </w:r>
      <m:oMath>
        <m:sSup>
          <m:sSupPr>
            <m:ctrlPr>
              <w:rPr>
                <w:rFonts w:ascii="Cambria Math" w:hAnsi="Cambria Math"/>
              </w:rPr>
            </m:ctrlPr>
          </m:sSupPr>
          <m:e>
            <m:r>
              <w:rPr>
                <w:rFonts w:ascii="Cambria Math" w:hAnsi="Cambria Math"/>
              </w:rPr>
              <m:t>R</m:t>
            </m:r>
          </m:e>
          <m:sup>
            <m:r>
              <w:rPr>
                <w:rFonts w:ascii="Cambria Math" w:hAnsi="Cambria Math"/>
              </w:rPr>
              <m:t>2</m:t>
            </m:r>
          </m:sup>
        </m:sSup>
      </m:oMath>
      <w:r w:rsidR="00624E84" w:rsidRPr="00624E84">
        <w:t>of 0.1</w:t>
      </w:r>
      <w:r w:rsidR="006C52D1">
        <w:t>2</w:t>
      </w:r>
      <w:r w:rsidR="00624E84" w:rsidRPr="00624E84">
        <w:t xml:space="preserve"> (Fig. </w:t>
      </w:r>
      <w:r w:rsidR="00F136F5">
        <w:t>2</w:t>
      </w:r>
      <w:r w:rsidR="00624E84" w:rsidRPr="00624E84">
        <w:t>a)</w:t>
      </w:r>
      <w:r w:rsidR="005F3FF6">
        <w:t xml:space="preserve"> </w:t>
      </w:r>
      <w:r w:rsidR="00852F39">
        <w:t>and</w:t>
      </w:r>
      <w:r w:rsidR="008F255B">
        <w:t xml:space="preserve"> remained consta</w:t>
      </w:r>
      <w:r w:rsidR="00530F14">
        <w:t>n</w:t>
      </w:r>
      <w:r w:rsidR="008F255B">
        <w:t xml:space="preserve">t </w:t>
      </w:r>
      <w:r w:rsidR="00140077">
        <w:t>across the interaction strength gradient</w:t>
      </w:r>
      <w:r w:rsidR="005E4197">
        <w:t xml:space="preserve"> (highest 0.1</w:t>
      </w:r>
      <w:r w:rsidR="00BE0CA3">
        <w:t>5</w:t>
      </w:r>
      <w:r w:rsidR="005E4197">
        <w:t>, lowest 0.1</w:t>
      </w:r>
      <w:r w:rsidR="00906659">
        <w:t>3</w:t>
      </w:r>
      <w:r w:rsidR="005E4197">
        <w:t xml:space="preserve">, Fig. </w:t>
      </w:r>
      <w:r w:rsidR="00F136F5">
        <w:t>2</w:t>
      </w:r>
      <w:r w:rsidR="005E4197">
        <w:t>a)</w:t>
      </w:r>
      <w:r w:rsidR="00624E84" w:rsidRPr="00624E84">
        <w:t>.</w:t>
      </w:r>
    </w:p>
    <w:p w14:paraId="131CB457" w14:textId="42D46C00" w:rsidR="00624E84" w:rsidRPr="00624E84" w:rsidRDefault="00624E84" w:rsidP="00624E84">
      <w:r w:rsidRPr="00624E84">
        <w:t xml:space="preserve">In the consumer–resource simulations, viability </w:t>
      </w:r>
      <m:oMath>
        <m:r>
          <w:rPr>
            <w:rFonts w:ascii="Cambria Math" w:hAnsi="Cambria Math"/>
          </w:rPr>
          <m:t>CV</m:t>
        </m:r>
        <m:d>
          <m:dPr>
            <m:ctrlPr>
              <w:rPr>
                <w:rFonts w:ascii="Cambria Math" w:hAnsi="Cambria Math"/>
              </w:rPr>
            </m:ctrlPr>
          </m:dPr>
          <m:e>
            <m:sSub>
              <m:sSubPr>
                <m:ctrlPr>
                  <w:rPr>
                    <w:rFonts w:ascii="Cambria Math" w:hAnsi="Cambria Math"/>
                    <w:i/>
                  </w:rPr>
                </m:ctrlPr>
              </m:sSubPr>
              <m:e>
                <m:r>
                  <w:rPr>
                    <w:rFonts w:ascii="Cambria Math" w:hAnsi="Cambria Math"/>
                  </w:rPr>
                  <m:t>CP</m:t>
                </m:r>
              </m:e>
              <m:sub>
                <m:r>
                  <w:rPr>
                    <w:rFonts w:ascii="Cambria Math" w:hAnsi="Cambria Math"/>
                  </w:rPr>
                  <m:t>actual</m:t>
                </m:r>
              </m:sub>
            </m:sSub>
          </m:e>
        </m:d>
      </m:oMath>
      <w:r w:rsidR="00F542AB">
        <w:t xml:space="preserve"> </w:t>
      </w:r>
      <w:r w:rsidRPr="00624E84">
        <w:t xml:space="preserve">had a mean </w:t>
      </w:r>
      <m:oMath>
        <m:sSup>
          <m:sSupPr>
            <m:ctrlPr>
              <w:rPr>
                <w:rFonts w:ascii="Cambria Math" w:hAnsi="Cambria Math"/>
              </w:rPr>
            </m:ctrlPr>
          </m:sSupPr>
          <m:e>
            <m:r>
              <w:rPr>
                <w:rFonts w:ascii="Cambria Math" w:hAnsi="Cambria Math"/>
              </w:rPr>
              <m:t>R</m:t>
            </m:r>
          </m:e>
          <m:sup>
            <m:r>
              <w:rPr>
                <w:rFonts w:ascii="Cambria Math" w:hAnsi="Cambria Math"/>
              </w:rPr>
              <m:t>2</m:t>
            </m:r>
          </m:sup>
        </m:sSup>
      </m:oMath>
      <w:r w:rsidR="00533E0F">
        <w:t xml:space="preserve"> </w:t>
      </w:r>
      <w:r w:rsidRPr="00624E84">
        <w:t>of 0.9</w:t>
      </w:r>
      <w:r w:rsidR="00D13EF9">
        <w:t>6</w:t>
      </w:r>
      <w:r w:rsidRPr="00624E84">
        <w:t xml:space="preserve"> </w:t>
      </w:r>
      <w:r w:rsidR="00AD4286">
        <w:t xml:space="preserve">for models predicting </w:t>
      </w:r>
      <m:oMath>
        <m:r>
          <w:rPr>
            <w:rFonts w:ascii="Cambria Math" w:hAnsi="Cambria Math"/>
          </w:rPr>
          <m:t>CV</m:t>
        </m:r>
        <m:r>
          <m:rPr>
            <m:sty m:val="p"/>
          </m:rPr>
          <w:rPr>
            <w:rFonts w:ascii="Cambria Math" w:hAnsi="Cambria Math"/>
          </w:rPr>
          <m:t>(</m:t>
        </m:r>
        <m:sSub>
          <m:sSubPr>
            <m:ctrlPr>
              <w:rPr>
                <w:rFonts w:ascii="Cambria Math" w:hAnsi="Cambria Math"/>
              </w:rPr>
            </m:ctrlPr>
          </m:sSubPr>
          <m:e>
            <m:r>
              <w:rPr>
                <w:rFonts w:ascii="Cambria Math" w:hAnsi="Cambria Math"/>
              </w:rPr>
              <m:t>N</m:t>
            </m:r>
          </m:e>
          <m:sub>
            <m:r>
              <m:rPr>
                <m:sty m:val="p"/>
              </m:rPr>
              <w:rPr>
                <w:rFonts w:ascii="Cambria Math" w:hAnsi="Cambria Math"/>
              </w:rPr>
              <m:t>tot</m:t>
            </m:r>
          </m:sub>
        </m:sSub>
        <m:r>
          <m:rPr>
            <m:sty m:val="p"/>
          </m:rPr>
          <w:rPr>
            <w:rFonts w:ascii="Cambria Math" w:hAnsi="Cambria Math"/>
          </w:rPr>
          <m:t>)</m:t>
        </m:r>
      </m:oMath>
      <w:r w:rsidR="00AD4286">
        <w:t xml:space="preserve"> across the resource-sharing gradient</w:t>
      </w:r>
      <w:r w:rsidR="008B5351">
        <w:t>, and the</w:t>
      </w:r>
      <w:r w:rsidR="00C05C83" w:rsidRPr="00C05C83">
        <w:rPr>
          <w:rFonts w:ascii="Cambria Math" w:hAnsi="Cambria Math"/>
        </w:rPr>
        <w:t xml:space="preserve"> </w:t>
      </w:r>
      <m:oMath>
        <m:sSup>
          <m:sSupPr>
            <m:ctrlPr>
              <w:rPr>
                <w:rFonts w:ascii="Cambria Math" w:hAnsi="Cambria Math"/>
              </w:rPr>
            </m:ctrlPr>
          </m:sSupPr>
          <m:e>
            <m:r>
              <w:rPr>
                <w:rFonts w:ascii="Cambria Math" w:hAnsi="Cambria Math"/>
              </w:rPr>
              <m:t>R</m:t>
            </m:r>
          </m:e>
          <m:sup>
            <m:r>
              <w:rPr>
                <w:rFonts w:ascii="Cambria Math" w:hAnsi="Cambria Math"/>
              </w:rPr>
              <m:t>2</m:t>
            </m:r>
          </m:sup>
        </m:sSup>
      </m:oMath>
      <w:r w:rsidR="00C05C83">
        <w:rPr>
          <w:rFonts w:ascii="Cambria Math" w:hAnsi="Cambria Math"/>
        </w:rPr>
        <w:t xml:space="preserve"> </w:t>
      </w:r>
      <w:r w:rsidR="00C05C83" w:rsidRPr="00685E3E">
        <w:t xml:space="preserve">did not </w:t>
      </w:r>
      <w:r w:rsidR="00685E3E" w:rsidRPr="00685E3E">
        <w:t>decline across the interaction strength gradient.</w:t>
      </w:r>
      <w:r w:rsidRPr="00624E84">
        <w:t xml:space="preserve"> Mean </w:t>
      </w:r>
      <m:oMath>
        <m:sSup>
          <m:sSupPr>
            <m:ctrlPr>
              <w:rPr>
                <w:rFonts w:ascii="Cambria Math" w:hAnsi="Cambria Math"/>
              </w:rPr>
            </m:ctrlPr>
          </m:sSupPr>
          <m:e>
            <m:r>
              <w:rPr>
                <w:rFonts w:ascii="Cambria Math" w:hAnsi="Cambria Math"/>
              </w:rPr>
              <m:t>R</m:t>
            </m:r>
          </m:e>
          <m:sup>
            <m:r>
              <w:rPr>
                <w:rFonts w:ascii="Cambria Math" w:hAnsi="Cambria Math"/>
              </w:rPr>
              <m:t>2</m:t>
            </m:r>
          </m:sup>
        </m:sSup>
      </m:oMath>
      <w:r w:rsidR="00533E0F">
        <w:t>-</w:t>
      </w:r>
      <w:r w:rsidRPr="00624E84">
        <w:t>values were 0.</w:t>
      </w:r>
      <w:r w:rsidR="00410B33">
        <w:t>78</w:t>
      </w:r>
      <w:r w:rsidRPr="00624E84">
        <w:t xml:space="preserve"> for viability </w:t>
      </w:r>
      <m:oMath>
        <m:r>
          <w:rPr>
            <w:rFonts w:ascii="Cambria Math" w:hAnsi="Cambria Math"/>
          </w:rPr>
          <m:t>CV</m:t>
        </m:r>
        <m:d>
          <m:dPr>
            <m:ctrlPr>
              <w:rPr>
                <w:rFonts w:ascii="Cambria Math" w:hAnsi="Cambria Math"/>
              </w:rPr>
            </m:ctrlPr>
          </m:dPr>
          <m:e>
            <m:sSub>
              <m:sSubPr>
                <m:ctrlPr>
                  <w:rPr>
                    <w:rFonts w:ascii="Cambria Math" w:hAnsi="Cambria Math"/>
                    <w:i/>
                  </w:rPr>
                </m:ctrlPr>
              </m:sSubPr>
              <m:e>
                <m:r>
                  <w:rPr>
                    <w:rFonts w:ascii="Cambria Math" w:hAnsi="Cambria Math"/>
                  </w:rPr>
                  <m:t>CP</m:t>
                </m:r>
              </m:e>
              <m:sub>
                <m:r>
                  <w:rPr>
                    <w:rFonts w:ascii="Cambria Math" w:hAnsi="Cambria Math"/>
                  </w:rPr>
                  <m:t>null</m:t>
                </m:r>
              </m:sub>
            </m:sSub>
          </m:e>
        </m:d>
      </m:oMath>
      <w:r w:rsidR="00F03940">
        <w:t xml:space="preserve"> </w:t>
      </w:r>
      <w:r w:rsidRPr="00624E84">
        <w:t>and 0.</w:t>
      </w:r>
      <w:r w:rsidR="00D13EF9">
        <w:t>12</w:t>
      </w:r>
      <w:r w:rsidRPr="00624E84">
        <w:t xml:space="preserve"> for the trait-summary model (Fig. </w:t>
      </w:r>
      <w:r w:rsidR="00F136F5">
        <w:t>2</w:t>
      </w:r>
      <w:r w:rsidRPr="00624E84">
        <w:t xml:space="preserve">a). </w:t>
      </w:r>
    </w:p>
    <w:p w14:paraId="4F3F1EFC" w14:textId="1F041D4C" w:rsidR="00624E84" w:rsidRPr="00624E84" w:rsidRDefault="00D2179A" w:rsidP="00624E84">
      <w:r>
        <w:t>T</w:t>
      </w:r>
      <w:r w:rsidR="00A55153">
        <w:t xml:space="preserve">he relationship between </w:t>
      </w:r>
      <m:oMath>
        <m:r>
          <w:rPr>
            <w:rFonts w:ascii="Cambria Math" w:hAnsi="Cambria Math"/>
          </w:rPr>
          <m:t>CV</m:t>
        </m:r>
        <m:d>
          <m:dPr>
            <m:ctrlPr>
              <w:rPr>
                <w:rFonts w:ascii="Cambria Math" w:hAnsi="Cambria Math"/>
              </w:rPr>
            </m:ctrlPr>
          </m:dPr>
          <m:e>
            <m:sSub>
              <m:sSubPr>
                <m:ctrlPr>
                  <w:rPr>
                    <w:rFonts w:ascii="Cambria Math" w:hAnsi="Cambria Math"/>
                    <w:i/>
                  </w:rPr>
                </m:ctrlPr>
              </m:sSubPr>
              <m:e>
                <m:r>
                  <w:rPr>
                    <w:rFonts w:ascii="Cambria Math" w:hAnsi="Cambria Math"/>
                  </w:rPr>
                  <m:t>CP</m:t>
                </m:r>
              </m:e>
              <m:sub>
                <m:r>
                  <w:rPr>
                    <w:rFonts w:ascii="Cambria Math" w:hAnsi="Cambria Math"/>
                  </w:rPr>
                  <m:t>actual</m:t>
                </m:r>
              </m:sub>
            </m:sSub>
          </m:e>
        </m:d>
      </m:oMath>
      <w:r w:rsidR="00A55153">
        <w:t xml:space="preserve"> and </w:t>
      </w:r>
      <m:oMath>
        <m:r>
          <w:rPr>
            <w:rFonts w:ascii="Cambria Math" w:hAnsi="Cambria Math"/>
          </w:rPr>
          <m:t>CV</m:t>
        </m:r>
        <m:r>
          <m:rPr>
            <m:sty m:val="p"/>
          </m:rPr>
          <w:rPr>
            <w:rFonts w:ascii="Cambria Math" w:hAnsi="Cambria Math"/>
          </w:rPr>
          <m:t>(</m:t>
        </m:r>
        <m:sSub>
          <m:sSubPr>
            <m:ctrlPr>
              <w:rPr>
                <w:rFonts w:ascii="Cambria Math" w:hAnsi="Cambria Math"/>
              </w:rPr>
            </m:ctrlPr>
          </m:sSubPr>
          <m:e>
            <m:r>
              <w:rPr>
                <w:rFonts w:ascii="Cambria Math" w:hAnsi="Cambria Math"/>
              </w:rPr>
              <m:t>N</m:t>
            </m:r>
          </m:e>
          <m:sub>
            <m:r>
              <m:rPr>
                <m:sty m:val="p"/>
              </m:rPr>
              <w:rPr>
                <w:rFonts w:ascii="Cambria Math" w:hAnsi="Cambria Math"/>
              </w:rPr>
              <m:t>tot</m:t>
            </m:r>
          </m:sub>
        </m:sSub>
        <m:r>
          <m:rPr>
            <m:sty m:val="p"/>
          </m:rPr>
          <w:rPr>
            <w:rFonts w:ascii="Cambria Math" w:hAnsi="Cambria Math"/>
          </w:rPr>
          <m:t>)</m:t>
        </m:r>
      </m:oMath>
      <w:r w:rsidR="00A55153">
        <w:t xml:space="preserve"> also remained strong across random subsets of the simulation data (Fig. </w:t>
      </w:r>
      <w:r w:rsidR="00F136F5">
        <w:t>2</w:t>
      </w:r>
      <w:r w:rsidR="00A55153">
        <w:t>b)</w:t>
      </w:r>
      <w:r w:rsidR="00A55153" w:rsidRPr="00624E84">
        <w:t xml:space="preserve">. </w:t>
      </w:r>
      <w:r w:rsidR="004761A2">
        <w:t xml:space="preserve">In a random </w:t>
      </w:r>
      <w:r w:rsidR="00685E3E">
        <w:t>forest-based</w:t>
      </w:r>
      <w:r w:rsidR="004761A2">
        <w:t xml:space="preserve"> analysis of variable importance, </w:t>
      </w:r>
      <m:oMath>
        <m:r>
          <w:rPr>
            <w:rFonts w:ascii="Cambria Math" w:hAnsi="Cambria Math"/>
          </w:rPr>
          <m:t>CV</m:t>
        </m:r>
        <m:d>
          <m:dPr>
            <m:ctrlPr>
              <w:rPr>
                <w:rFonts w:ascii="Cambria Math" w:hAnsi="Cambria Math"/>
              </w:rPr>
            </m:ctrlPr>
          </m:dPr>
          <m:e>
            <m:sSub>
              <m:sSubPr>
                <m:ctrlPr>
                  <w:rPr>
                    <w:rFonts w:ascii="Cambria Math" w:hAnsi="Cambria Math"/>
                    <w:i/>
                  </w:rPr>
                </m:ctrlPr>
              </m:sSubPr>
              <m:e>
                <m:r>
                  <w:rPr>
                    <w:rFonts w:ascii="Cambria Math" w:hAnsi="Cambria Math"/>
                  </w:rPr>
                  <m:t>CP</m:t>
                </m:r>
              </m:e>
              <m:sub>
                <m:r>
                  <w:rPr>
                    <w:rFonts w:ascii="Cambria Math" w:hAnsi="Cambria Math"/>
                  </w:rPr>
                  <m:t>actual</m:t>
                </m:r>
              </m:sub>
            </m:sSub>
          </m:e>
        </m:d>
      </m:oMath>
      <w:r w:rsidR="00D72F64">
        <w:t xml:space="preserve"> </w:t>
      </w:r>
      <w:r w:rsidR="00624E84" w:rsidRPr="00624E84">
        <w:t xml:space="preserve">had the highest scaled permutation importance in all four runs after including </w:t>
      </w:r>
      <m:oMath>
        <m:r>
          <w:rPr>
            <w:rFonts w:ascii="Cambria Math" w:hAnsi="Cambria Math"/>
          </w:rPr>
          <m:t>CV</m:t>
        </m:r>
        <m:d>
          <m:dPr>
            <m:ctrlPr>
              <w:rPr>
                <w:rFonts w:ascii="Cambria Math" w:hAnsi="Cambria Math"/>
              </w:rPr>
            </m:ctrlPr>
          </m:dPr>
          <m:e>
            <m:sSub>
              <m:sSubPr>
                <m:ctrlPr>
                  <w:rPr>
                    <w:rFonts w:ascii="Cambria Math" w:hAnsi="Cambria Math"/>
                    <w:i/>
                  </w:rPr>
                </m:ctrlPr>
              </m:sSubPr>
              <m:e>
                <m:r>
                  <w:rPr>
                    <w:rFonts w:ascii="Cambria Math" w:hAnsi="Cambria Math"/>
                  </w:rPr>
                  <m:t>CP</m:t>
                </m:r>
              </m:e>
              <m:sub>
                <m:r>
                  <w:rPr>
                    <w:rFonts w:ascii="Cambria Math" w:hAnsi="Cambria Math"/>
                  </w:rPr>
                  <m:t>null</m:t>
                </m:r>
              </m:sub>
            </m:sSub>
          </m:e>
        </m:d>
      </m:oMath>
      <w:r w:rsidR="00624E84" w:rsidRPr="00624E84">
        <w:t xml:space="preserve">, trait summaries, richness, and interaction strength or resource sharing as predictors (Fig. </w:t>
      </w:r>
      <w:r w:rsidR="00F136F5">
        <w:t>2</w:t>
      </w:r>
      <w:r w:rsidR="00624E84" w:rsidRPr="00624E84">
        <w:t xml:space="preserve">c). Out-of-bag </w:t>
      </w:r>
      <m:oMath>
        <m:sSup>
          <m:sSupPr>
            <m:ctrlPr>
              <w:rPr>
                <w:rFonts w:ascii="Cambria Math" w:hAnsi="Cambria Math"/>
              </w:rPr>
            </m:ctrlPr>
          </m:sSupPr>
          <m:e>
            <m:r>
              <w:rPr>
                <w:rFonts w:ascii="Cambria Math" w:hAnsi="Cambria Math"/>
              </w:rPr>
              <m:t>R</m:t>
            </m:r>
          </m:e>
          <m:sup>
            <m:r>
              <w:rPr>
                <w:rFonts w:ascii="Cambria Math" w:hAnsi="Cambria Math"/>
              </w:rPr>
              <m:t>2</m:t>
            </m:r>
          </m:sup>
        </m:sSup>
      </m:oMath>
      <w:r w:rsidR="00533E0F">
        <w:t>-</w:t>
      </w:r>
      <w:r w:rsidR="00624E84" w:rsidRPr="00624E84">
        <w:t>values were 0.95 and 0.942 for the two Lotka–Volterra runs and 0.9</w:t>
      </w:r>
      <w:r w:rsidR="00536E6A">
        <w:t>6</w:t>
      </w:r>
      <w:r w:rsidR="00624E84" w:rsidRPr="00624E84">
        <w:t xml:space="preserve"> for the two consumer–resource runs (Fig. </w:t>
      </w:r>
      <w:r w:rsidR="00F136F5">
        <w:t>2</w:t>
      </w:r>
      <w:r w:rsidR="00624E84" w:rsidRPr="00624E84">
        <w:t>d).</w:t>
      </w:r>
    </w:p>
    <w:p w14:paraId="439477EC" w14:textId="2BB393BD" w:rsidR="00624E84" w:rsidRDefault="00624E84" w:rsidP="00624E84">
      <w:r w:rsidRPr="00624E84">
        <w:t xml:space="preserve">In the Lotka–Volterra simulations, the relationship between synchrony predicted from thermal performance and synchrony </w:t>
      </w:r>
      <w:r w:rsidR="00EA3D3D">
        <w:t xml:space="preserve">of abundance </w:t>
      </w:r>
      <w:r w:rsidRPr="00624E84">
        <w:t xml:space="preserve">declined from </w:t>
      </w: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=0.99</m:t>
        </m:r>
      </m:oMath>
      <w:r>
        <w:t xml:space="preserve"> </w:t>
      </w:r>
      <w:r w:rsidRPr="00624E84">
        <w:t xml:space="preserve">in the absence of interspecific interactions to </w:t>
      </w: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=0.066</m:t>
        </m:r>
      </m:oMath>
      <w:r>
        <w:t xml:space="preserve"> </w:t>
      </w:r>
      <w:r w:rsidRPr="00624E84">
        <w:t xml:space="preserve">at </w:t>
      </w:r>
      <w:r w:rsidR="000607B9">
        <w:t xml:space="preserve">the highest </w:t>
      </w:r>
      <w:r w:rsidRPr="00624E84">
        <w:t>interaction strength</w:t>
      </w:r>
      <w:r w:rsidR="00A55153">
        <w:t xml:space="preserve"> (</w:t>
      </w:r>
      <w:r w:rsidR="00AB67E6">
        <w:t xml:space="preserve">Fig. 4 a, and </w:t>
      </w:r>
      <w:r w:rsidR="00A55153">
        <w:t xml:space="preserve">Supplementary Information </w:t>
      </w:r>
      <w:r w:rsidR="00685E3E">
        <w:t>2</w:t>
      </w:r>
      <w:r w:rsidR="00A55153">
        <w:t>, Figure S10a and b; Table S4)</w:t>
      </w:r>
      <w:r w:rsidRPr="00624E84">
        <w:t xml:space="preserve">. In the consumer–resource model, the corresponding </w:t>
      </w:r>
      <m:oMath>
        <m:sSup>
          <m:sSupPr>
            <m:ctrlPr>
              <w:rPr>
                <w:rFonts w:ascii="Cambria Math" w:hAnsi="Cambria Math"/>
              </w:rPr>
            </m:ctrlPr>
          </m:sSupPr>
          <m:e>
            <m:r>
              <w:rPr>
                <w:rFonts w:ascii="Cambria Math" w:hAnsi="Cambria Math"/>
              </w:rPr>
              <m:t>R</m:t>
            </m:r>
          </m:e>
          <m:sup>
            <m:r>
              <w:rPr>
                <w:rFonts w:ascii="Cambria Math" w:hAnsi="Cambria Math"/>
              </w:rPr>
              <m:t>2</m:t>
            </m:r>
          </m:sup>
        </m:sSup>
      </m:oMath>
      <w:r w:rsidR="00530F14">
        <w:t xml:space="preserve"> </w:t>
      </w:r>
      <w:r w:rsidRPr="00624E84">
        <w:t>declined from 0.</w:t>
      </w:r>
      <w:r w:rsidR="00FF6159">
        <w:t>67</w:t>
      </w:r>
      <w:r w:rsidRPr="00624E84">
        <w:t xml:space="preserve"> with entirely private resource use to 0.</w:t>
      </w:r>
      <w:r w:rsidR="00C45A53">
        <w:t>1</w:t>
      </w:r>
      <w:r w:rsidR="00FF6159">
        <w:t>4</w:t>
      </w:r>
      <w:r w:rsidRPr="00624E84">
        <w:t xml:space="preserve"> with fully shared resource use </w:t>
      </w:r>
      <w:r w:rsidR="00A55153">
        <w:t>(</w:t>
      </w:r>
      <w:r w:rsidR="00AB67E6">
        <w:t xml:space="preserve">Fig. 4 b, and </w:t>
      </w:r>
      <w:r w:rsidR="00A55153">
        <w:t xml:space="preserve">Supplementary Information </w:t>
      </w:r>
      <w:r w:rsidR="00685E3E">
        <w:t>2</w:t>
      </w:r>
      <w:r w:rsidR="00A55153">
        <w:t>, Figure S10c and d; Table S4)</w:t>
      </w:r>
      <w:r w:rsidRPr="00624E84">
        <w:t>.</w:t>
      </w:r>
    </w:p>
    <w:p w14:paraId="598BD44C" w14:textId="77777777" w:rsidR="00C323A0" w:rsidRPr="00624E84" w:rsidRDefault="00C323A0" w:rsidP="00C323A0">
      <w:r>
        <w:t xml:space="preserve">Derivation of the expected community variability – CP variability relationship for the Lotka-Volterra case explains this high explanatory power despite interaction effects (Supplementary Information 4). When species persist and abundances track the temperature-dependent quasi-equilibrium, variation in CP is expected to approximate a weighted combination of variation in total biomass and weighted species-level abundance variation. The weight </w:t>
      </w:r>
      <w:r w:rsidRPr="007B5724">
        <w:rPr>
          <w:i/>
          <w:iCs/>
        </w:rPr>
        <w:t>p</w:t>
      </w:r>
      <w:r>
        <w:t xml:space="preserve"> depends on the interaction matrix: when the average interaction structure dominates pair-specific heterogeneity, </w:t>
      </w:r>
      <w:r w:rsidRPr="007B5724">
        <w:rPr>
          <w:i/>
          <w:iCs/>
        </w:rPr>
        <w:t>p</w:t>
      </w:r>
      <w:r>
        <w:t xml:space="preserve"> is close to one and </w:t>
      </w:r>
      <m:oMath>
        <m:r>
          <w:rPr>
            <w:rFonts w:ascii="Cambria Math" w:hAnsi="Cambria Math"/>
          </w:rPr>
          <m:t>CV</m:t>
        </m:r>
        <m:d>
          <m:dPr>
            <m:ctrlPr>
              <w:rPr>
                <w:rFonts w:ascii="Cambria Math" w:hAnsi="Cambria Math"/>
              </w:rPr>
            </m:ctrlPr>
          </m:dPr>
          <m:e>
            <m:sSub>
              <m:sSubPr>
                <m:ctrlPr>
                  <w:rPr>
                    <w:rFonts w:ascii="Cambria Math" w:hAnsi="Cambria Math"/>
                    <w:i/>
                  </w:rPr>
                </m:ctrlPr>
              </m:sSubPr>
              <m:e>
                <m:r>
                  <w:rPr>
                    <w:rFonts w:ascii="Cambria Math" w:hAnsi="Cambria Math"/>
                  </w:rPr>
                  <m:t>CP</m:t>
                </m:r>
              </m:e>
              <m:sub>
                <m:r>
                  <w:rPr>
                    <w:rFonts w:ascii="Cambria Math" w:hAnsi="Cambria Math"/>
                  </w:rPr>
                  <m:t>actual</m:t>
                </m:r>
              </m:sub>
            </m:sSub>
          </m:e>
        </m:d>
      </m:oMath>
      <w:r>
        <w:t xml:space="preserve">  should closely track </w:t>
      </w:r>
      <m:oMath>
        <m:r>
          <w:rPr>
            <w:rFonts w:ascii="Cambria Math" w:hAnsi="Cambria Math"/>
          </w:rPr>
          <m:t>CV</m:t>
        </m:r>
        <m:r>
          <m:rPr>
            <m:sty m:val="p"/>
          </m:rPr>
          <w:rPr>
            <w:rFonts w:ascii="Cambria Math" w:hAnsi="Cambria Math"/>
          </w:rPr>
          <m:t>(</m:t>
        </m:r>
        <m:sSub>
          <m:sSubPr>
            <m:ctrlPr>
              <w:rPr>
                <w:rFonts w:ascii="Cambria Math" w:hAnsi="Cambria Math"/>
              </w:rPr>
            </m:ctrlPr>
          </m:sSubPr>
          <m:e>
            <m:r>
              <w:rPr>
                <w:rFonts w:ascii="Cambria Math" w:hAnsi="Cambria Math"/>
              </w:rPr>
              <m:t>N</m:t>
            </m:r>
          </m:e>
          <m:sub>
            <m:r>
              <m:rPr>
                <m:sty m:val="p"/>
              </m:rPr>
              <w:rPr>
                <w:rFonts w:ascii="Cambria Math" w:hAnsi="Cambria Math"/>
              </w:rPr>
              <m:t>tot</m:t>
            </m:r>
          </m:sub>
        </m:sSub>
        <m:r>
          <m:rPr>
            <m:sty m:val="p"/>
          </m:rPr>
          <w:rPr>
            <w:rFonts w:ascii="Cambria Math" w:hAnsi="Cambria Math"/>
          </w:rPr>
          <m:t>)</m:t>
        </m:r>
      </m:oMath>
      <w:r>
        <w:t xml:space="preserve">. Calculating </w:t>
      </w:r>
      <w:r w:rsidRPr="007B5724">
        <w:rPr>
          <w:i/>
          <w:iCs/>
        </w:rPr>
        <w:t>p</w:t>
      </w:r>
      <w:r>
        <w:t xml:space="preserve"> for the two Lotka-Volterra experiments showed that realised values were generally high across interaction treatments (median </w:t>
      </w:r>
      <w:r w:rsidRPr="007B5724">
        <w:rPr>
          <w:i/>
          <w:iCs/>
        </w:rPr>
        <w:t>p</w:t>
      </w:r>
      <w:r>
        <w:t xml:space="preserve"> &gt; 0.9), indicating that these simulated communities mostly fall in the regime where CP is expected to remain a strong predictor of biomass stability despite strong interspecific competition.</w:t>
      </w:r>
    </w:p>
    <w:p w14:paraId="5660A09F" w14:textId="3B787F42" w:rsidR="00C323A0" w:rsidRPr="00624E84" w:rsidRDefault="009C7C1D" w:rsidP="00624E84">
      <w:r>
        <w:rPr>
          <w:noProof/>
        </w:rPr>
        <w:lastRenderedPageBreak/>
        <w:drawing>
          <wp:inline distT="0" distB="0" distL="0" distR="0" wp14:anchorId="18B6DF2B" wp14:editId="6AE36E35">
            <wp:extent cx="6126480" cy="4288790"/>
            <wp:effectExtent l="0" t="0" r="0" b="3810"/>
            <wp:docPr id="15194974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497492" name="Picture 1519497492"/>
                    <pic:cNvPicPr/>
                  </pic:nvPicPr>
                  <pic:blipFill>
                    <a:blip r:embed="rId12"/>
                    <a:stretch>
                      <a:fillRect/>
                    </a:stretch>
                  </pic:blipFill>
                  <pic:spPr>
                    <a:xfrm>
                      <a:off x="0" y="0"/>
                      <a:ext cx="6126480" cy="4288790"/>
                    </a:xfrm>
                    <a:prstGeom prst="rect">
                      <a:avLst/>
                    </a:prstGeom>
                  </pic:spPr>
                </pic:pic>
              </a:graphicData>
            </a:graphic>
          </wp:inline>
        </w:drawing>
      </w:r>
    </w:p>
    <w:p w14:paraId="4BF91DA8" w14:textId="625BD544" w:rsidR="00991EEB" w:rsidRDefault="00991EEB" w:rsidP="004D14CE">
      <w:pPr>
        <w:pStyle w:val="BodyText"/>
        <w:keepNext/>
        <w:jc w:val="center"/>
      </w:pPr>
    </w:p>
    <w:p w14:paraId="2EF3824F" w14:textId="3772D2CC" w:rsidR="007A112B" w:rsidRPr="00A55153" w:rsidRDefault="007A112B" w:rsidP="00A55153">
      <w:pPr>
        <w:pStyle w:val="Figurecaption"/>
        <w:rPr>
          <w:b w:val="0"/>
          <w:bCs w:val="0"/>
        </w:rPr>
      </w:pPr>
      <w:r w:rsidRPr="00A55153">
        <w:t xml:space="preserve">Figure </w:t>
      </w:r>
      <w:r w:rsidR="00F136F5">
        <w:t>2</w:t>
      </w:r>
      <w:r w:rsidRPr="00A55153">
        <w:t xml:space="preserve">. Performance of CP-based </w:t>
      </w:r>
      <w:r w:rsidR="00100F9A">
        <w:t>predictions</w:t>
      </w:r>
      <w:r w:rsidR="00100F9A" w:rsidRPr="00A55153">
        <w:t xml:space="preserve"> </w:t>
      </w:r>
      <w:r w:rsidRPr="00A55153">
        <w:t>in four simulation runs. (</w:t>
      </w:r>
      <w:r w:rsidRPr="00A55153">
        <w:rPr>
          <w:b w:val="0"/>
          <w:bCs w:val="0"/>
        </w:rPr>
        <w:t>a) Grouped R² for actual CP variability, null CP variability, and trait summaries across interaction-strength or resource-sharing gradients. Lotka–Volterra CPs used raw performance; consumer–resource CPs used viability. (b) Random-subset robustness. (c) Scaled random-forest permutation importance. (d) Observed versus out-of-bag predictions.</w:t>
      </w:r>
    </w:p>
    <w:p w14:paraId="4EDAE717" w14:textId="77777777" w:rsidR="004D14CE" w:rsidRPr="000A5E99" w:rsidRDefault="004D14CE" w:rsidP="004D14CE">
      <w:pPr>
        <w:pStyle w:val="Heading3"/>
      </w:pPr>
      <w:r>
        <w:t>Empirical study</w:t>
      </w:r>
    </w:p>
    <w:p w14:paraId="3EE047C1" w14:textId="2B3FD8BD" w:rsidR="000A5E99" w:rsidRPr="000A5E99" w:rsidRDefault="000A5E99" w:rsidP="000A5E99">
      <m:oMath>
        <m:r>
          <w:rPr>
            <w:rFonts w:ascii="Cambria Math" w:hAnsi="Cambria Math"/>
          </w:rPr>
          <m:t>CV</m:t>
        </m:r>
        <m:d>
          <m:dPr>
            <m:ctrlPr>
              <w:rPr>
                <w:rFonts w:ascii="Cambria Math" w:hAnsi="Cambria Math"/>
              </w:rPr>
            </m:ctrlPr>
          </m:dPr>
          <m:e>
            <m:sSub>
              <m:sSubPr>
                <m:ctrlPr>
                  <w:rPr>
                    <w:rFonts w:ascii="Cambria Math" w:hAnsi="Cambria Math"/>
                    <w:i/>
                  </w:rPr>
                </m:ctrlPr>
              </m:sSubPr>
              <m:e>
                <m:r>
                  <w:rPr>
                    <w:rFonts w:ascii="Cambria Math" w:hAnsi="Cambria Math"/>
                  </w:rPr>
                  <m:t>CP</m:t>
                </m:r>
              </m:e>
              <m:sub>
                <m:r>
                  <w:rPr>
                    <w:rFonts w:ascii="Cambria Math" w:hAnsi="Cambria Math"/>
                  </w:rPr>
                  <m:t>actual</m:t>
                </m:r>
              </m:sub>
            </m:sSub>
          </m:e>
        </m:d>
      </m:oMath>
      <w:r w:rsidR="00870C91">
        <w:t xml:space="preserve"> </w:t>
      </w:r>
      <w:r>
        <w:t xml:space="preserve">was the strongest single predictor of </w:t>
      </w:r>
      <w:r w:rsidR="00A55153">
        <w:t xml:space="preserve">community </w:t>
      </w:r>
      <w:r w:rsidR="0079139A">
        <w:t xml:space="preserve">biomass </w:t>
      </w:r>
      <w:r w:rsidR="00A55153">
        <w:t>variability</w:t>
      </w:r>
      <w:r w:rsidR="0079139A">
        <w:t xml:space="preserve"> (</w:t>
      </w:r>
      <m:oMath>
        <m:sSub>
          <m:sSubPr>
            <m:ctrlPr>
              <w:rPr>
                <w:rFonts w:ascii="Cambria Math" w:hAnsi="Cambria Math"/>
                <w:i/>
              </w:rPr>
            </m:ctrlPr>
          </m:sSubPr>
          <m:e>
            <m:r>
              <w:rPr>
                <w:rFonts w:ascii="Cambria Math" w:hAnsi="Cambria Math"/>
              </w:rPr>
              <m:t>σ</m:t>
            </m:r>
          </m:e>
          <m:sub>
            <m:r>
              <w:rPr>
                <w:rFonts w:ascii="Cambria Math" w:hAnsi="Cambria Math"/>
              </w:rPr>
              <m:t>biom</m:t>
            </m:r>
          </m:sub>
        </m:sSub>
      </m:oMath>
      <w:r w:rsidR="0079139A">
        <w:t>)</w:t>
      </w:r>
      <w:r>
        <w:t xml:space="preserve"> and explained </w:t>
      </w:r>
      <w:r w:rsidR="002B6377">
        <w:t>67</w:t>
      </w:r>
      <w:r>
        <w:t>% of the variation</w:t>
      </w:r>
      <w:r w:rsidR="000D5687">
        <w:t xml:space="preserve">. </w:t>
      </w:r>
      <w:r>
        <w:t>(</w:t>
      </w:r>
      <w:r w:rsidR="002E69E0">
        <w:t xml:space="preserve">β = 0.92, P &lt; 0.001, </w:t>
      </w:r>
      <w:r>
        <w:t xml:space="preserve">Fig. </w:t>
      </w:r>
      <w:r w:rsidR="003A3EFF">
        <w:t>3</w:t>
      </w:r>
      <w:r>
        <w:t xml:space="preserve">a). </w:t>
      </w:r>
      <m:oMath>
        <m:r>
          <w:rPr>
            <w:rFonts w:ascii="Cambria Math" w:hAnsi="Cambria Math"/>
          </w:rPr>
          <m:t>CV</m:t>
        </m:r>
        <m:d>
          <m:dPr>
            <m:ctrlPr>
              <w:rPr>
                <w:rFonts w:ascii="Cambria Math" w:hAnsi="Cambria Math"/>
              </w:rPr>
            </m:ctrlPr>
          </m:dPr>
          <m:e>
            <m:sSub>
              <m:sSubPr>
                <m:ctrlPr>
                  <w:rPr>
                    <w:rFonts w:ascii="Cambria Math" w:hAnsi="Cambria Math"/>
                    <w:i/>
                  </w:rPr>
                </m:ctrlPr>
              </m:sSubPr>
              <m:e>
                <m:r>
                  <w:rPr>
                    <w:rFonts w:ascii="Cambria Math" w:hAnsi="Cambria Math"/>
                  </w:rPr>
                  <m:t>CP</m:t>
                </m:r>
              </m:e>
              <m:sub>
                <m:r>
                  <w:rPr>
                    <w:rFonts w:ascii="Cambria Math" w:hAnsi="Cambria Math"/>
                  </w:rPr>
                  <m:t>null</m:t>
                </m:r>
              </m:sub>
            </m:sSub>
          </m:e>
        </m:d>
      </m:oMath>
      <w:r w:rsidR="008B79A3">
        <w:t xml:space="preserve"> </w:t>
      </w:r>
      <w:r>
        <w:t xml:space="preserve">explained </w:t>
      </w:r>
      <w:r w:rsidR="002B6377">
        <w:t>40</w:t>
      </w:r>
      <w:r>
        <w:t>% (</w:t>
      </w:r>
      <w:r w:rsidR="006A769E">
        <w:t xml:space="preserve">β = 0.85, P &lt; 0.001, </w:t>
      </w:r>
      <w:r>
        <w:t xml:space="preserve">Fig. </w:t>
      </w:r>
      <w:r w:rsidR="003A3EFF">
        <w:t>3</w:t>
      </w:r>
      <w:r>
        <w:t>b)</w:t>
      </w:r>
      <w:r w:rsidR="000A198B">
        <w:t xml:space="preserve">. Trait summaries </w:t>
      </w:r>
      <w:r w:rsidR="000607B9">
        <w:t xml:space="preserve">in isolation </w:t>
      </w:r>
      <w:r w:rsidR="000A198B">
        <w:t xml:space="preserve">were weaker predictors: greater mismatch between mean </w:t>
      </w:r>
      <w:r w:rsidR="00AD4286">
        <w:t xml:space="preserve">community </w:t>
      </w:r>
      <w:r w:rsidR="000A198B">
        <w:t>thermal optimum and mean environmental temperature</w:t>
      </w:r>
      <w:r w:rsidR="000D5687">
        <w:t xml:space="preserve"> (</w:t>
      </w:r>
      <m:oMath>
        <m:d>
          <m:dPr>
            <m:begChr m:val="|"/>
            <m:endChr m:val="|"/>
            <m:ctrlPr>
              <w:rPr>
                <w:rFonts w:ascii="Cambria Math" w:hAnsi="Cambria Math"/>
              </w:rPr>
            </m:ctrlPr>
          </m:dPr>
          <m:e>
            <m:sSub>
              <m:sSubPr>
                <m:ctrlPr>
                  <w:rPr>
                    <w:rFonts w:ascii="Cambria Math" w:hAnsi="Cambria Math"/>
                  </w:rPr>
                </m:ctrlPr>
              </m:sSubPr>
              <m:e>
                <m:bar>
                  <m:barPr>
                    <m:pos m:val="top"/>
                    <m:ctrlPr>
                      <w:rPr>
                        <w:rFonts w:ascii="Cambria Math" w:hAnsi="Cambria Math"/>
                      </w:rPr>
                    </m:ctrlPr>
                  </m:barPr>
                  <m:e>
                    <m:r>
                      <w:rPr>
                        <w:rFonts w:ascii="Cambria Math" w:hAnsi="Cambria Math"/>
                      </w:rPr>
                      <m:t>T</m:t>
                    </m:r>
                  </m:e>
                </m:bar>
              </m:e>
              <m:sub>
                <m:r>
                  <m:rPr>
                    <m:sty m:val="p"/>
                  </m:rPr>
                  <w:rPr>
                    <w:rFonts w:ascii="Cambria Math" w:hAnsi="Cambria Math"/>
                  </w:rPr>
                  <m:t>opt</m:t>
                </m:r>
              </m:sub>
            </m:sSub>
            <m:r>
              <m:rPr>
                <m:sty m:val="p"/>
              </m:rPr>
              <w:rPr>
                <w:rFonts w:ascii="Cambria Math" w:hAnsi="Cambria Math"/>
              </w:rPr>
              <m:t>-</m:t>
            </m:r>
            <m:bar>
              <m:barPr>
                <m:pos m:val="top"/>
                <m:ctrlPr>
                  <w:rPr>
                    <w:rFonts w:ascii="Cambria Math" w:hAnsi="Cambria Math"/>
                  </w:rPr>
                </m:ctrlPr>
              </m:barPr>
              <m:e>
                <m:r>
                  <w:rPr>
                    <w:rFonts w:ascii="Cambria Math" w:hAnsi="Cambria Math"/>
                  </w:rPr>
                  <m:t>T</m:t>
                </m:r>
              </m:e>
            </m:bar>
          </m:e>
        </m:d>
      </m:oMath>
      <w:r w:rsidR="000D5687">
        <w:t>)</w:t>
      </w:r>
      <w:r w:rsidR="000A198B">
        <w:t xml:space="preserve"> increased </w:t>
      </w:r>
      <w:r w:rsidR="00A55153">
        <w:t>variability</w:t>
      </w:r>
      <w:r w:rsidR="000A198B">
        <w:t xml:space="preserve"> (</w:t>
      </w: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=0.25</m:t>
        </m:r>
      </m:oMath>
      <w:r w:rsidR="00A55153">
        <w:t xml:space="preserve">, </w:t>
      </w:r>
      <w:r w:rsidR="002E69E0">
        <w:t>β = 0.0</w:t>
      </w:r>
      <w:r w:rsidR="00D37168">
        <w:t>70</w:t>
      </w:r>
      <w:r w:rsidR="002E69E0">
        <w:t xml:space="preserve">, P &lt; 0.001, </w:t>
      </w:r>
      <w:r w:rsidR="000A198B">
        <w:t xml:space="preserve">Fig. </w:t>
      </w:r>
      <w:r w:rsidR="003A3EFF">
        <w:t>3</w:t>
      </w:r>
      <w:r w:rsidR="000A198B">
        <w:t xml:space="preserve">c), whereas greater </w:t>
      </w:r>
      <w:r w:rsidR="003E553E">
        <w:t xml:space="preserve">spread </w:t>
      </w:r>
      <w:r w:rsidR="000A198B">
        <w:t>among species’ thermal optima</w:t>
      </w:r>
      <w:r w:rsidR="00F05CD2">
        <w:t xml:space="preserve"> (</w:t>
      </w:r>
      <m:oMath>
        <m:r>
          <w:rPr>
            <w:rFonts w:ascii="Cambria Math" w:hAnsi="Cambria Math"/>
          </w:rPr>
          <m:t>sd</m:t>
        </m:r>
        <m:r>
          <m:rPr>
            <m:sty m:val="p"/>
          </m:rPr>
          <w:rPr>
            <w:rFonts w:ascii="Cambria Math" w:hAnsi="Cambria Math"/>
          </w:rPr>
          <m:t>(</m:t>
        </m:r>
        <m:sSub>
          <m:sSubPr>
            <m:ctrlPr>
              <w:rPr>
                <w:rFonts w:ascii="Cambria Math" w:hAnsi="Cambria Math"/>
              </w:rPr>
            </m:ctrlPr>
          </m:sSubPr>
          <m:e>
            <m:r>
              <w:rPr>
                <w:rFonts w:ascii="Cambria Math" w:hAnsi="Cambria Math"/>
              </w:rPr>
              <m:t>T</m:t>
            </m:r>
          </m:e>
          <m:sub>
            <m:r>
              <m:rPr>
                <m:sty m:val="p"/>
              </m:rPr>
              <w:rPr>
                <w:rFonts w:ascii="Cambria Math" w:hAnsi="Cambria Math"/>
              </w:rPr>
              <m:t>opt</m:t>
            </m:r>
          </m:sub>
        </m:sSub>
        <m:r>
          <m:rPr>
            <m:sty m:val="p"/>
          </m:rPr>
          <w:rPr>
            <w:rFonts w:ascii="Cambria Math" w:hAnsi="Cambria Math"/>
          </w:rPr>
          <m:t>)</m:t>
        </m:r>
      </m:oMath>
      <w:r w:rsidR="00F05CD2">
        <w:t>)</w:t>
      </w:r>
      <w:r w:rsidR="000A198B">
        <w:t xml:space="preserve"> was stabilizing (</w:t>
      </w: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=0.27</m:t>
        </m:r>
      </m:oMath>
      <w:r w:rsidR="00A55153">
        <w:t xml:space="preserve">, </w:t>
      </w:r>
      <w:r w:rsidR="002E69E0">
        <w:t xml:space="preserve">β = −0.10, P &lt; 0.001, </w:t>
      </w:r>
      <w:r w:rsidR="000A198B">
        <w:t xml:space="preserve">Fig. </w:t>
      </w:r>
      <w:r w:rsidR="003A3EFF">
        <w:t>3</w:t>
      </w:r>
      <w:r w:rsidR="000A198B">
        <w:t>d).</w:t>
      </w:r>
      <w:r w:rsidR="000607B9">
        <w:t xml:space="preserve"> However, a model with an interaction between </w:t>
      </w:r>
      <m:oMath>
        <m:d>
          <m:dPr>
            <m:begChr m:val="|"/>
            <m:endChr m:val="|"/>
            <m:ctrlPr>
              <w:rPr>
                <w:rFonts w:ascii="Cambria Math" w:hAnsi="Cambria Math"/>
              </w:rPr>
            </m:ctrlPr>
          </m:dPr>
          <m:e>
            <m:sSub>
              <m:sSubPr>
                <m:ctrlPr>
                  <w:rPr>
                    <w:rFonts w:ascii="Cambria Math" w:hAnsi="Cambria Math"/>
                  </w:rPr>
                </m:ctrlPr>
              </m:sSubPr>
              <m:e>
                <m:bar>
                  <m:barPr>
                    <m:pos m:val="top"/>
                    <m:ctrlPr>
                      <w:rPr>
                        <w:rFonts w:ascii="Cambria Math" w:hAnsi="Cambria Math"/>
                      </w:rPr>
                    </m:ctrlPr>
                  </m:barPr>
                  <m:e>
                    <m:r>
                      <w:rPr>
                        <w:rFonts w:ascii="Cambria Math" w:hAnsi="Cambria Math"/>
                      </w:rPr>
                      <m:t>T</m:t>
                    </m:r>
                  </m:e>
                </m:bar>
              </m:e>
              <m:sub>
                <m:r>
                  <m:rPr>
                    <m:sty m:val="p"/>
                  </m:rPr>
                  <w:rPr>
                    <w:rFonts w:ascii="Cambria Math" w:hAnsi="Cambria Math"/>
                  </w:rPr>
                  <m:t>opt</m:t>
                </m:r>
              </m:sub>
            </m:sSub>
            <m:r>
              <m:rPr>
                <m:sty m:val="p"/>
              </m:rPr>
              <w:rPr>
                <w:rFonts w:ascii="Cambria Math" w:hAnsi="Cambria Math"/>
              </w:rPr>
              <m:t>-</m:t>
            </m:r>
            <m:bar>
              <m:barPr>
                <m:pos m:val="top"/>
                <m:ctrlPr>
                  <w:rPr>
                    <w:rFonts w:ascii="Cambria Math" w:hAnsi="Cambria Math"/>
                  </w:rPr>
                </m:ctrlPr>
              </m:barPr>
              <m:e>
                <m:r>
                  <w:rPr>
                    <w:rFonts w:ascii="Cambria Math" w:hAnsi="Cambria Math"/>
                  </w:rPr>
                  <m:t>T</m:t>
                </m:r>
              </m:e>
            </m:bar>
          </m:e>
        </m:d>
      </m:oMath>
      <w:r w:rsidR="000607B9">
        <w:t xml:space="preserve"> and </w:t>
      </w:r>
      <m:oMath>
        <m:r>
          <w:rPr>
            <w:rFonts w:ascii="Cambria Math" w:hAnsi="Cambria Math"/>
          </w:rPr>
          <m:t>sd</m:t>
        </m:r>
        <m:r>
          <m:rPr>
            <m:sty m:val="p"/>
          </m:rPr>
          <w:rPr>
            <w:rFonts w:ascii="Cambria Math" w:hAnsi="Cambria Math"/>
          </w:rPr>
          <m:t>(</m:t>
        </m:r>
        <m:sSub>
          <m:sSubPr>
            <m:ctrlPr>
              <w:rPr>
                <w:rFonts w:ascii="Cambria Math" w:hAnsi="Cambria Math"/>
              </w:rPr>
            </m:ctrlPr>
          </m:sSubPr>
          <m:e>
            <m:r>
              <w:rPr>
                <w:rFonts w:ascii="Cambria Math" w:hAnsi="Cambria Math"/>
              </w:rPr>
              <m:t>T</m:t>
            </m:r>
          </m:e>
          <m:sub>
            <m:r>
              <m:rPr>
                <m:sty m:val="p"/>
              </m:rPr>
              <w:rPr>
                <w:rFonts w:ascii="Cambria Math" w:hAnsi="Cambria Math"/>
              </w:rPr>
              <m:t>opt</m:t>
            </m:r>
          </m:sub>
        </m:sSub>
        <m:r>
          <m:rPr>
            <m:sty m:val="p"/>
          </m:rPr>
          <w:rPr>
            <w:rFonts w:ascii="Cambria Math" w:hAnsi="Cambria Math"/>
          </w:rPr>
          <m:t>)</m:t>
        </m:r>
      </m:oMath>
      <w:r w:rsidR="000607B9">
        <w:t xml:space="preserve"> explained 45% of the variation in total community biomass variability (Fig. 3e)</w:t>
      </w:r>
    </w:p>
    <w:p w14:paraId="5FA7A48E" w14:textId="529E740E" w:rsidR="007E1D67" w:rsidRDefault="00BF6ACA" w:rsidP="000A5E99">
      <w:r>
        <w:t xml:space="preserve">Together, </w:t>
      </w:r>
      <m:oMath>
        <m:r>
          <w:rPr>
            <w:rFonts w:ascii="Cambria Math" w:hAnsi="Cambria Math"/>
          </w:rPr>
          <m:t>CV</m:t>
        </m:r>
        <m:d>
          <m:dPr>
            <m:ctrlPr>
              <w:rPr>
                <w:rFonts w:ascii="Cambria Math" w:hAnsi="Cambria Math"/>
              </w:rPr>
            </m:ctrlPr>
          </m:dPr>
          <m:e>
            <m:sSub>
              <m:sSubPr>
                <m:ctrlPr>
                  <w:rPr>
                    <w:rFonts w:ascii="Cambria Math" w:hAnsi="Cambria Math"/>
                    <w:i/>
                  </w:rPr>
                </m:ctrlPr>
              </m:sSubPr>
              <m:e>
                <m:r>
                  <w:rPr>
                    <w:rFonts w:ascii="Cambria Math" w:hAnsi="Cambria Math"/>
                  </w:rPr>
                  <m:t>CP</m:t>
                </m:r>
              </m:e>
              <m:sub>
                <m:r>
                  <w:rPr>
                    <w:rFonts w:ascii="Cambria Math" w:hAnsi="Cambria Math"/>
                  </w:rPr>
                  <m:t>actual</m:t>
                </m:r>
              </m:sub>
            </m:sSub>
          </m:e>
        </m:d>
      </m:oMath>
      <w:r>
        <w:t xml:space="preserve">, richness, temperature sequence, and the </w:t>
      </w:r>
      <m:oMath>
        <m:r>
          <w:rPr>
            <w:rFonts w:ascii="Cambria Math" w:hAnsi="Cambria Math"/>
          </w:rPr>
          <m:t>CV</m:t>
        </m:r>
        <m:d>
          <m:dPr>
            <m:ctrlPr>
              <w:rPr>
                <w:rFonts w:ascii="Cambria Math" w:hAnsi="Cambria Math"/>
              </w:rPr>
            </m:ctrlPr>
          </m:dPr>
          <m:e>
            <m:sSub>
              <m:sSubPr>
                <m:ctrlPr>
                  <w:rPr>
                    <w:rFonts w:ascii="Cambria Math" w:hAnsi="Cambria Math"/>
                    <w:i/>
                  </w:rPr>
                </m:ctrlPr>
              </m:sSubPr>
              <m:e>
                <m:r>
                  <w:rPr>
                    <w:rFonts w:ascii="Cambria Math" w:hAnsi="Cambria Math"/>
                  </w:rPr>
                  <m:t>CP</m:t>
                </m:r>
              </m:e>
              <m:sub>
                <m:r>
                  <w:rPr>
                    <w:rFonts w:ascii="Cambria Math" w:hAnsi="Cambria Math"/>
                  </w:rPr>
                  <m:t>actual</m:t>
                </m:r>
              </m:sub>
            </m:sSub>
          </m:e>
        </m:d>
      </m:oMath>
      <w:r w:rsidR="009513BA">
        <w:t xml:space="preserve"> </w:t>
      </w:r>
      <w:r>
        <w:t xml:space="preserve">× richness interaction explained 83% of the variation in </w:t>
      </w:r>
      <w:r w:rsidR="00AD4286">
        <w:t>community biomass variability</w:t>
      </w:r>
      <w:r>
        <w:t xml:space="preserve"> (adjusted </w:t>
      </w: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=0.83</m:t>
        </m:r>
      </m:oMath>
      <w:r w:rsidR="002E69E0">
        <w:t>, F₈,₉₉ = 67.11, P &lt; 0.001</w:t>
      </w:r>
      <w:r>
        <w:t xml:space="preserve">). </w:t>
      </w:r>
      <m:oMath>
        <m:r>
          <w:rPr>
            <w:rFonts w:ascii="Cambria Math" w:hAnsi="Cambria Math"/>
          </w:rPr>
          <m:t>CV</m:t>
        </m:r>
        <m:d>
          <m:dPr>
            <m:ctrlPr>
              <w:rPr>
                <w:rFonts w:ascii="Cambria Math" w:hAnsi="Cambria Math"/>
              </w:rPr>
            </m:ctrlPr>
          </m:dPr>
          <m:e>
            <m:sSub>
              <m:sSubPr>
                <m:ctrlPr>
                  <w:rPr>
                    <w:rFonts w:ascii="Cambria Math" w:hAnsi="Cambria Math"/>
                    <w:i/>
                  </w:rPr>
                </m:ctrlPr>
              </m:sSubPr>
              <m:e>
                <m:r>
                  <w:rPr>
                    <w:rFonts w:ascii="Cambria Math" w:hAnsi="Cambria Math"/>
                  </w:rPr>
                  <m:t>CP</m:t>
                </m:r>
              </m:e>
              <m:sub>
                <m:r>
                  <w:rPr>
                    <w:rFonts w:ascii="Cambria Math" w:hAnsi="Cambria Math"/>
                  </w:rPr>
                  <m:t>actual</m:t>
                </m:r>
              </m:sub>
            </m:sSub>
          </m:e>
        </m:d>
      </m:oMath>
      <w:r w:rsidR="009513BA">
        <w:t xml:space="preserve"> </w:t>
      </w:r>
      <w:r>
        <w:t xml:space="preserve">was the </w:t>
      </w:r>
      <w:r w:rsidR="00652470">
        <w:t>most important</w:t>
      </w:r>
      <w:r>
        <w:t xml:space="preserve"> predictor, while richness, its interaction with CP variability, and temperature sequence each contributed additional explanatory power (all </w:t>
      </w:r>
      <m:oMath>
        <m:r>
          <w:rPr>
            <w:rFonts w:ascii="Cambria Math" w:hAnsi="Cambria Math"/>
          </w:rPr>
          <m:t>P&lt;0.001</m:t>
        </m:r>
      </m:oMath>
      <w:r>
        <w:t xml:space="preserve">; Supplementary </w:t>
      </w:r>
      <w:r w:rsidR="002E69E0">
        <w:t xml:space="preserve">Information </w:t>
      </w:r>
      <w:r w:rsidR="00ED6DBA">
        <w:t>3</w:t>
      </w:r>
      <w:r>
        <w:t>, section</w:t>
      </w:r>
      <w:r w:rsidR="002E69E0">
        <w:t xml:space="preserve"> 2.</w:t>
      </w:r>
      <w:r w:rsidR="00D04B07">
        <w:t>3</w:t>
      </w:r>
      <w:r w:rsidR="00C6076E">
        <w:t>.3</w:t>
      </w:r>
      <w:r>
        <w:t>).</w:t>
      </w:r>
      <w:r w:rsidR="00B157C4">
        <w:t xml:space="preserve"> </w:t>
      </w:r>
    </w:p>
    <w:p w14:paraId="72CD7893" w14:textId="7A566F9D" w:rsidR="00D83DE3" w:rsidRDefault="001314EC" w:rsidP="000A5E99">
      <w:r w:rsidRPr="001314EC">
        <w:rPr>
          <w:noProof/>
        </w:rPr>
        <w:lastRenderedPageBreak/>
        <w:drawing>
          <wp:inline distT="0" distB="0" distL="0" distR="0" wp14:anchorId="6104CA33" wp14:editId="12BC94D1">
            <wp:extent cx="6126480" cy="3586480"/>
            <wp:effectExtent l="0" t="0" r="0" b="0"/>
            <wp:docPr id="847129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129454" name=""/>
                    <pic:cNvPicPr/>
                  </pic:nvPicPr>
                  <pic:blipFill>
                    <a:blip r:embed="rId13"/>
                    <a:stretch>
                      <a:fillRect/>
                    </a:stretch>
                  </pic:blipFill>
                  <pic:spPr>
                    <a:xfrm>
                      <a:off x="0" y="0"/>
                      <a:ext cx="6126480" cy="3586480"/>
                    </a:xfrm>
                    <a:prstGeom prst="rect">
                      <a:avLst/>
                    </a:prstGeom>
                  </pic:spPr>
                </pic:pic>
              </a:graphicData>
            </a:graphic>
          </wp:inline>
        </w:drawing>
      </w:r>
    </w:p>
    <w:p w14:paraId="758CECC5" w14:textId="58CF0AB7" w:rsidR="00513E55" w:rsidRPr="00A63AC3" w:rsidRDefault="00D83DE3" w:rsidP="00513E55">
      <w:pPr>
        <w:pStyle w:val="Figurecaption"/>
        <w:rPr>
          <w:b w:val="0"/>
          <w:bCs w:val="0"/>
        </w:rPr>
      </w:pPr>
      <w:r>
        <w:t xml:space="preserve">Figure </w:t>
      </w:r>
      <w:r w:rsidR="003A3EFF">
        <w:t>3</w:t>
      </w:r>
      <w:r>
        <w:t xml:space="preserve">. </w:t>
      </w:r>
      <w:r w:rsidRPr="00D83DE3">
        <w:t xml:space="preserve">Predictors of detrended community biomass variability. </w:t>
      </w:r>
      <w:r w:rsidR="00513E55" w:rsidRPr="00A63AC3">
        <w:rPr>
          <w:b w:val="0"/>
          <w:bCs w:val="0"/>
        </w:rPr>
        <w:t xml:space="preserve">Panels A–D show the relationships between community biomass variability and (A) actual community performance (CP) variability, (B) null CP variability, (C) the absolute difference between mean species thermal optimum and mean experienced temperature, and (D) variation in species thermal optima. Solid lines show fitted linear regressions and shaded areas show 95% confidence intervals. Panel E compares the </w:t>
      </w:r>
      <w:r w:rsidR="00D37168">
        <w:rPr>
          <w:b w:val="0"/>
          <w:bCs w:val="0"/>
        </w:rPr>
        <w:t xml:space="preserve">adjusted </w:t>
      </w:r>
      <m:oMath>
        <m:sSup>
          <m:sSupPr>
            <m:ctrlPr>
              <w:rPr>
                <w:rFonts w:ascii="Cambria Math" w:hAnsi="Cambria Math"/>
                <w:b w:val="0"/>
                <w:bCs w:val="0"/>
              </w:rPr>
            </m:ctrlPr>
          </m:sSupPr>
          <m:e>
            <m:r>
              <m:rPr>
                <m:sty m:val="bi"/>
              </m:rPr>
              <w:rPr>
                <w:rFonts w:ascii="Cambria Math" w:hAnsi="Cambria Math"/>
              </w:rPr>
              <m:t>R</m:t>
            </m:r>
          </m:e>
          <m:sup>
            <m:r>
              <m:rPr>
                <m:sty m:val="bi"/>
              </m:rPr>
              <w:rPr>
                <w:rFonts w:ascii="Cambria Math" w:hAnsi="Cambria Math"/>
              </w:rPr>
              <m:t>2</m:t>
            </m:r>
          </m:sup>
        </m:sSup>
      </m:oMath>
      <w:r w:rsidR="00513E55" w:rsidRPr="00A63AC3">
        <w:rPr>
          <w:b w:val="0"/>
          <w:bCs w:val="0"/>
        </w:rPr>
        <w:t>values of the four single-predictor models with that of the trait-summary model, which includes mean thermal mismatch, thermal-optimum variation, and their interaction.</w:t>
      </w:r>
    </w:p>
    <w:p w14:paraId="061D02A1" w14:textId="3A642AFE" w:rsidR="00C3123D" w:rsidRDefault="00C3123D" w:rsidP="00513E55">
      <w:pPr>
        <w:pStyle w:val="Figurecaption"/>
      </w:pPr>
    </w:p>
    <w:p w14:paraId="4DF610A5" w14:textId="038F1DC9" w:rsidR="00C3123D" w:rsidRDefault="008D12AA" w:rsidP="00D83DE3">
      <w:pPr>
        <w:pStyle w:val="Figurecaption"/>
        <w:rPr>
          <w:b w:val="0"/>
          <w:bCs w:val="0"/>
        </w:rPr>
      </w:pPr>
      <w:r w:rsidRPr="008D12AA">
        <w:rPr>
          <w:b w:val="0"/>
          <w:bCs w:val="0"/>
          <w:sz w:val="22"/>
          <w:szCs w:val="22"/>
          <w:lang w:val="en-US"/>
        </w:rPr>
        <w:t xml:space="preserve">In the experiment, synchrony predicted from species’ thermal performance curves strongly predicted synchrony in their realised biomass fluctuations </w:t>
      </w:r>
      <w:r w:rsidR="002F74B4" w:rsidRPr="002F74B4">
        <w:rPr>
          <w:b w:val="0"/>
          <w:bCs w:val="0"/>
          <w:sz w:val="22"/>
          <w:szCs w:val="22"/>
          <w:lang w:val="en-US"/>
        </w:rPr>
        <w:t>(</w:t>
      </w:r>
      <m:oMath>
        <m:sSup>
          <m:sSupPr>
            <m:ctrlPr>
              <w:rPr>
                <w:rFonts w:ascii="Cambria Math" w:hAnsi="Cambria Math"/>
                <w:b w:val="0"/>
                <w:bCs w:val="0"/>
                <w:sz w:val="22"/>
                <w:szCs w:val="22"/>
                <w:lang w:val="en-US"/>
              </w:rPr>
            </m:ctrlPr>
          </m:sSupPr>
          <m:e>
            <m:r>
              <m:rPr>
                <m:sty m:val="bi"/>
              </m:rPr>
              <w:rPr>
                <w:rFonts w:ascii="Cambria Math" w:hAnsi="Cambria Math"/>
                <w:sz w:val="22"/>
                <w:szCs w:val="22"/>
                <w:lang w:val="en-US"/>
              </w:rPr>
              <m:t>R</m:t>
            </m:r>
          </m:e>
          <m:sup>
            <m:r>
              <m:rPr>
                <m:sty m:val="bi"/>
              </m:rPr>
              <w:rPr>
                <w:rFonts w:ascii="Cambria Math" w:hAnsi="Cambria Math"/>
                <w:sz w:val="22"/>
                <w:szCs w:val="22"/>
                <w:lang w:val="en-US"/>
              </w:rPr>
              <m:t>2</m:t>
            </m:r>
          </m:sup>
        </m:sSup>
      </m:oMath>
      <w:r w:rsidR="002F74B4" w:rsidRPr="002F74B4">
        <w:rPr>
          <w:b w:val="0"/>
          <w:bCs w:val="0"/>
          <w:sz w:val="22"/>
          <w:szCs w:val="22"/>
          <w:lang w:val="en-US"/>
        </w:rPr>
        <w:t xml:space="preserve"> = 0.65; Fig. 4c). </w:t>
      </w:r>
    </w:p>
    <w:p w14:paraId="3E29B97B" w14:textId="1334B6F0" w:rsidR="00513B38" w:rsidRDefault="00624EED" w:rsidP="00D83DE3">
      <w:pPr>
        <w:pStyle w:val="Figurecaption"/>
      </w:pPr>
      <w:r>
        <w:rPr>
          <w:noProof/>
        </w:rPr>
        <w:drawing>
          <wp:inline distT="0" distB="0" distL="0" distR="0" wp14:anchorId="685ACC42" wp14:editId="472500BA">
            <wp:extent cx="6126480" cy="2339975"/>
            <wp:effectExtent l="0" t="0" r="0" b="0"/>
            <wp:docPr id="138648122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481221" name="Picture 1386481221"/>
                    <pic:cNvPicPr/>
                  </pic:nvPicPr>
                  <pic:blipFill>
                    <a:blip r:embed="rId14"/>
                    <a:stretch>
                      <a:fillRect/>
                    </a:stretch>
                  </pic:blipFill>
                  <pic:spPr>
                    <a:xfrm>
                      <a:off x="0" y="0"/>
                      <a:ext cx="6126480" cy="2339975"/>
                    </a:xfrm>
                    <a:prstGeom prst="rect">
                      <a:avLst/>
                    </a:prstGeom>
                  </pic:spPr>
                </pic:pic>
              </a:graphicData>
            </a:graphic>
          </wp:inline>
        </w:drawing>
      </w:r>
    </w:p>
    <w:bookmarkEnd w:id="5"/>
    <w:p w14:paraId="49DEACF8" w14:textId="4F4DF9DB" w:rsidR="002F74B4" w:rsidRPr="002F74B4" w:rsidRDefault="002F74B4" w:rsidP="002F74B4">
      <w:pPr>
        <w:pStyle w:val="Figurecaption"/>
        <w:rPr>
          <w:b w:val="0"/>
          <w:bCs w:val="0"/>
        </w:rPr>
      </w:pPr>
      <w:r w:rsidRPr="002F74B4">
        <w:t xml:space="preserve">Figure 4. Synchrony links between thermal performance and community dynamics. </w:t>
      </w:r>
      <w:r w:rsidRPr="002F74B4">
        <w:rPr>
          <w:b w:val="0"/>
          <w:bCs w:val="0"/>
        </w:rPr>
        <w:t xml:space="preserve">(a, b) In the Lotka–Volterra and consumer–resource simulations, the relationship between synchrony predicted from species thermal performance and realised biomass synchrony was evaluated separately across interaction-strength or shared-resource-use levels. Lines show the </w:t>
      </w:r>
      <m:oMath>
        <m:sSup>
          <m:sSupPr>
            <m:ctrlPr>
              <w:rPr>
                <w:rFonts w:ascii="Cambria Math" w:hAnsi="Cambria Math"/>
                <w:b w:val="0"/>
                <w:bCs w:val="0"/>
              </w:rPr>
            </m:ctrlPr>
          </m:sSupPr>
          <m:e>
            <m:r>
              <m:rPr>
                <m:sty m:val="bi"/>
              </m:rPr>
              <w:rPr>
                <w:rFonts w:ascii="Cambria Math" w:hAnsi="Cambria Math"/>
              </w:rPr>
              <m:t>R</m:t>
            </m:r>
          </m:e>
          <m:sup>
            <m:r>
              <m:rPr>
                <m:sty m:val="bi"/>
              </m:rPr>
              <w:rPr>
                <w:rFonts w:ascii="Cambria Math" w:hAnsi="Cambria Math"/>
              </w:rPr>
              <m:t>2</m:t>
            </m:r>
          </m:sup>
        </m:sSup>
      </m:oMath>
      <w:r w:rsidRPr="002F74B4">
        <w:rPr>
          <w:b w:val="0"/>
          <w:bCs w:val="0"/>
        </w:rPr>
        <w:t xml:space="preserve">of realised biomass synchrony explained by performance synchrony calculated from either the actual temperature series or the </w:t>
      </w:r>
      <w:r w:rsidRPr="002F74B4">
        <w:rPr>
          <w:b w:val="0"/>
          <w:bCs w:val="0"/>
        </w:rPr>
        <w:lastRenderedPageBreak/>
        <w:t>null temperature distribution. (c) In the empirical ciliate communities, performance synchrony was positively associated with biomass synchrony; points show communities and the line shows the fitted linear relationship with 95% confidence interval.</w:t>
      </w:r>
    </w:p>
    <w:p w14:paraId="17B736F9" w14:textId="67B29A84" w:rsidR="000A5E99" w:rsidRPr="000A5E99" w:rsidRDefault="000A5E99" w:rsidP="000A5E99">
      <w:pPr>
        <w:pStyle w:val="Heading1"/>
      </w:pPr>
      <w:r w:rsidRPr="000A5E99">
        <w:t>Discussion</w:t>
      </w:r>
    </w:p>
    <w:p w14:paraId="6AC49C63" w14:textId="2E9F0C2F" w:rsidR="00F62D18" w:rsidRDefault="00C07156">
      <w:r>
        <w:t xml:space="preserve">Across two independent simulation frameworks and a </w:t>
      </w:r>
      <w:r w:rsidR="0050416F">
        <w:t>tailored</w:t>
      </w:r>
      <w:r>
        <w:t xml:space="preserve"> microcosm experiment, the variability of community performance consistently </w:t>
      </w:r>
      <w:r w:rsidR="00824567">
        <w:t xml:space="preserve">explained </w:t>
      </w:r>
      <w:r>
        <w:t xml:space="preserve">the temporal </w:t>
      </w:r>
      <w:r w:rsidR="002E69E0">
        <w:t>variability</w:t>
      </w:r>
      <w:r>
        <w:t xml:space="preserve"> of aggregate community properties. The result held when performance mapped directly onto abundance</w:t>
      </w:r>
      <w:r w:rsidR="00FD3F05">
        <w:t xml:space="preserve"> or did not</w:t>
      </w:r>
      <w:r>
        <w:t xml:space="preserve">, when </w:t>
      </w:r>
      <w:r w:rsidR="0050416F">
        <w:t>interactions were temperature dependent</w:t>
      </w:r>
      <w:r>
        <w:t>, and w</w:t>
      </w:r>
      <w:r w:rsidR="00FD3F05">
        <w:t>ith various assumptions about interspecific interactions and resource sharing patterns.</w:t>
      </w:r>
      <w:r>
        <w:t xml:space="preserve"> CP </w:t>
      </w:r>
      <w:r w:rsidR="0050416F">
        <w:t>variability</w:t>
      </w:r>
      <w:r>
        <w:t xml:space="preserve"> also outperformed conventional summaries of thermal optima. The central finding is therefore not simply that species responses matter, but that their aggregate shape retains substantial predictive information </w:t>
      </w:r>
      <w:r w:rsidR="00FD3F05">
        <w:t xml:space="preserve">even </w:t>
      </w:r>
      <w:r>
        <w:t>after those responses are filtered through ecological interactions.</w:t>
      </w:r>
    </w:p>
    <w:p w14:paraId="13B06912" w14:textId="5DE77ABC" w:rsidR="00F62D18" w:rsidRDefault="00C07156">
      <w:r>
        <w:t xml:space="preserve">The synchrony analyses reveal why this result is consequential. Without interspecific interactions, synchrony predicted from thermal performance curves closely matched synchrony in realised abundance. Increasing competition or resource sharing progressively weakened that </w:t>
      </w:r>
      <w:r w:rsidR="0050416F">
        <w:t>relationship</w:t>
      </w:r>
      <w:r>
        <w:t xml:space="preserve">. Interactions therefore did exactly what interaction-based theory predicts: they </w:t>
      </w:r>
      <w:r w:rsidR="0050416F">
        <w:t>reshaped species dynamics</w:t>
      </w:r>
      <w:r>
        <w:t xml:space="preserve"> and the covariance structure of the community</w:t>
      </w:r>
      <w:r w:rsidR="002E69E0">
        <w:t xml:space="preserve"> </w:t>
      </w:r>
      <w:r w:rsidR="002E69E0">
        <w:fldChar w:fldCharType="begin"/>
      </w:r>
      <w:r w:rsidR="002E69E0">
        <w:instrText xml:space="preserve"> ADDIN ZOTERO_ITEM CSL_CITATION {"citationID":"R0S6qIe5","properties":{"unsorted":false,"formattedCitation":"(Gonzalez &amp; Loreau 2009; Hughes &amp; Roughgarden 1998)","plainCitation":"(Gonzalez &amp; Loreau 2009; Hughes &amp; Roughgarden 1998)","noteIndex":0},"citationItems":[{"id":69,"uris":["http://zotero.org/users/10426170/items/DCQAMPHR"],"itemData":{"id":69,"type":"article-journal","abstract":"Ecological communities are constantly responding to environmental change. Theory and evidence suggest that the loss or decline of stress-intolerant species can be compensated for by the growth of other species. Compensatory dynamics are a long-term feature of community dynamics across a broad range of models, and they can have strong stabilizing effects at the community level. Coexistence theory indicates that distinct environmental responses are required for compensatory dynamics and deemphasizes competition. Compensatory dynamics have been detected under experimental conditions, but are not dominant in a metanalysis of field surveys. Recent progress has been made in quantitative methods that detect compensatory dynamics at different temporal scales. Appropriate null models are required to sharpen our understanding of compensatory dynamics in nature. An integrated theory of compensation and compensatory dynamics will improve our ability to understand when communities maintain sufficient response diversity to buffer the effects of environmental change and anthropogenic stress. Copyright © 2009 by Annual Reviews. All rights reserved.","container-title":"Annual Review of Ecology, Evolution, and Systematics","DOI":"10.1146/annurev.ecolsys.39.110707.173349","ISSN":"1543592X","title":"The causes and consequences of compensatory dynamics in ecological communities","volume":"40","author":[{"family":"Gonzalez","given":"Andrew"},{"family":"Loreau","given":"Michel"}],"issued":{"date-parts":[["2009"]]}}},{"id":3301,"uris":["http://zotero.org/users/10426170/items/6JZE8SXY"],"itemData":{"id":3301,"type":"article-journal","abstract":"Although humanity depends on the continued, aggregate functioning of natural ecosystems, few studies have explored the impact of community structure on the stability of aggregate community properties. Here we derive the stability of the aggregate property of community biomass as a function of species’ competition coefficients for a two-species model. The model predicts that the stability of community biomass is relatively independent of the magnitude of the interaction strengths. Instead, the degree of asymmetry of the interactions appears to be key to community stability.","container-title":"Proceedings of the National Academy of Sciences","DOI":"10.1073/pnas.95.12.6837","issue":"12","page":"6837-6842","publisher":"Proceedings of the National Academy of Sciences","source":"pnas.org (Atypon)","title":"Aggregate community properties and the strength of species’ interactions","volume":"95","author":[{"family":"Hughes","given":"Jennifer B."},{"family":"Roughgarden","given":"Joan"}],"issued":{"date-parts":[["1998",6,9]]}}}],"schema":"https://github.com/citation-style-language/schema/raw/master/csl-citation.json"} </w:instrText>
      </w:r>
      <w:r w:rsidR="002E69E0">
        <w:fldChar w:fldCharType="separate"/>
      </w:r>
      <w:r w:rsidR="002E69E0">
        <w:rPr>
          <w:noProof/>
        </w:rPr>
        <w:t>(Gonzalez &amp; Loreau 2009; Hughes &amp; Roughgarden 1998)</w:t>
      </w:r>
      <w:r w:rsidR="002E69E0">
        <w:fldChar w:fldCharType="end"/>
      </w:r>
      <w:r>
        <w:t xml:space="preserve">. Yet CP-based </w:t>
      </w:r>
      <w:r w:rsidR="003501F9">
        <w:t>predictions</w:t>
      </w:r>
      <w:r>
        <w:t xml:space="preserve"> of </w:t>
      </w:r>
      <w:r w:rsidR="0050416F">
        <w:t>community</w:t>
      </w:r>
      <w:r>
        <w:t xml:space="preserve"> </w:t>
      </w:r>
      <w:r w:rsidR="00986091">
        <w:t>variability</w:t>
      </w:r>
      <w:r>
        <w:t xml:space="preserve"> deteriorated only modestly. Aggregate dynamics remained predictable even as the dynamics of their components</w:t>
      </w:r>
      <w:r w:rsidR="0050416F">
        <w:t xml:space="preserve">, </w:t>
      </w:r>
      <w:r>
        <w:t>and the synchrony among them</w:t>
      </w:r>
      <w:r w:rsidR="0050416F">
        <w:t xml:space="preserve">, </w:t>
      </w:r>
      <w:r>
        <w:t>became much harder to infer from environmental responses alone.</w:t>
      </w:r>
    </w:p>
    <w:p w14:paraId="71BB889D" w14:textId="207866E9" w:rsidR="00F62D18" w:rsidRDefault="00C07156">
      <w:r>
        <w:t xml:space="preserve">This apparent decoupling is consistent with classic diversity–stability theory. Community stability depends jointly on population-level variability and synchrony, and interactions can move these components in opposing directions </w:t>
      </w:r>
      <w:r w:rsidR="0050416F">
        <w:fldChar w:fldCharType="begin"/>
      </w:r>
      <w:r w:rsidR="00673929">
        <w:instrText xml:space="preserve"> ADDIN ZOTERO_ITEM CSL_CITATION {"citationID":"fo0EjmvJ","properties":{"unsorted":false,"formattedCitation":"(Ives {\\i{}et al.} 1999; L. \\uc0\\u160{}Lehman &amp; Tilman 2000; Loreau &amp; de Mazancourt 2008; Thibaut &amp; Connolly 2013)","plainCitation":"(Ives et al. 1999; L.  Lehman &amp; Tilman 2000; Loreau &amp; de Mazancourt 2008; Thibaut &amp; Connolly 2013)","dontUpdate":true,"noteIndex":0},"citationItems":[{"id":964,"uris":["http://zotero.org/users/10426170/items/GXQ8JC2P"],"itemData":{"id":964,"type":"article-journal","abstract":"Long-term variability in the abundance of populations depends on the sensitivity of species to environmental fluctuations and the amplification of environmental fluctuations by interactions among species. Although competitive interactions and species number may have diverse effects on variability measured at the individual species level, a combination of theoretical analyses shows that these factors have no effect on variability measured at the community level. Therefore, biodiversity may increase community stability by promoting diversity among species in their responses to environmental fluctuations, but increasing the number and strength of competitive interactions has little effect.","container-title":"Science","DOI":"10.1126/science.286.5439.542","ISSN":"00368075","issue":"5439","title":"Stability and variability in competitive communities","volume":"286","author":[{"family":"Ives","given":"A. R."},{"family":"Gross","given":"K."},{"family":"Klug","given":"J. L."}],"issued":{"date-parts":[["1999"]]}}},{"id":3394,"uris":["http://zotero.org/users/10426170/items/F2DMXFTM"],"itemData":{"id":3394,"type":"article-journal","abstract":"abstract: Three markedly different models of multispecies competition—one mechanistic, one phenomenological, and one statistical—all predict that greater diversity increases the temporal stability of the entire community, decreases the temporal stability of individual populations, and increases community productivity. We define temporal stability as the ratio of mean abundance to its standard deviation. Interestingly, the temporal stability of entire communities is predicted to increase fairly linearly, without clear saturation, as diversity increases. Species composition is predicted to be as important as diversity in affecting community stability and productivity. The greater temporal stability of more diverse communities is caused by higher productivity at higher diversity (the “overyielding” effect), competitive interactions (the “covariance” effect), and statistical averaging (the “portfolio” effect). The relative contribution of each cause of temporal stability changes as diversity increases, but the net effect is that greater diversity stabilizes the community even though it destabilizes individual populations. This theory agrees with recent experiments and provides a degree of resolution to the diversity‐stability debate: both sides of the longstanding debate were correct, but one addressed population stability and the other addressed community stability.","archive_location":"world","container-title":"The American Naturalist","DOI":"10.1086/303402","ISSN":"0003-0147","language":"en","license":"© 2000 by The University of Chicago.","publisher":"The University of Chicago Press","source":"www.journals.uchicago.edu","title":"Biodiversity, Stability, and Productivity in Competitive Communities","URL":"https://www.journals.uchicago.edu/doi/10.1086/303402","author":[{"family":"L.  Lehman","given":"Clarence"},{"family":"Tilman","given":"David"}],"accessed":{"date-parts":[["2025",9,29]]},"issued":{"date-parts":[["2000",11]]}}},{"id":3485,"uris":["http://zotero.org/users/10426170/items/WCVW3YUX"],"itemData":{"id":3485,"type":"article-journal","abstract":"Independent species fluctuations are commonly used as a null hypothesis to test the role of competition and niche differences between species in community stability. This hypothesis, however, is unrealistic because it ignores the forces that contribute to synchronization of population dynamics. Here we present a mechanistic neutral model that describes the dynamics of a community of equivalent species under the joint influence of density dependence, environmental forcing, and demographic stochasticity. We also introduce a new standardized measure of species synchrony in multispecies communities. We show that the per capita population growth rates of equivalent species are strongly synchronized, especially when endogenous population dynamics are cyclic or chaotic, while their long‐term fluctuations in population sizes are desynchronized by ecological drift. We then generalize our model to nonneutral dynamics by incorporating temporal and nontemporal forms of niche differentiation. Niche differentiation consistently decreases the synchrony of species per capita population growth rates, while its effects on the synchrony of population sizes are more complex. Comparing the observed synchrony of species per capita population growth rates with that predicted by the neutral model potentially provides a simple test of deterministic asynchrony in a community.","container-title":"The American Naturalist","DOI":"10.1086/589746","ISSN":"0003-0147","issue":"2","page":"E48-E66","publisher":"The University of Chicago Press","source":"journals.uchicago.edu (Atypon)","title":"Species Synchrony and Its Drivers: Neutral and Nonneutral Community Dynamics in Fluctuating Environments.","title-short":"Species Synchrony and Its Drivers","volume":"172","author":[{"family":"Loreau","given":"Michel"},{"family":"Mazancourt","given":"Claire","non-dropping-particle":"de"}],"issued":{"date-parts":[["2008",8]]}}},{"id":2921,"uris":["http://zotero.org/users/10426170/items/HW7HLGEE"],"itemData":{"id":2921,"type":"article-journal","abstract":"A major ecosystem effect of biodiversity is to stabilise assemblages that perform particular functions. However, diversity–stability relationships (DSRs) are analysed using a variety of different population and community properties, most of which are adopted from theory that makes several restrictive assumptions that are unlikely to be reflected in nature. Here, we construct a simple synthesis and generalisation of previous theory for the DSR. We show that community stability is a product of two quantities: the synchrony of population fluctuations, and an average species-level population stability that is weighted by relative abundance. Weighted average population stability can be decomposed to consider effects of the mean-variance scaling of abundance, changes in mean abundance with diversity and differences in species' mean abundance in monoculture. Our framework makes explicit how unevenness in the abundances of species in real communities influences the DSR, which occurs both through effects on community synchrony, and effects on weighted average population variability. This theory provides a more robust framework for analysing the results of empirical studies of the DSR, and facilitates the integration of findings from real and model communities.","container-title":"Ecology Letters","DOI":"10.1111/ele.12019","ISSN":"1461-0248","issue":"2","language":"en","note":"_eprint: https://onlinelibrary.wiley.com/doi/pdf/10.1111/ele.12019","page":"140-150","source":"Wiley Online Library","title":"Understanding diversity–stability relationships: towards a unified model of portfolio effects","title-short":"Understanding diversity–stability relationships","volume":"16","author":[{"family":"Thibaut","given":"Loïc M."},{"family":"Connolly","given":"Sean R."}],"issued":{"date-parts":[["2013"]]}}}],"schema":"https://github.com/citation-style-language/schema/raw/master/csl-citation.json"} </w:instrText>
      </w:r>
      <w:r w:rsidR="0050416F">
        <w:fldChar w:fldCharType="separate"/>
      </w:r>
      <w:r w:rsidR="0050416F" w:rsidRPr="0050416F">
        <w:rPr>
          <w:rFonts w:eastAsiaTheme="minorEastAsia"/>
          <w:szCs w:val="24"/>
        </w:rPr>
        <w:t xml:space="preserve">(Ives </w:t>
      </w:r>
      <w:r w:rsidR="0050416F" w:rsidRPr="0050416F">
        <w:rPr>
          <w:rFonts w:eastAsiaTheme="minorEastAsia"/>
          <w:i/>
          <w:iCs/>
          <w:szCs w:val="24"/>
        </w:rPr>
        <w:t>et al.</w:t>
      </w:r>
      <w:r w:rsidR="0050416F" w:rsidRPr="0050416F">
        <w:rPr>
          <w:rFonts w:eastAsiaTheme="minorEastAsia"/>
          <w:szCs w:val="24"/>
        </w:rPr>
        <w:t xml:space="preserve"> 1999; Lehman &amp; Tilman 2000; Loreau &amp; de Mazancourt 2008; Thibaut &amp; Connolly 2013)</w:t>
      </w:r>
      <w:r w:rsidR="0050416F">
        <w:fldChar w:fldCharType="end"/>
      </w:r>
      <w:r>
        <w:t>. Competition may generate compensatory dynamics while simultaneously increasing the variability of individual populations</w:t>
      </w:r>
      <w:r w:rsidR="0050416F">
        <w:t>.</w:t>
      </w:r>
      <w:r>
        <w:t xml:space="preserve"> </w:t>
      </w:r>
      <w:r w:rsidR="0050416F">
        <w:t xml:space="preserve">As a result, </w:t>
      </w:r>
      <w:r>
        <w:t>changes in covariance can therefore be offset by changes in population variance</w:t>
      </w:r>
      <w:r w:rsidR="0050416F">
        <w:t xml:space="preserve"> </w:t>
      </w:r>
      <w:r w:rsidR="0050416F">
        <w:fldChar w:fldCharType="begin"/>
      </w:r>
      <w:r w:rsidR="0050416F">
        <w:instrText xml:space="preserve"> ADDIN ZOTERO_ITEM CSL_CITATION {"citationID":"02rS6Y7g","properties":{"unsorted":false,"formattedCitation":"(Xu {\\i{}et al.} 2021)","plainCitation":"(Xu et al. 2021)","noteIndex":0},"citationItems":[{"id":2874,"uris":["http://zotero.org/users/10426170/items/5TAX6ZRG"],"itemData":{"id":2874,"type":"article-journal","abstract":"Despite much recent progress, our understanding of diversity–stability relationships across different study systems remains incomplete. In particular, recent theory clarified that within-species population stability and among-species asynchronous population dynamics combine to determine ecosystem temporal stability, but their relative importance in modulating diversity-ecosystem temporal stability relationships in different ecosystems remains unclear. We addressed this issue with a meta-analysis of empirical studies of ecosystem and population temporal stability in relation to species diversity across a range of taxa and ecosystems. We show that ecosystem temporal stability tended to increase with species diversity, regardless of study systems. Increasing diversity promoted asynchrony, which, in turn, contributed to increased ecosystem stability. The positive diversity–ecosystem stability relationship persisted even after accounting for the influences of environmental covariates (e.g., precipitation and nutrient input). By contrast, species diversity tended to reduce population temporal stability in terrestrial systems but increase population temporal stability in aquatic systems, suggesting that asynchronous dynamics among species are essential for stabilizing diverse terrestrial ecosystems. We conclude that there is compelling empirical evidence for a general positive relationship between species diversity and ecosystem-level temporal stability, but the contrasting diversity–population temporal stability relationships between terrestrial and aquatic systems call for more investigations into their underlying mechanisms.","container-title":"Ecology Letters","DOI":"10.1111/ele.13777","ISSN":"1461-0248","issue":"10","language":"en","license":"© 2021 John Wiley &amp; Sons Ltd.","note":"_eprint: https://onlinelibrary.wiley.com/doi/pdf/10.1111/ele.13777","page":"2256-2266","source":"Wiley Online Library","title":"Consistently positive effect of species diversity on ecosystem, but not population, temporal stability","volume":"24","author":[{"family":"Xu","given":"Qianna"},{"family":"Yang","given":"Xian"},{"family":"Yan","given":"Ying"},{"family":"Wang","given":"Shaopeng"},{"family":"Loreau","given":"Michel"},{"family":"Jiang","given":"Lin"}],"issued":{"date-parts":[["2021"]]}}}],"schema":"https://github.com/citation-style-language/schema/raw/master/csl-citation.json"} </w:instrText>
      </w:r>
      <w:r w:rsidR="0050416F">
        <w:fldChar w:fldCharType="separate"/>
      </w:r>
      <w:r w:rsidR="0050416F" w:rsidRPr="0050416F">
        <w:rPr>
          <w:rFonts w:eastAsiaTheme="minorEastAsia"/>
          <w:szCs w:val="24"/>
        </w:rPr>
        <w:t xml:space="preserve">(Xu </w:t>
      </w:r>
      <w:r w:rsidR="0050416F" w:rsidRPr="0050416F">
        <w:rPr>
          <w:rFonts w:eastAsiaTheme="minorEastAsia"/>
          <w:i/>
          <w:iCs/>
          <w:szCs w:val="24"/>
        </w:rPr>
        <w:t>et al.</w:t>
      </w:r>
      <w:r w:rsidR="0050416F" w:rsidRPr="0050416F">
        <w:rPr>
          <w:rFonts w:eastAsiaTheme="minorEastAsia"/>
          <w:szCs w:val="24"/>
        </w:rPr>
        <w:t xml:space="preserve"> 2021)</w:t>
      </w:r>
      <w:r w:rsidR="0050416F">
        <w:fldChar w:fldCharType="end"/>
      </w:r>
      <w:r>
        <w:t xml:space="preserve">. </w:t>
      </w:r>
    </w:p>
    <w:p w14:paraId="4274EE43" w14:textId="45DDDEBD" w:rsidR="00F62D18" w:rsidRDefault="00C07156">
      <w:r>
        <w:t xml:space="preserve">CP </w:t>
      </w:r>
      <w:r w:rsidR="00FE3359">
        <w:t xml:space="preserve">variability </w:t>
      </w:r>
      <w:r>
        <w:t>thus reconcile</w:t>
      </w:r>
      <w:r w:rsidR="00FE3359">
        <w:t>s</w:t>
      </w:r>
      <w:r>
        <w:t xml:space="preserve"> response-</w:t>
      </w:r>
      <w:r w:rsidR="00504FDA">
        <w:t xml:space="preserve">driven </w:t>
      </w:r>
      <w:r>
        <w:t>and interaction-</w:t>
      </w:r>
      <w:r w:rsidR="00504FDA">
        <w:t xml:space="preserve">driven effects on </w:t>
      </w:r>
      <w:r w:rsidR="002E69E0">
        <w:t xml:space="preserve">temporal </w:t>
      </w:r>
      <w:r>
        <w:t xml:space="preserve">stability. </w:t>
      </w:r>
      <w:r w:rsidR="00FE3359">
        <w:t xml:space="preserve">It </w:t>
      </w:r>
      <w:r>
        <w:t>do</w:t>
      </w:r>
      <w:r w:rsidR="00FE3359">
        <w:t>es</w:t>
      </w:r>
      <w:r>
        <w:t xml:space="preserve"> not imply that interactions are weak or unimportant: interactions control how environmental forcing </w:t>
      </w:r>
      <w:r w:rsidR="00961EAF">
        <w:t xml:space="preserve">shape </w:t>
      </w:r>
      <w:r>
        <w:t xml:space="preserve">species </w:t>
      </w:r>
      <w:r w:rsidR="00961EAF">
        <w:t xml:space="preserve">dynamics </w:t>
      </w:r>
      <w:r>
        <w:t>and</w:t>
      </w:r>
      <w:r w:rsidR="00B339A7">
        <w:t xml:space="preserve"> thus</w:t>
      </w:r>
      <w:r>
        <w:t xml:space="preserve"> determined the realised synchrony of abundance. Rather, CP </w:t>
      </w:r>
      <w:r w:rsidR="005456C2">
        <w:t xml:space="preserve">variability </w:t>
      </w:r>
      <w:r>
        <w:t>capture</w:t>
      </w:r>
      <w:r w:rsidR="005456C2">
        <w:t>s</w:t>
      </w:r>
      <w:r>
        <w:t xml:space="preserve"> </w:t>
      </w:r>
      <w:r w:rsidR="00086E1B">
        <w:t xml:space="preserve">how environmental variation affects the community before interactions redistribute abundance among species. </w:t>
      </w:r>
      <w:r>
        <w:t>Because the response is aggregated at the same scale as the property being predicted, interaction-driven gains and losses among species can offset, leaving the community-level signal intact. Detailed interaction matrices may therefore be essential for predicting individual populations</w:t>
      </w:r>
      <w:r w:rsidR="002E69E0">
        <w:t>,</w:t>
      </w:r>
      <w:r>
        <w:t xml:space="preserve"> but less necessary for forecasting the variability of their aggregate.</w:t>
      </w:r>
    </w:p>
    <w:p w14:paraId="1AE56A84" w14:textId="5D983C47" w:rsidR="00F62D18" w:rsidRDefault="00C07156">
      <w:commentRangeStart w:id="6"/>
      <w:r>
        <w:t xml:space="preserve">The two simulation frameworks also show that CP </w:t>
      </w:r>
      <w:r w:rsidR="00A71C97">
        <w:t xml:space="preserve">variability </w:t>
      </w:r>
      <w:r>
        <w:t xml:space="preserve">is not a fixed recipe for summing growth rates. It is a </w:t>
      </w:r>
      <w:r w:rsidR="002E69E0">
        <w:t>way</w:t>
      </w:r>
      <w:r>
        <w:t xml:space="preserve"> for expressing species responses on the scale that </w:t>
      </w:r>
      <w:r w:rsidR="002E69E0">
        <w:t>matters for</w:t>
      </w:r>
      <w:r>
        <w:t xml:space="preserve"> the target community property. Raw growth-based CPs were appropriate in the Lotka–Volterra model, where performance entered population growth directly. In the consumer–resource model, realised abundance depended on resource supply, depletion, and mortality, and a viability transformation was more informative. </w:t>
      </w:r>
      <w:r w:rsidR="005E6205">
        <w:t>This contrast is especially informative because the coefficients governing interspecific effects were fixed across temperatures in the Lotka–Volterra model, whereas temperature-dependent resource uptake made effective competition in the consumer–resource model temperature dependent</w:t>
      </w:r>
      <w:r w:rsidR="00086E1B">
        <w:t xml:space="preserve"> </w:t>
      </w:r>
      <w:r w:rsidR="00086E1B">
        <w:fldChar w:fldCharType="begin"/>
      </w:r>
      <w:r w:rsidR="00086E1B">
        <w:instrText xml:space="preserve"> ADDIN ZOTERO_ITEM CSL_CITATION {"citationID":"fghtmYgn","properties":{"unsorted":false,"formattedCitation":"(Duan {\\i{}et al.} 2025)","plainCitation":"(Duan et al. 2025)","noteIndex":0},"citationItems":[{"id":3671,"uris":["http://zotero.org/users/10426170/items/SCDYXBMS"],"itemData":{"id":3671,"type":"article","abstract":"A general mechanistic understanding of the impacts of temperature on resource-mediated interactions between microbial species is currently lacking. Here, we develop a trait-based mathematical framework to derive the temperature-dependence of effective pairwise species interactions within a microbial community that accounts for higher-order interactions. Parameterising this framework using bacterial metabolic traits leads to three key predictions. First, species’ effective interactions respond unimodally to environmental temperature and are typically more thermally sensitive than their underlying metabolic processes (e.g., resource uptake and respiration). Second, the temperature response of interactions is mainly governed by resource competition. Third, the mean and variance of intraspecific interaction strengths increase with temperature faster than interspecific interactions. These findings have key implications for our understanding of microbial community dynamics in natural environments, paving the way for predicting the impacts of temperature fluctuations and change on their coexistence, diversity, and stability.","DOI":"10.1101/2025.04.18.649480","language":"en","license":"© 2025, Posted by Cold Spring Harbor Laboratory. This pre-print is available under a Creative Commons License (Attribution-NoDerivs 4.0 International), CC BY-ND 4.0, as described at http://creativecommons.org/licenses/by-nd/4.0/","note":"page: 2025.04.18.649480\nsection: New Results","publisher":"bioRxiv","source":"bioRxiv","title":"A General Framework for Predicting the Temperature-Dependence of Microbial Interactions","URL":"https://www.biorxiv.org/content/10.1101/2025.04.18.649480v1","author":[{"family":"Duan","given":"Quqiming"},{"family":"Harcombe","given":"Will"},{"family":"Savage","given":"Van"},{"family":"Mustri","given":"Michael"},{"family":"Smith","given":"Thomas P."},{"family":"Pawar","given":"Samraat"}],"accessed":{"date-parts":[["2026",7,21]]},"issued":{"date-parts":[["2025",4,22]]}}}],"schema":"https://github.com/citation-style-language/schema/raw/master/csl-citation.json"} </w:instrText>
      </w:r>
      <w:r w:rsidR="00086E1B">
        <w:fldChar w:fldCharType="separate"/>
      </w:r>
      <w:r w:rsidR="00086E1B" w:rsidRPr="00086E1B">
        <w:rPr>
          <w:rFonts w:eastAsiaTheme="minorEastAsia"/>
          <w:szCs w:val="24"/>
        </w:rPr>
        <w:t xml:space="preserve">(Duan </w:t>
      </w:r>
      <w:r w:rsidR="00086E1B" w:rsidRPr="00086E1B">
        <w:rPr>
          <w:rFonts w:eastAsiaTheme="minorEastAsia"/>
          <w:i/>
          <w:iCs/>
          <w:szCs w:val="24"/>
        </w:rPr>
        <w:t>et al.</w:t>
      </w:r>
      <w:r w:rsidR="00086E1B" w:rsidRPr="00086E1B">
        <w:rPr>
          <w:rFonts w:eastAsiaTheme="minorEastAsia"/>
          <w:szCs w:val="24"/>
        </w:rPr>
        <w:t xml:space="preserve"> 2025)</w:t>
      </w:r>
      <w:r w:rsidR="00086E1B">
        <w:fldChar w:fldCharType="end"/>
      </w:r>
      <w:r w:rsidR="00086E1B">
        <w:t xml:space="preserve">. </w:t>
      </w:r>
      <w:r w:rsidR="005E6205">
        <w:t xml:space="preserve">Environmental variation therefore altered species performance in both models, but could also reshape the interaction strength in the consumer–resource model. The persistence of strong CP-based </w:t>
      </w:r>
      <w:r w:rsidR="001A2476">
        <w:t>predictions</w:t>
      </w:r>
      <w:r w:rsidR="005E6205">
        <w:t xml:space="preserve"> across this contrast suggests that the framework is robust not only to interactions, but also to interactions whose realised strength changes with the environment.</w:t>
      </w:r>
      <w:r>
        <w:t xml:space="preserve"> Its weaker null counterpart further shows when knowledge of the realised environmental distribution becomes indispensable</w:t>
      </w:r>
      <w:r w:rsidR="00986091">
        <w:t xml:space="preserve"> when interactions are temperature dependent</w:t>
      </w:r>
      <w:r>
        <w:t>.</w:t>
      </w:r>
      <w:commentRangeEnd w:id="6"/>
      <w:r w:rsidR="00E14BA9">
        <w:rPr>
          <w:rStyle w:val="CommentReference"/>
          <w:sz w:val="22"/>
          <w:szCs w:val="22"/>
        </w:rPr>
        <w:commentReference w:id="6"/>
      </w:r>
    </w:p>
    <w:p w14:paraId="6E340C30" w14:textId="5B42B4BE" w:rsidR="00F62D18" w:rsidRDefault="00C07156">
      <w:r>
        <w:t xml:space="preserve">The experiment subjected this framework to a stringent test. Species response curves were estimated independently, communities were selected before the </w:t>
      </w:r>
      <w:r w:rsidR="002E69E0">
        <w:t>start of the experiment</w:t>
      </w:r>
      <w:r>
        <w:t xml:space="preserve">, </w:t>
      </w:r>
      <w:r w:rsidR="00086E1B">
        <w:t xml:space="preserve">and no information from the </w:t>
      </w:r>
      <w:r w:rsidR="00FB222D">
        <w:lastRenderedPageBreak/>
        <w:t>subsequent</w:t>
      </w:r>
      <w:r w:rsidR="00086E1B">
        <w:t xml:space="preserve"> community </w:t>
      </w:r>
      <w:r w:rsidR="00594E8D">
        <w:t>experiment</w:t>
      </w:r>
      <w:r w:rsidR="00086E1B">
        <w:t xml:space="preserve"> was used to adjust the CP predictions</w:t>
      </w:r>
      <w:r>
        <w:t xml:space="preserve">. Communities predicted to have more variable aggregate performance were less stable. </w:t>
      </w:r>
      <w:r w:rsidR="009B1059" w:rsidRPr="00086E1B">
        <w:t xml:space="preserve">By predicting community </w:t>
      </w:r>
      <w:r w:rsidR="009B1059">
        <w:t>variability</w:t>
      </w:r>
      <w:r w:rsidR="009B1059" w:rsidRPr="00086E1B">
        <w:t xml:space="preserve"> before the experiment began, CP variability became a true forecasting tool rather than </w:t>
      </w:r>
      <w:r w:rsidR="009B1059" w:rsidRPr="00086E1B">
        <w:rPr>
          <w:i/>
          <w:iCs/>
        </w:rPr>
        <w:t>a posteriori</w:t>
      </w:r>
      <w:r w:rsidR="009B1059" w:rsidRPr="00086E1B">
        <w:t xml:space="preserve"> explanation</w:t>
      </w:r>
      <w:r w:rsidR="009B1059">
        <w:t>.</w:t>
      </w:r>
      <w:r>
        <w:t xml:space="preserve"> </w:t>
      </w:r>
      <w:r w:rsidR="000258C5">
        <w:t>Species r</w:t>
      </w:r>
      <w:r>
        <w:t>ichness changed the slope of this relationship</w:t>
      </w:r>
      <w:r w:rsidR="002E69E0">
        <w:t>,</w:t>
      </w:r>
      <w:r>
        <w:t xml:space="preserve"> indicating that </w:t>
      </w:r>
      <w:r w:rsidRPr="00086E1B">
        <w:t>composition and</w:t>
      </w:r>
      <w:r w:rsidR="00986091">
        <w:t>,</w:t>
      </w:r>
      <w:r w:rsidR="002E69E0">
        <w:t xml:space="preserve"> consequently</w:t>
      </w:r>
      <w:r w:rsidR="00986091">
        <w:t>,</w:t>
      </w:r>
      <w:r w:rsidRPr="00086E1B">
        <w:t xml:space="preserve"> response </w:t>
      </w:r>
      <w:r w:rsidR="002E69E0">
        <w:t>shape</w:t>
      </w:r>
      <w:r w:rsidR="006F45D3">
        <w:t xml:space="preserve"> </w:t>
      </w:r>
      <w:r w:rsidRPr="00086E1B">
        <w:t xml:space="preserve">determined how richness influenced stability. </w:t>
      </w:r>
      <w:r w:rsidR="00A72140">
        <w:t>Importantly</w:t>
      </w:r>
      <w:r w:rsidR="00BB5581">
        <w:t xml:space="preserve">, richness was </w:t>
      </w:r>
      <w:r w:rsidR="002972D4">
        <w:t xml:space="preserve">inherently </w:t>
      </w:r>
      <w:r w:rsidR="00803D9B">
        <w:t xml:space="preserve">related to </w:t>
      </w:r>
      <w:r w:rsidR="00532452">
        <w:t>CP variability</w:t>
      </w:r>
      <w:r w:rsidR="00CA526C">
        <w:t xml:space="preserve"> given the set of species included </w:t>
      </w:r>
      <w:r w:rsidR="002972D4">
        <w:t>in this experiment</w:t>
      </w:r>
      <w:r w:rsidR="00532452">
        <w:t xml:space="preserve">, and we found evidence for a </w:t>
      </w:r>
      <w:r w:rsidR="003826CB">
        <w:t xml:space="preserve">stabilizing pathway of </w:t>
      </w:r>
      <w:r w:rsidR="00C043B5">
        <w:t xml:space="preserve">richness through intrinsic </w:t>
      </w:r>
      <w:r w:rsidR="00F425C5">
        <w:t>performance</w:t>
      </w:r>
      <w:r w:rsidR="00AB67E6">
        <w:t xml:space="preserve"> (Supplementary Information 3, Fig. S8)</w:t>
      </w:r>
      <w:r w:rsidR="00F425C5">
        <w:t xml:space="preserve">. </w:t>
      </w:r>
      <w:r w:rsidR="002D0CCE">
        <w:t xml:space="preserve">This finding </w:t>
      </w:r>
      <w:r w:rsidR="008A115E">
        <w:t>supports the</w:t>
      </w:r>
      <w:r w:rsidR="008E5E5A">
        <w:t xml:space="preserve"> central </w:t>
      </w:r>
      <w:r w:rsidR="00B8471A">
        <w:t xml:space="preserve">hypothesis of </w:t>
      </w:r>
      <w:r w:rsidR="003B4FC1">
        <w:t xml:space="preserve">response diversity </w:t>
      </w:r>
      <w:r w:rsidR="008A115E">
        <w:t xml:space="preserve">research </w:t>
      </w:r>
      <w:r w:rsidR="00B8471A">
        <w:t>which propose</w:t>
      </w:r>
      <w:r w:rsidR="008A115E">
        <w:t>s</w:t>
      </w:r>
      <w:r w:rsidR="00B8471A">
        <w:t xml:space="preserve"> intrinsic performance as the underlying mechanism </w:t>
      </w:r>
      <w:r w:rsidR="008A115E">
        <w:t>of the diversity-stability relationship</w:t>
      </w:r>
      <w:r w:rsidR="0015558C">
        <w:t xml:space="preserve"> </w:t>
      </w:r>
      <w:r w:rsidR="0015558C">
        <w:fldChar w:fldCharType="begin"/>
      </w:r>
      <w:r w:rsidR="00E73CA0">
        <w:instrText xml:space="preserve"> ADDIN ZOTERO_ITEM CSL_CITATION {"citationID":"hE2XcLtp","properties":{"unsorted":false,"formattedCitation":"(Elmqvist {\\i{}et al.} 2003; Mori {\\i{}et al.} 2013)","plainCitation":"(Elmqvist et al. 2003; Mori et al. 2013)","noteIndex":0},"citationItems":[{"id":1916,"uris":["http://zotero.org/users/10426170/items/82TS5EK7"],"itemData":{"id":1916,"type":"article-journal","abstract":"Biological diversity appears to enhance the resilience of desirable ecosystem states, which is required to secure the production of essential ecosystem services. The diversity of responses to environmental change among species contributing to the same ecosystem function, which we call response diversity, is critical to resilience. Response diversity is particularly important for ecosystem renewal and reorganization following change. Here we present examples of response diversity from both terrestrial and aquatic ecosystems and across temporal and spatial scales. Response diversity provides adaptive capacity in a world of complex systems, uncertainty, and human-dominated environments. We should pay special attention to response diversity when planning ecosystem management and restoration, since it may contribute considerably to the resilience of desired ecosystem states against disturbance, mismanagement, and degradation.","container-title":"Frontiers in Ecology and the Environment","DOI":"10.1890/1540-9295(2003)001[0488:RDECAR]2.0.CO;2","ISSN":"1540-9309","issue":"9","language":"en","note":"_eprint: https://onlinelibrary.wiley.com/doi/pdf/10.1890/1540-9295%282003%29001%5B0488%3ARDECAR%5D2.0.CO%3B2","page":"488-494","source":"Wiley Online Library","title":"Response diversity, ecosystem change, and resilience","volume":"1","author":[{"family":"Elmqvist","given":"Thomas"},{"family":"Folke","given":"Carl"},{"family":"Nyström","given":"Magnus"},{"family":"Peterson","given":"Garry"},{"family":"Bengtsson","given":"Jan"},{"family":"Walker","given":"Brian"},{"family":"Norberg","given":"Jon"}],"issued":{"date-parts":[["2003"]]}}},{"id":81,"uris":["http://zotero.org/users/10426170/items/7PMP8BFL"],"itemData":{"id":81,"type":"article-journal","abstract":"A growing body of evidence highlights the importance of biodiversity for ecosystem stability and the maintenance of optimal ecosystem functionality. Conservation measures are thus essential to safeguard the ecosystem services that biodiversity provides and human society needs. Current anthropogenic threats may lead to detrimental (and perhaps irreversible) ecosystem degradation, providing strong motivation to evaluate the response of ecological communities to various anthropogenic pressures. In particular, ecosystem functions that sustain key ecosystem services should be identified and prioritized for conservation action. Traditional diversity measures (e.g. 'species richness') may not adequately capture the aspects of biodiversity most relevant to ecosystem stability and functionality, but several new concepts may be more appropriate. These include 'response diversity', describing the variation of responses to environmental change among species of a particular community. Response diversity may also be a key determinant of ecosystem resilience in the face of anthropogenic pressures and environmental uncertainty. However, current understanding of response diversity is poor, and we see an urgent need to disentangle the conceptual strands that pervade studies of the relationship between biodiversity and ecosystem functioning. Our review clarifies the links between response diversity and the maintenance of ecosystem functionality by focusing on the insurance hypothesis of biodiversity and the concept of functional redundancy. We provide a conceptual model to describe how loss of response diversity may cause ecosystem degradation through decreased ecosystem resilience. We explicitly explain how response diversity contributes to functional compensation and to spatio-temporal complementarity among species, leading to long-term maintenance of ecosystem multifunctionality. Recent quantitative studies suggest that traditional diversity measures may often be uncoupled from measures (such as response diversity) that may be more effective proxies for ecosystem stability and resilience. Certain conclusions and recommendations of earlier studies using these traditional measures as indicators of ecosystem resilience thus may be suspect. We believe that functional ecology perspectives incorporating the effects and responses of diversity are essential for development of management strategies to safeguard (and restore) optimal ecosystem functionality (especially multifunctionality). Our review highlights these issues and we envision our work generating debate around the relationship between biodiversity and ecosystem functionality, and leading to improved conservation priorities and biodiversity management practices that maximize ecosystem resilience in the face of uncertain environmental change. © 2012 Cambridge Philosophical Society.","container-title":"Biological Reviews","DOI":"10.1111/brv.12004","ISSN":"14647931","issue":"2","page":"349-364","PMID":"23217173","title":"Response diversity determines the resilience of ecosystems to environmental change","volume":"88","author":[{"family":"Mori","given":"Akira S."},{"family":"Furukawa","given":"Takuya"},{"family":"Sasaki","given":"Takehiro"}],"issued":{"date-parts":[["2013"]]}}}],"schema":"https://github.com/citation-style-language/schema/raw/master/csl-citation.json"} </w:instrText>
      </w:r>
      <w:r w:rsidR="0015558C">
        <w:fldChar w:fldCharType="separate"/>
      </w:r>
      <w:r w:rsidR="00E73CA0" w:rsidRPr="00E73CA0">
        <w:rPr>
          <w:rFonts w:eastAsiaTheme="minorEastAsia"/>
          <w:szCs w:val="24"/>
        </w:rPr>
        <w:t xml:space="preserve">(Elmqvist </w:t>
      </w:r>
      <w:r w:rsidR="00E73CA0" w:rsidRPr="00E73CA0">
        <w:rPr>
          <w:rFonts w:eastAsiaTheme="minorEastAsia"/>
          <w:i/>
          <w:iCs/>
          <w:szCs w:val="24"/>
        </w:rPr>
        <w:t>et al.</w:t>
      </w:r>
      <w:r w:rsidR="00E73CA0" w:rsidRPr="00E73CA0">
        <w:rPr>
          <w:rFonts w:eastAsiaTheme="minorEastAsia"/>
          <w:szCs w:val="24"/>
        </w:rPr>
        <w:t xml:space="preserve"> 2003; Mori </w:t>
      </w:r>
      <w:r w:rsidR="00E73CA0" w:rsidRPr="00E73CA0">
        <w:rPr>
          <w:rFonts w:eastAsiaTheme="minorEastAsia"/>
          <w:i/>
          <w:iCs/>
          <w:szCs w:val="24"/>
        </w:rPr>
        <w:t>et al.</w:t>
      </w:r>
      <w:r w:rsidR="00E73CA0" w:rsidRPr="00E73CA0">
        <w:rPr>
          <w:rFonts w:eastAsiaTheme="minorEastAsia"/>
          <w:szCs w:val="24"/>
        </w:rPr>
        <w:t xml:space="preserve"> 2013)</w:t>
      </w:r>
      <w:r w:rsidR="0015558C">
        <w:fldChar w:fldCharType="end"/>
      </w:r>
      <w:r w:rsidR="008A115E">
        <w:t xml:space="preserve">. </w:t>
      </w:r>
      <w:r w:rsidR="008D25C9">
        <w:t>However, the association between</w:t>
      </w:r>
      <w:r w:rsidR="00552763">
        <w:t xml:space="preserve"> richness and CP </w:t>
      </w:r>
      <w:r w:rsidR="003C3809">
        <w:t>variability</w:t>
      </w:r>
      <w:r w:rsidR="00552763">
        <w:t xml:space="preserve"> </w:t>
      </w:r>
      <w:r w:rsidR="00350A55">
        <w:t>dep</w:t>
      </w:r>
      <w:r w:rsidR="001A2392">
        <w:t>ends</w:t>
      </w:r>
      <w:r w:rsidR="00AF36A1">
        <w:t xml:space="preserve"> on the </w:t>
      </w:r>
      <w:r w:rsidR="00B25644">
        <w:t xml:space="preserve">available </w:t>
      </w:r>
      <w:r w:rsidR="00AF36A1">
        <w:t>species pool and community assemblages</w:t>
      </w:r>
      <w:r w:rsidR="00FE2DDA">
        <w:t xml:space="preserve"> and </w:t>
      </w:r>
      <w:r w:rsidR="001E4770">
        <w:t>can</w:t>
      </w:r>
      <w:r w:rsidR="00FE2DDA">
        <w:t xml:space="preserve"> vary in strength and sign. Thus, </w:t>
      </w:r>
      <w:r w:rsidR="00B42F82">
        <w:t>shifting the focus</w:t>
      </w:r>
      <w:r w:rsidR="00261E36">
        <w:t xml:space="preserve"> </w:t>
      </w:r>
      <w:r w:rsidR="00B42F82">
        <w:t>to</w:t>
      </w:r>
      <w:r w:rsidR="00261E36">
        <w:t xml:space="preserve"> CP variability </w:t>
      </w:r>
      <w:r w:rsidR="00A74FCA">
        <w:t xml:space="preserve">meaningfully </w:t>
      </w:r>
      <w:r w:rsidR="00943E3B">
        <w:t>improve</w:t>
      </w:r>
      <w:r w:rsidR="002B385B">
        <w:t>s</w:t>
      </w:r>
      <w:r w:rsidR="00943E3B">
        <w:t xml:space="preserve"> </w:t>
      </w:r>
      <w:r w:rsidR="002C1FAD">
        <w:t>predictions</w:t>
      </w:r>
      <w:r w:rsidR="006F45E3">
        <w:t>.</w:t>
      </w:r>
      <w:r w:rsidR="000E4C7E">
        <w:t xml:space="preserve"> </w:t>
      </w:r>
    </w:p>
    <w:p w14:paraId="49452D0E" w14:textId="40D5E71C" w:rsidR="00770289" w:rsidRPr="000A5E99" w:rsidRDefault="00C07156" w:rsidP="00770289">
      <w:r>
        <w:t xml:space="preserve">CP </w:t>
      </w:r>
      <w:r w:rsidR="00AD3C0A">
        <w:t xml:space="preserve">variability </w:t>
      </w:r>
      <w:r>
        <w:t>outperform</w:t>
      </w:r>
      <w:r w:rsidR="00AD3C0A">
        <w:t>s</w:t>
      </w:r>
      <w:r>
        <w:t xml:space="preserve"> trait summaries because they retain the </w:t>
      </w:r>
      <w:r w:rsidR="00086E1B">
        <w:t>shape</w:t>
      </w:r>
      <w:r>
        <w:t xml:space="preserve"> of environmental responses. A mean thermal optimum identifies the centre of a response, and its variance describes dispersion among centres, but neither captures breadth, skew, </w:t>
      </w:r>
      <w:r w:rsidR="002E69E0">
        <w:t xml:space="preserve">or </w:t>
      </w:r>
      <w:r>
        <w:t xml:space="preserve">overlap. </w:t>
      </w:r>
      <w:r w:rsidR="00770289" w:rsidRPr="003038EF">
        <w:t>The issue is not merely statistical compression</w:t>
      </w:r>
      <w:r w:rsidR="00770289">
        <w:t xml:space="preserve"> of using trait summaries;</w:t>
      </w:r>
      <w:r w:rsidR="00770289" w:rsidRPr="003038EF">
        <w:t xml:space="preserve"> it is nonlinear averaging. Because performance curves are nonlinear, performance at the mean environment is not the same as mean performance in a variable environment</w:t>
      </w:r>
      <w:r w:rsidR="00770289">
        <w:t xml:space="preserve"> </w:t>
      </w:r>
      <w:r w:rsidR="00770289">
        <w:fldChar w:fldCharType="begin"/>
      </w:r>
      <w:r w:rsidR="00770289">
        <w:instrText xml:space="preserve"> ADDIN ZOTERO_ITEM CSL_CITATION {"citationID":"VqWyg5K6","properties":{"unsorted":false,"formattedCitation":"(Dowd {\\i{}et al.} 2015; Ruel &amp; Ayres 1999; Ye {\\i{}et al.} 2019)","plainCitation":"(Dowd et al. 2015; Ruel &amp; Ayres 1999; Ye et al. 2019)","noteIndex":0},"citationItems":[{"id":3675,"uris":["http://zotero.org/users/10426170/items/HJ8WDIPY"],"itemData":{"id":3675,"type":"article-journal","abstract":"In this review we consider how small-scale temporal and spatial variation in body temperature, and biochemical/physiological variation among individuals, affect the prediction of organisms' performance in nature. For ‘normal’ body temperatures – benign temperatures near the species' mean – thermal biology traditionally uses performance curves to describe how physiological capabilities vary with temperature. However, these curves, which are typically measured under static laboratory conditions, can yield incomplete or inaccurate predictions of how organisms respond to natural patterns of temperature variation. For example, scale transition theory predicts that, in a variable environment, peak average performance is lower and occurs at a lower mean temperature than the peak of statically measured performance. We also demonstrate that temporal variation in performance is minimized near this new ‘optimal’ temperature. These factors add complexity to predictions of the consequences of climate change. We then move beyond the performance curve approach to consider the effects of rare, extreme temperatures. A statistical procedure (the environmental bootstrap) allows for long-term simulations that capture the temporal pattern of extremes (a Poisson interval distribution), which is characterized by clusters of events interspersed with long intervals of benign conditions. The bootstrap can be combined with biophysical models to incorporate temporal, spatial and physiological variation into evolutionary models of thermal tolerance. We conclude with several challenges that must be overcome to more fully develop our understanding of thermal performance in the context of a changing climate by explicitly considering different forms of small-scale variation. These challenges highlight the need to empirically and rigorously test existing theories.","container-title":"Journal of Experimental Biology","DOI":"10.1242/jeb.114926","ISSN":"0022-0949","issue":"12","journalAbbreviation":"J Exp Biol","page":"1956-1967","source":"Silverchair","title":"Thermal variation, thermal extremes and the physiological performance of individuals","volume":"218","author":[{"family":"Dowd","given":"W. Wesley"},{"family":"King","given":"Felicia A."},{"family":"Denny","given":"Mark W."}],"editor":[{"family":"Podrabsky","given":"Jason E."},{"family":"Stillman","given":"Jonathon H."},{"family":"Tomanek","given":"Lars"}],"issued":{"date-parts":[["2015",6,1]]}}},{"id":39,"uris":["http://zotero.org/users/10426170/items/ZGPNZD7Y"],"itemData":{"id":39,"type":"article-journal","abstract":"Many biologists now recognize that environmental variance can exert important effects on patterns and processes in nature that are independent of average conditions. Jensen's inequality is a mathematical proof that is seldom mentioned in the ecological literature but which provides a powerful tool for predicting some direct effects of environmental variance in biological systems. Qualitative predictions can be derived from the form of the relevant response functions (accelerating versus decelerating). Knowledge of the frequency distribution (especially the variance) of the driving variables allows quantitative estimates of the effects. Jensen's inequality has relevance in every field of biology that includes nonlinear processes.","container-title":"Trends in Ecology and Evolution","DOI":"10.1016/S0169-5347(99)01664-X","ISSN":"01695347","issue":"9","title":"Jensen's inequality predicts effects of environmental variation","volume":"14","author":[{"family":"Ruel","given":"Jonathan J."},{"family":"Ayres","given":"Matthew P."}],"issued":{"date-parts":[["1999"]]}}},{"id":3678,"uris":["http://zotero.org/users/10426170/items/JTWDB6ZB"],"itemData":{"id":3678,"type":"article","abstract":"This paper develops tools to characterize how species are affected by environmental variability, based on a functional single index model relating a response such as growth rate or survival to environmental conditions. In ecology, the curvature of such responses are used, via Jensen's inequality, to determine whether environmental variability is harmful or beneficial, and differing nonlinear responses to environmental variability can contribute to the coexistence of competing species. Here, we address estimation and inference for these models with observational data on individual responses to environmental conditions. Because nonparametric estimation of the curvature (second derivative) in a nonparametric functional single index model requires unrealistic sample sizes, we instead focus on directly estimating the effect of the nonlinearity, by comparing the average response to a variable environment with the response at the expected environment, which we call the Jensen Effect. We develop a test statistic to assess whether this effect is significantly different from zero. In doing so we re-interpret the SiZer method of Chaudhuri and Marron (1995) by maximizing a test statistic over smoothing parameters. We show that our proposed method works well both in simulations and on real ecological data from the long-term data set described in Drake (2005).","DOI":"10.48550/arXiv.1901.01864","note":"arXiv:1901.01864 [stat.ME]","number":"arXiv:1901.01864","publisher":"arXiv","source":"arXiv.org","title":"The Jensen Effect and Functional Single Index Models: Estimating the Ecological Implications of Nonlinear Reaction Norms","title-short":"The Jensen Effect and Functional Single Index Models","URL":"http://arxiv.org/abs/1901.01864","author":[{"family":"Ye","given":"Zi"},{"family":"Hooker","given":"Giles"},{"family":"Ellner","given":"Stephen"}],"accessed":{"date-parts":[["2026",7,21]]},"issued":{"date-parts":[["2019",12,16]]}}}],"schema":"https://github.com/citation-style-language/schema/raw/master/csl-citation.json"} </w:instrText>
      </w:r>
      <w:r w:rsidR="00770289">
        <w:fldChar w:fldCharType="separate"/>
      </w:r>
      <w:r w:rsidR="00770289" w:rsidRPr="00961A91">
        <w:rPr>
          <w:rFonts w:eastAsiaTheme="minorEastAsia"/>
          <w:szCs w:val="24"/>
        </w:rPr>
        <w:t xml:space="preserve">(Dowd </w:t>
      </w:r>
      <w:r w:rsidR="00770289" w:rsidRPr="00961A91">
        <w:rPr>
          <w:rFonts w:eastAsiaTheme="minorEastAsia"/>
          <w:i/>
          <w:iCs/>
          <w:szCs w:val="24"/>
        </w:rPr>
        <w:t>et al.</w:t>
      </w:r>
      <w:r w:rsidR="00770289" w:rsidRPr="00961A91">
        <w:rPr>
          <w:rFonts w:eastAsiaTheme="minorEastAsia"/>
          <w:szCs w:val="24"/>
        </w:rPr>
        <w:t xml:space="preserve"> 2015; Ruel &amp; Ayres 1999; Ye </w:t>
      </w:r>
      <w:r w:rsidR="00770289" w:rsidRPr="00961A91">
        <w:rPr>
          <w:rFonts w:eastAsiaTheme="minorEastAsia"/>
          <w:i/>
          <w:iCs/>
          <w:szCs w:val="24"/>
        </w:rPr>
        <w:t>et al.</w:t>
      </w:r>
      <w:r w:rsidR="00770289" w:rsidRPr="00961A91">
        <w:rPr>
          <w:rFonts w:eastAsiaTheme="minorEastAsia"/>
          <w:szCs w:val="24"/>
        </w:rPr>
        <w:t xml:space="preserve"> 2019)</w:t>
      </w:r>
      <w:r w:rsidR="00770289">
        <w:fldChar w:fldCharType="end"/>
      </w:r>
      <w:r w:rsidR="00770289" w:rsidRPr="003038EF">
        <w:t>. Jensen’s inequality therefore makes the shape of the response, and the distribution of experienced environments, part of the prediction.</w:t>
      </w:r>
    </w:p>
    <w:p w14:paraId="56023AC7" w14:textId="1344E1E0" w:rsidR="00F62D18" w:rsidRDefault="00C07156">
      <w:r>
        <w:t xml:space="preserve">Our tests span competitive and consumer–resource dynamics, a single abiotic driver, and relatively small </w:t>
      </w:r>
      <w:r w:rsidR="006F7042">
        <w:t xml:space="preserve">empirical </w:t>
      </w:r>
      <w:r>
        <w:t>communities. Trophic interactions, facilitation, multiple covarying drivers, acclimation, and evolutionary change could alter the mapping between performance and abundance. The relevant transformation may also differ among target properties</w:t>
      </w:r>
      <w:r w:rsidR="00770289">
        <w:t>, such as</w:t>
      </w:r>
      <w:r>
        <w:t xml:space="preserve">, biomass, productivity, nutrient flux, or </w:t>
      </w:r>
      <w:r w:rsidR="001E46AF">
        <w:t>organic matter degradation</w:t>
      </w:r>
      <w:r>
        <w:t xml:space="preserve">. These </w:t>
      </w:r>
      <w:r w:rsidR="00530361">
        <w:t xml:space="preserve">need not be considered </w:t>
      </w:r>
      <w:r>
        <w:t>exceptions to the framework</w:t>
      </w:r>
      <w:r w:rsidR="00530361">
        <w:t>,</w:t>
      </w:r>
      <w:r>
        <w:t xml:space="preserve"> but </w:t>
      </w:r>
      <w:r w:rsidR="00530361">
        <w:t xml:space="preserve">rather </w:t>
      </w:r>
      <w:r>
        <w:t xml:space="preserve">specifications </w:t>
      </w:r>
      <w:r w:rsidR="002037BD">
        <w:t>of it</w:t>
      </w:r>
      <w:r w:rsidR="006D36D7">
        <w:t>.</w:t>
      </w:r>
      <w:r>
        <w:t xml:space="preserve"> </w:t>
      </w:r>
      <w:r w:rsidR="006D36D7">
        <w:t>Use of CP for prediction</w:t>
      </w:r>
      <w:r>
        <w:t xml:space="preserve"> requires response functions and an aggregation rule matched to the property of interest.</w:t>
      </w:r>
    </w:p>
    <w:p w14:paraId="2E95B691" w14:textId="16DF19EE" w:rsidR="00F62D18" w:rsidRDefault="00C07156">
      <w:r>
        <w:t xml:space="preserve">Complete interaction networks remain extraordinarily difficult to estimate in natural ecosystems. Our results suggest that forecasting aggregate temporal stability may often require less information. Environmental variation is first filtered through species response functions, and much of that signal survives the subsequent reorganisation of population dynamics by interactions. Community performance </w:t>
      </w:r>
      <w:r w:rsidR="000B2E75">
        <w:t xml:space="preserve">variability </w:t>
      </w:r>
      <w:r>
        <w:t>provide</w:t>
      </w:r>
      <w:r w:rsidR="000B2E75">
        <w:t>s</w:t>
      </w:r>
      <w:r>
        <w:t xml:space="preserve"> a scalable way to extract it, offering a route from species-level environmental responses to forecasts of ecosystem stability under environmental change.</w:t>
      </w:r>
    </w:p>
    <w:p w14:paraId="53BC2C5E" w14:textId="77777777" w:rsidR="006800A6" w:rsidRPr="006245B6" w:rsidRDefault="006800A6" w:rsidP="006800A6">
      <w:pPr>
        <w:pStyle w:val="Heading1"/>
      </w:pPr>
      <w:r w:rsidRPr="006245B6">
        <w:t>Methods</w:t>
      </w:r>
    </w:p>
    <w:p w14:paraId="74FF053C" w14:textId="77777777" w:rsidR="006800A6" w:rsidRPr="006656CD" w:rsidRDefault="006800A6" w:rsidP="006800A6">
      <w:pPr>
        <w:pStyle w:val="Heading3"/>
      </w:pPr>
      <w:r w:rsidRPr="006656CD">
        <w:t>Lotka–Volterra simulations</w:t>
      </w:r>
    </w:p>
    <w:p w14:paraId="7678CEFF" w14:textId="77777777" w:rsidR="006800A6" w:rsidRDefault="006800A6" w:rsidP="006800A6">
      <w:bookmarkStart w:id="7" w:name="consumer-resource-simulations"/>
      <w:r>
        <w:t xml:space="preserve">In the Lotka–Volterra simulations, species biomass was modelled in continuous time. The rate of change in the biomass of species </w:t>
      </w:r>
      <m:oMath>
        <m:r>
          <w:rPr>
            <w:rFonts w:ascii="Cambria Math" w:hAnsi="Cambria Math"/>
          </w:rPr>
          <m:t>i</m:t>
        </m:r>
      </m:oMath>
      <w:r>
        <w:t xml:space="preserve"> depended on its temperature-dependent intrinsic growth rate, its temperature-dependent carrying capacity, the competitive effects of all species in the community, and a constant immigration flux:</w:t>
      </w:r>
    </w:p>
    <w:bookmarkStart w:id="8" w:name="eq-lv-dynamics"/>
    <w:p w14:paraId="13AA04C0" w14:textId="77777777" w:rsidR="006800A6" w:rsidRDefault="006800A6" w:rsidP="006800A6">
      <w:pPr>
        <w:pStyle w:val="BodyText"/>
      </w:pPr>
      <m:oMathPara>
        <m:oMathParaPr>
          <m:jc m:val="center"/>
        </m:oMathParaPr>
        <m:oMath>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N</m:t>
                  </m:r>
                </m:e>
                <m:sub>
                  <m:r>
                    <w:rPr>
                      <w:rFonts w:ascii="Cambria Math" w:hAnsi="Cambria Math"/>
                    </w:rPr>
                    <m:t>i</m:t>
                  </m:r>
                </m:sub>
              </m:sSub>
              <m:r>
                <m:rPr>
                  <m:sty m:val="p"/>
                </m:rPr>
                <w:rPr>
                  <w:rFonts w:ascii="Cambria Math" w:hAnsi="Cambria Math"/>
                </w:rPr>
                <m:t>(</m:t>
              </m:r>
              <m:r>
                <w:rPr>
                  <w:rFonts w:ascii="Cambria Math" w:hAnsi="Cambria Math"/>
                </w:rPr>
                <m:t>t</m:t>
              </m:r>
              <m:r>
                <m:rPr>
                  <m:sty m:val="p"/>
                </m:rPr>
                <w:rPr>
                  <w:rFonts w:ascii="Cambria Math" w:hAnsi="Cambria Math"/>
                </w:rPr>
                <m:t>)</m:t>
              </m:r>
            </m:num>
            <m:den>
              <m:r>
                <w:rPr>
                  <w:rFonts w:ascii="Cambria Math" w:hAnsi="Cambria Math"/>
                </w:rPr>
                <m:t>dt</m:t>
              </m:r>
            </m:den>
          </m:f>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i</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 </m:t>
          </m:r>
          <m:sSub>
            <m:sSubPr>
              <m:ctrlPr>
                <w:rPr>
                  <w:rFonts w:ascii="Cambria Math" w:hAnsi="Cambria Math"/>
                </w:rPr>
              </m:ctrlPr>
            </m:sSubPr>
            <m:e>
              <m:acc>
                <m:accPr>
                  <m:chr m:val="̃"/>
                  <m:ctrlPr>
                    <w:rPr>
                      <w:rFonts w:ascii="Cambria Math" w:hAnsi="Cambria Math"/>
                    </w:rPr>
                  </m:ctrlPr>
                </m:accPr>
                <m:e>
                  <m:r>
                    <w:rPr>
                      <w:rFonts w:ascii="Cambria Math" w:hAnsi="Cambria Math"/>
                    </w:rPr>
                    <m:t>r</m:t>
                  </m:r>
                </m:e>
              </m:acc>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t</m:t>
              </m:r>
            </m:sub>
          </m:sSub>
          <m:r>
            <m:rPr>
              <m:sty m:val="p"/>
            </m:rPr>
            <w:rPr>
              <w:rFonts w:ascii="Cambria Math" w:hAnsi="Cambria Math"/>
            </w:rPr>
            <m:t>)</m:t>
          </m:r>
          <m:d>
            <m:dPr>
              <m:begChr m:val="["/>
              <m:endChr m:val="]"/>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S</m:t>
                      </m:r>
                    </m:sup>
                    <m:e>
                      <m:sSub>
                        <m:sSubPr>
                          <m:ctrlPr>
                            <w:rPr>
                              <w:rFonts w:ascii="Cambria Math" w:hAnsi="Cambria Math"/>
                            </w:rPr>
                          </m:ctrlPr>
                        </m:sSubPr>
                        <m:e>
                          <m:r>
                            <w:rPr>
                              <w:rFonts w:ascii="Cambria Math" w:hAnsi="Cambria Math"/>
                            </w:rPr>
                            <m:t>α</m:t>
                          </m:r>
                        </m:e>
                        <m:sub>
                          <m:r>
                            <w:rPr>
                              <w:rFonts w:ascii="Cambria Math" w:hAnsi="Cambria Math"/>
                            </w:rPr>
                            <m:t>ij</m:t>
                          </m:r>
                        </m:sub>
                      </m:sSub>
                    </m:e>
                  </m:nary>
                  <m:sSub>
                    <m:sSubPr>
                      <m:ctrlPr>
                        <w:rPr>
                          <w:rFonts w:ascii="Cambria Math" w:hAnsi="Cambria Math"/>
                        </w:rPr>
                      </m:ctrlPr>
                    </m:sSubPr>
                    <m:e>
                      <m:r>
                        <w:rPr>
                          <w:rFonts w:ascii="Cambria Math" w:hAnsi="Cambria Math"/>
                        </w:rPr>
                        <m:t>N</m:t>
                      </m:r>
                    </m:e>
                    <m:sub>
                      <m:r>
                        <w:rPr>
                          <w:rFonts w:ascii="Cambria Math" w:hAnsi="Cambria Math"/>
                        </w:rPr>
                        <m:t>j</m:t>
                      </m:r>
                    </m:sub>
                  </m:sSub>
                  <m:r>
                    <m:rPr>
                      <m:sty m:val="p"/>
                    </m:rPr>
                    <w:rPr>
                      <w:rFonts w:ascii="Cambria Math" w:hAnsi="Cambria Math"/>
                    </w:rPr>
                    <m:t>(</m:t>
                  </m:r>
                  <m:r>
                    <w:rPr>
                      <w:rFonts w:ascii="Cambria Math" w:hAnsi="Cambria Math"/>
                    </w:rPr>
                    <m:t>t</m:t>
                  </m:r>
                  <m:r>
                    <m:rPr>
                      <m:sty m:val="p"/>
                    </m:rPr>
                    <w:rPr>
                      <w:rFonts w:ascii="Cambria Math" w:hAnsi="Cambria Math"/>
                    </w:rPr>
                    <m:t>)</m:t>
                  </m:r>
                </m:num>
                <m:den>
                  <m:sSub>
                    <m:sSubPr>
                      <m:ctrlPr>
                        <w:rPr>
                          <w:rFonts w:ascii="Cambria Math" w:hAnsi="Cambria Math"/>
                        </w:rPr>
                      </m:ctrlPr>
                    </m:sSubPr>
                    <m:e>
                      <m:r>
                        <w:rPr>
                          <w:rFonts w:ascii="Cambria Math" w:hAnsi="Cambria Math"/>
                        </w:rPr>
                        <m:t>K</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t</m:t>
                      </m:r>
                    </m:sub>
                  </m:sSub>
                  <m:r>
                    <m:rPr>
                      <m:sty m:val="p"/>
                    </m:rPr>
                    <w:rPr>
                      <w:rFonts w:ascii="Cambria Math" w:hAnsi="Cambria Math"/>
                    </w:rPr>
                    <m:t>)</m:t>
                  </m:r>
                </m:den>
              </m:f>
            </m:e>
          </m:d>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1</m:t>
          </m:r>
          <m:r>
            <m:rPr>
              <m:sty m:val="p"/>
            </m:rPr>
            <w:rPr>
              <w:rFonts w:ascii="Cambria Math" w:hAnsi="Cambria Math"/>
            </w:rPr>
            <m:t>)</m:t>
          </m:r>
        </m:oMath>
      </m:oMathPara>
      <w:bookmarkEnd w:id="8"/>
    </w:p>
    <w:p w14:paraId="7C84F3D1" w14:textId="77777777" w:rsidR="006800A6" w:rsidRDefault="006800A6" w:rsidP="006800A6">
      <w:r>
        <w:t xml:space="preserve">Here, </w:t>
      </w:r>
      <m:oMath>
        <m:sSub>
          <m:sSubPr>
            <m:ctrlPr>
              <w:rPr>
                <w:rFonts w:ascii="Cambria Math" w:hAnsi="Cambria Math"/>
              </w:rPr>
            </m:ctrlPr>
          </m:sSubPr>
          <m:e>
            <m:r>
              <w:rPr>
                <w:rFonts w:ascii="Cambria Math" w:hAnsi="Cambria Math"/>
              </w:rPr>
              <m:t>N</m:t>
            </m:r>
          </m:e>
          <m:sub>
            <m:r>
              <w:rPr>
                <w:rFonts w:ascii="Cambria Math" w:hAnsi="Cambria Math"/>
              </w:rPr>
              <m:t>i</m:t>
            </m:r>
          </m:sub>
        </m:sSub>
        <m:r>
          <m:rPr>
            <m:sty m:val="p"/>
          </m:rPr>
          <w:rPr>
            <w:rFonts w:ascii="Cambria Math" w:hAnsi="Cambria Math"/>
          </w:rPr>
          <m:t>(</m:t>
        </m:r>
        <m:r>
          <w:rPr>
            <w:rFonts w:ascii="Cambria Math" w:hAnsi="Cambria Math"/>
          </w:rPr>
          <m:t>t</m:t>
        </m:r>
        <m:r>
          <m:rPr>
            <m:sty m:val="p"/>
          </m:rPr>
          <w:rPr>
            <w:rFonts w:ascii="Cambria Math" w:hAnsi="Cambria Math"/>
          </w:rPr>
          <m:t>)</m:t>
        </m:r>
      </m:oMath>
      <w:r>
        <w:t xml:space="preserve"> is the biomass of species </w:t>
      </w:r>
      <m:oMath>
        <m:r>
          <w:rPr>
            <w:rFonts w:ascii="Cambria Math" w:hAnsi="Cambria Math"/>
          </w:rPr>
          <m:t>i</m:t>
        </m:r>
      </m:oMath>
      <w:r>
        <w:t xml:space="preserve"> at time </w:t>
      </w:r>
      <m:oMath>
        <m:r>
          <w:rPr>
            <w:rFonts w:ascii="Cambria Math" w:hAnsi="Cambria Math"/>
          </w:rPr>
          <m:t>t</m:t>
        </m:r>
      </m:oMath>
      <w:r>
        <w:t xml:space="preserve">, </w:t>
      </w:r>
      <m:oMath>
        <m:r>
          <w:rPr>
            <w:rFonts w:ascii="Cambria Math" w:hAnsi="Cambria Math"/>
          </w:rPr>
          <m:t>S</m:t>
        </m:r>
      </m:oMath>
      <w:r>
        <w:t xml:space="preserve"> is species richness, </w:t>
      </w:r>
      <m:oMath>
        <m:sSub>
          <m:sSubPr>
            <m:ctrlPr>
              <w:rPr>
                <w:rFonts w:ascii="Cambria Math" w:hAnsi="Cambria Math"/>
              </w:rPr>
            </m:ctrlPr>
          </m:sSubPr>
          <m:e>
            <m:r>
              <w:rPr>
                <w:rFonts w:ascii="Cambria Math" w:hAnsi="Cambria Math"/>
              </w:rPr>
              <m:t>α</m:t>
            </m:r>
          </m:e>
          <m:sub>
            <m:r>
              <w:rPr>
                <w:rFonts w:ascii="Cambria Math" w:hAnsi="Cambria Math"/>
              </w:rPr>
              <m:t>ij</m:t>
            </m:r>
          </m:sub>
        </m:sSub>
      </m:oMath>
      <w:r>
        <w:t xml:space="preserve"> is the effect of species </w:t>
      </w:r>
      <m:oMath>
        <m:r>
          <w:rPr>
            <w:rFonts w:ascii="Cambria Math" w:hAnsi="Cambria Math"/>
          </w:rPr>
          <m:t>j</m:t>
        </m:r>
      </m:oMath>
      <w:r>
        <w:t xml:space="preserve"> on species </w:t>
      </w:r>
      <m:oMath>
        <m:r>
          <w:rPr>
            <w:rFonts w:ascii="Cambria Math" w:hAnsi="Cambria Math"/>
          </w:rPr>
          <m:t>i</m:t>
        </m:r>
      </m:oMath>
      <w:r>
        <w:t xml:space="preserve">, </w:t>
      </w:r>
      <m:oMath>
        <m:sSub>
          <m:sSubPr>
            <m:ctrlPr>
              <w:rPr>
                <w:rFonts w:ascii="Cambria Math" w:hAnsi="Cambria Math"/>
              </w:rPr>
            </m:ctrlPr>
          </m:sSubPr>
          <m:e>
            <m:r>
              <w:rPr>
                <w:rFonts w:ascii="Cambria Math" w:hAnsi="Cambria Math"/>
              </w:rPr>
              <m:t>K</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t</m:t>
            </m:r>
          </m:sub>
        </m:sSub>
        <m:r>
          <m:rPr>
            <m:sty m:val="p"/>
          </m:rPr>
          <w:rPr>
            <w:rFonts w:ascii="Cambria Math" w:hAnsi="Cambria Math"/>
          </w:rPr>
          <m:t>)</m:t>
        </m:r>
      </m:oMath>
      <w:r>
        <w:t xml:space="preserve"> is the temperature-dependent carrying capacity of species </w:t>
      </w:r>
      <m:oMath>
        <m:r>
          <w:rPr>
            <w:rFonts w:ascii="Cambria Math" w:hAnsi="Cambria Math"/>
          </w:rPr>
          <m:t>i</m:t>
        </m:r>
      </m:oMath>
      <w:r>
        <w:t xml:space="preserve"> in the absence of interspecific effects, and </w:t>
      </w:r>
      <m:oMath>
        <m:sSub>
          <m:sSubPr>
            <m:ctrlPr>
              <w:rPr>
                <w:rFonts w:ascii="Cambria Math" w:hAnsi="Cambria Math"/>
              </w:rPr>
            </m:ctrlPr>
          </m:sSubPr>
          <m:e>
            <m:acc>
              <m:accPr>
                <m:chr m:val="̃"/>
                <m:ctrlPr>
                  <w:rPr>
                    <w:rFonts w:ascii="Cambria Math" w:hAnsi="Cambria Math"/>
                  </w:rPr>
                </m:ctrlPr>
              </m:accPr>
              <m:e>
                <m:r>
                  <w:rPr>
                    <w:rFonts w:ascii="Cambria Math" w:hAnsi="Cambria Math"/>
                  </w:rPr>
                  <m:t>r</m:t>
                </m:r>
              </m:e>
            </m:acc>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t</m:t>
            </m:r>
          </m:sub>
        </m:sSub>
        <m:r>
          <m:rPr>
            <m:sty m:val="p"/>
          </m:rPr>
          <w:rPr>
            <w:rFonts w:ascii="Cambria Math" w:hAnsi="Cambria Math"/>
          </w:rPr>
          <m:t>)</m:t>
        </m:r>
      </m:oMath>
      <w:r>
        <w:t xml:space="preserve"> is its temperature-dependent intrinsic growth rate. The implementation defined</w:t>
      </w:r>
    </w:p>
    <w:bookmarkStart w:id="9" w:name="eq-intrinsic-growth"/>
    <w:p w14:paraId="138A905D" w14:textId="77777777" w:rsidR="006800A6" w:rsidRDefault="006800A6" w:rsidP="006800A6">
      <w:pPr>
        <w:pStyle w:val="BodyText"/>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r</m:t>
                  </m:r>
                </m:e>
              </m:acc>
            </m:e>
            <m:sub>
              <m:r>
                <w:rPr>
                  <w:rFonts w:ascii="Cambria Math" w:hAnsi="Cambria Math"/>
                </w:rPr>
                <m:t>i</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i</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ε</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2</m:t>
          </m:r>
          <m:r>
            <m:rPr>
              <m:sty m:val="p"/>
            </m:rPr>
            <w:rPr>
              <w:rFonts w:ascii="Cambria Math" w:hAnsi="Cambria Math"/>
            </w:rPr>
            <m:t>)</m:t>
          </m:r>
        </m:oMath>
      </m:oMathPara>
      <w:bookmarkEnd w:id="9"/>
    </w:p>
    <w:p w14:paraId="45D107CB" w14:textId="77777777" w:rsidR="006800A6" w:rsidRDefault="006800A6" w:rsidP="006800A6">
      <w:r>
        <w:lastRenderedPageBreak/>
        <w:t xml:space="preserve">where </w:t>
      </w:r>
      <m:oMath>
        <m:r>
          <w:rPr>
            <w:rFonts w:ascii="Cambria Math" w:hAnsi="Cambria Math"/>
          </w:rPr>
          <m:t>ε</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6</m:t>
            </m:r>
          </m:sup>
        </m:sSup>
      </m:oMath>
      <w:r>
        <w:t xml:space="preserve"> is a small numerical offset, and set carrying capacity to</w:t>
      </w:r>
    </w:p>
    <w:bookmarkStart w:id="10" w:name="eq-carrying-capacity"/>
    <w:p w14:paraId="7F24BF93" w14:textId="77777777" w:rsidR="006800A6" w:rsidRDefault="006800A6" w:rsidP="006800A6">
      <w:pPr>
        <w:pStyle w:val="BodyText"/>
      </w:pPr>
      <m:oMathPara>
        <m:oMathParaPr>
          <m:jc m:val="center"/>
        </m:oMathParaPr>
        <m:oMath>
          <m:sSub>
            <m:sSubPr>
              <m:ctrlPr>
                <w:rPr>
                  <w:rFonts w:ascii="Cambria Math" w:hAnsi="Cambria Math"/>
                </w:rPr>
              </m:ctrlPr>
            </m:sSubPr>
            <m:e>
              <m:r>
                <w:rPr>
                  <w:rFonts w:ascii="Cambria Math" w:hAnsi="Cambria Math"/>
                </w:rPr>
                <m:t>K</m:t>
              </m:r>
            </m:e>
            <m:sub>
              <m:r>
                <w:rPr>
                  <w:rFonts w:ascii="Cambria Math" w:hAnsi="Cambria Math"/>
                </w:rPr>
                <m:t>i</m:t>
              </m:r>
            </m:sub>
          </m:sSub>
          <m:r>
            <m:rPr>
              <m:sty m:val="p"/>
            </m:rPr>
            <w:rPr>
              <w:rFonts w:ascii="Cambria Math" w:hAnsi="Cambria Math"/>
            </w:rPr>
            <m:t>(</m:t>
          </m:r>
          <m:r>
            <w:rPr>
              <w:rFonts w:ascii="Cambria Math" w:hAnsi="Cambria Math"/>
            </w:rPr>
            <m:t>T</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acc>
                    <m:accPr>
                      <m:chr m:val="̃"/>
                      <m:ctrlPr>
                        <w:rPr>
                          <w:rFonts w:ascii="Cambria Math" w:hAnsi="Cambria Math"/>
                        </w:rPr>
                      </m:ctrlPr>
                    </m:accPr>
                    <m:e>
                      <m:r>
                        <w:rPr>
                          <w:rFonts w:ascii="Cambria Math" w:hAnsi="Cambria Math"/>
                        </w:rPr>
                        <m:t>r</m:t>
                      </m:r>
                    </m:e>
                  </m:acc>
                </m:e>
                <m:sub>
                  <m:r>
                    <w:rPr>
                      <w:rFonts w:ascii="Cambria Math" w:hAnsi="Cambria Math"/>
                    </w:rPr>
                    <m:t>i</m:t>
                  </m:r>
                </m:sub>
              </m:sSub>
              <m:r>
                <m:rPr>
                  <m:sty m:val="p"/>
                </m:rPr>
                <w:rPr>
                  <w:rFonts w:ascii="Cambria Math" w:hAnsi="Cambria Math"/>
                </w:rPr>
                <m:t>(</m:t>
              </m:r>
              <m:r>
                <w:rPr>
                  <w:rFonts w:ascii="Cambria Math" w:hAnsi="Cambria Math"/>
                </w:rPr>
                <m:t>T</m:t>
              </m:r>
              <m:r>
                <m:rPr>
                  <m:sty m:val="p"/>
                </m:rPr>
                <w:rPr>
                  <w:rFonts w:ascii="Cambria Math" w:hAnsi="Cambria Math"/>
                </w:rPr>
                <m:t>)</m:t>
              </m:r>
            </m:num>
            <m:den>
              <m:r>
                <w:rPr>
                  <w:rFonts w:ascii="Cambria Math" w:hAnsi="Cambria Math"/>
                </w:rPr>
                <m:t>β</m:t>
              </m:r>
              <m:r>
                <m:rPr>
                  <m:sty m:val="p"/>
                </m:rPr>
                <w:rPr>
                  <w:rFonts w:ascii="Cambria Math" w:hAnsi="Cambria Math"/>
                </w:rPr>
                <m:t>+</m:t>
              </m:r>
              <m:r>
                <w:rPr>
                  <w:rFonts w:ascii="Cambria Math" w:hAnsi="Cambria Math"/>
                </w:rPr>
                <m:t>δ</m:t>
              </m:r>
            </m:den>
          </m:f>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3</m:t>
          </m:r>
          <m:r>
            <m:rPr>
              <m:sty m:val="p"/>
            </m:rPr>
            <w:rPr>
              <w:rFonts w:ascii="Cambria Math" w:hAnsi="Cambria Math"/>
            </w:rPr>
            <m:t>)</m:t>
          </m:r>
        </m:oMath>
      </m:oMathPara>
      <w:bookmarkEnd w:id="10"/>
    </w:p>
    <w:p w14:paraId="3FD65985" w14:textId="77777777" w:rsidR="006800A6" w:rsidRDefault="006800A6" w:rsidP="006800A6">
      <w:r>
        <w:t xml:space="preserve">with </w:t>
      </w:r>
      <m:oMath>
        <m:r>
          <w:rPr>
            <w:rFonts w:ascii="Cambria Math" w:hAnsi="Cambria Math"/>
          </w:rPr>
          <m:t>β</m:t>
        </m:r>
        <m:r>
          <m:rPr>
            <m:sty m:val="p"/>
          </m:rPr>
          <w:rPr>
            <w:rFonts w:ascii="Cambria Math" w:hAnsi="Cambria Math"/>
          </w:rPr>
          <m:t>=</m:t>
        </m:r>
        <m:r>
          <w:rPr>
            <w:rFonts w:ascii="Cambria Math" w:hAnsi="Cambria Math"/>
          </w:rPr>
          <m:t>δ</m:t>
        </m:r>
        <m:r>
          <m:rPr>
            <m:sty m:val="p"/>
          </m:rPr>
          <w:rPr>
            <w:rFonts w:ascii="Cambria Math" w:hAnsi="Cambria Math"/>
          </w:rPr>
          <m:t>=</m:t>
        </m:r>
        <m:r>
          <w:rPr>
            <w:rFonts w:ascii="Cambria Math" w:hAnsi="Cambria Math"/>
          </w:rPr>
          <m:t>0.001</m:t>
        </m:r>
      </m:oMath>
      <w:r>
        <w:t xml:space="preserve">. Immigration was continuous: </w:t>
      </w:r>
      <m:oMath>
        <m:r>
          <w:rPr>
            <w:rFonts w:ascii="Cambria Math" w:hAnsi="Cambria Math"/>
          </w:rPr>
          <m:t>I</m:t>
        </m:r>
        <m:r>
          <m:rPr>
            <m:sty m:val="p"/>
          </m:rPr>
          <w:rPr>
            <w:rFonts w:ascii="Cambria Math" w:hAnsi="Cambria Math"/>
          </w:rPr>
          <m:t>=</m:t>
        </m:r>
        <m:r>
          <w:rPr>
            <w:rFonts w:ascii="Cambria Math" w:hAnsi="Cambria Math"/>
          </w:rPr>
          <m:t>0.1</m:t>
        </m:r>
      </m:oMath>
      <w:r>
        <w:t xml:space="preserve"> biomass units were added per species per unit time. Thus, 0.1 enters the right-hand side of the differential equation as a constant flux rather than as a discrete pulse after each time step.</w:t>
      </w:r>
    </w:p>
    <w:p w14:paraId="1D352B8B" w14:textId="77777777" w:rsidR="006800A6" w:rsidRDefault="006800A6" w:rsidP="006800A6">
      <w:pPr>
        <w:pStyle w:val="BodyText"/>
      </w:pPr>
      <w:r>
        <w:t>Temperature dependence was represented by a Gaussian birth-rate function and an exponential death-rate function:</w:t>
      </w:r>
    </w:p>
    <w:bookmarkStart w:id="11" w:name="eq-birth-rate"/>
    <w:p w14:paraId="1BD44060" w14:textId="77777777" w:rsidR="006800A6" w:rsidRDefault="006800A6" w:rsidP="006800A6">
      <w:pPr>
        <w:pStyle w:val="BodyText"/>
      </w:pPr>
      <m:oMathPara>
        <m:oMathParaPr>
          <m:jc m:val="center"/>
        </m:oMathParaPr>
        <m:oMath>
          <m:sSub>
            <m:sSubPr>
              <m:ctrlPr>
                <w:rPr>
                  <w:rFonts w:ascii="Cambria Math" w:hAnsi="Cambria Math"/>
                </w:rPr>
              </m:ctrlPr>
            </m:sSubPr>
            <m:e>
              <m:r>
                <w:rPr>
                  <w:rFonts w:ascii="Cambria Math" w:hAnsi="Cambria Math"/>
                </w:rPr>
                <m:t>b</m:t>
              </m:r>
            </m:e>
            <m:sub>
              <m:r>
                <w:rPr>
                  <w:rFonts w:ascii="Cambria Math" w:hAnsi="Cambria Math"/>
                </w:rPr>
                <m:t>i</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b</m:t>
              </m:r>
              <m:r>
                <m:rPr>
                  <m:sty m:val="p"/>
                </m:rPr>
                <w:rPr>
                  <w:rFonts w:ascii="Cambria Math" w:hAnsi="Cambria Math"/>
                </w:rPr>
                <m:t>,</m:t>
              </m:r>
              <m:r>
                <w:rPr>
                  <w:rFonts w:ascii="Cambria Math" w:hAnsi="Cambria Math"/>
                </w:rPr>
                <m:t>i</m:t>
              </m:r>
            </m:sub>
          </m:sSub>
          <m:r>
            <m:rPr>
              <m:sty m:val="p"/>
            </m:rPr>
            <w:rPr>
              <w:rFonts w:ascii="Cambria Math" w:hAnsi="Cambria Math"/>
            </w:rPr>
            <m:t>exp</m:t>
          </m:r>
          <m:d>
            <m:dPr>
              <m:begChr m:val="["/>
              <m:endChr m:val="]"/>
              <m:ctrlPr>
                <w:rPr>
                  <w:rFonts w:ascii="Cambria Math" w:hAnsi="Cambria Math"/>
                </w:rPr>
              </m:ctrlPr>
            </m:dPr>
            <m:e>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m:rPr>
                                  <m:sty m:val="p"/>
                                </m:rPr>
                                <w:rPr>
                                  <w:rFonts w:ascii="Cambria Math" w:hAnsi="Cambria Math"/>
                                </w:rPr>
                                <m:t>opt,</m:t>
                              </m:r>
                              <m:r>
                                <w:rPr>
                                  <w:rFonts w:ascii="Cambria Math" w:hAnsi="Cambria Math"/>
                                </w:rPr>
                                <m:t>i</m:t>
                              </m:r>
                            </m:sub>
                          </m:sSub>
                        </m:num>
                        <m:den>
                          <m:sSub>
                            <m:sSubPr>
                              <m:ctrlPr>
                                <w:rPr>
                                  <w:rFonts w:ascii="Cambria Math" w:hAnsi="Cambria Math"/>
                                </w:rPr>
                              </m:ctrlPr>
                            </m:sSubPr>
                            <m:e>
                              <m:r>
                                <w:rPr>
                                  <w:rFonts w:ascii="Cambria Math" w:hAnsi="Cambria Math"/>
                                </w:rPr>
                                <m:t>s</m:t>
                              </m:r>
                            </m:e>
                            <m:sub>
                              <m:r>
                                <w:rPr>
                                  <w:rFonts w:ascii="Cambria Math" w:hAnsi="Cambria Math"/>
                                </w:rPr>
                                <m:t>i</m:t>
                              </m:r>
                            </m:sub>
                          </m:sSub>
                        </m:den>
                      </m:f>
                    </m:e>
                  </m:d>
                </m:e>
                <m:sup>
                  <m:r>
                    <w:rPr>
                      <w:rFonts w:ascii="Cambria Math" w:hAnsi="Cambria Math"/>
                    </w:rPr>
                    <m:t>2</m:t>
                  </m:r>
                </m:sup>
              </m:sSup>
            </m:e>
          </m:d>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4</m:t>
          </m:r>
          <m:r>
            <m:rPr>
              <m:sty m:val="p"/>
            </m:rPr>
            <w:rPr>
              <w:rFonts w:ascii="Cambria Math" w:hAnsi="Cambria Math"/>
            </w:rPr>
            <m:t>)</m:t>
          </m:r>
        </m:oMath>
      </m:oMathPara>
      <w:bookmarkEnd w:id="11"/>
    </w:p>
    <w:bookmarkStart w:id="12" w:name="eq-death-rate"/>
    <w:p w14:paraId="38B6644A" w14:textId="77777777" w:rsidR="006800A6" w:rsidRDefault="006800A6" w:rsidP="006800A6">
      <w:pPr>
        <w:pStyle w:val="FirstParagraph"/>
      </w:pPr>
      <m:oMathPara>
        <m:oMathParaPr>
          <m:jc m:val="center"/>
        </m:oMathParaPr>
        <m:oMath>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d</m:t>
              </m:r>
              <m:r>
                <m:rPr>
                  <m:sty m:val="p"/>
                </m:rPr>
                <w:rPr>
                  <w:rFonts w:ascii="Cambria Math" w:hAnsi="Cambria Math"/>
                </w:rPr>
                <m:t>,</m:t>
              </m:r>
              <m:r>
                <w:rPr>
                  <w:rFonts w:ascii="Cambria Math" w:hAnsi="Cambria Math"/>
                </w:rPr>
                <m:t>i</m:t>
              </m:r>
            </m:sub>
          </m:sSub>
          <m:r>
            <m:rPr>
              <m:sty m:val="p"/>
            </m:rPr>
            <w:rPr>
              <w:rFonts w:ascii="Cambria Math" w:hAnsi="Cambria Math"/>
            </w:rPr>
            <m:t>exp(</m:t>
          </m:r>
          <m:sSub>
            <m:sSubPr>
              <m:ctrlPr>
                <w:rPr>
                  <w:rFonts w:ascii="Cambria Math" w:hAnsi="Cambria Math"/>
                </w:rPr>
              </m:ctrlPr>
            </m:sSubPr>
            <m:e>
              <m:r>
                <w:rPr>
                  <w:rFonts w:ascii="Cambria Math" w:hAnsi="Cambria Math"/>
                </w:rPr>
                <m:t>z</m:t>
              </m:r>
            </m:e>
            <m:sub>
              <m:r>
                <w:rPr>
                  <w:rFonts w:ascii="Cambria Math" w:hAnsi="Cambria Math"/>
                </w:rPr>
                <m:t>i</m:t>
              </m:r>
            </m:sub>
          </m:sSub>
          <m:r>
            <w:rPr>
              <w:rFonts w:ascii="Cambria Math" w:hAnsi="Cambria Math"/>
            </w:rPr>
            <m:t>T</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5</m:t>
          </m:r>
          <m:r>
            <m:rPr>
              <m:sty m:val="p"/>
            </m:rPr>
            <w:rPr>
              <w:rFonts w:ascii="Cambria Math" w:hAnsi="Cambria Math"/>
            </w:rPr>
            <m:t>)</m:t>
          </m:r>
        </m:oMath>
      </m:oMathPara>
      <w:bookmarkEnd w:id="12"/>
    </w:p>
    <w:p w14:paraId="48323450" w14:textId="77777777" w:rsidR="006800A6" w:rsidRPr="00900E09" w:rsidRDefault="006800A6" w:rsidP="006800A6">
      <w:pPr>
        <w:pStyle w:val="FirstParagraph"/>
        <w:rPr>
          <w:rFonts w:ascii="Times New Roman" w:hAnsi="Times New Roman"/>
        </w:rPr>
      </w:pPr>
      <w:r w:rsidRPr="00900E09">
        <w:rPr>
          <w:rFonts w:ascii="Times New Roman" w:hAnsi="Times New Roman"/>
        </w:rPr>
        <w:t xml:space="preserve">where </w:t>
      </w:r>
      <m:oMath>
        <m:sSub>
          <m:sSubPr>
            <m:ctrlPr>
              <w:rPr>
                <w:rFonts w:ascii="Cambria Math" w:hAnsi="Cambria Math"/>
              </w:rPr>
            </m:ctrlPr>
          </m:sSubPr>
          <m:e>
            <m:r>
              <w:rPr>
                <w:rFonts w:ascii="Cambria Math" w:hAnsi="Cambria Math"/>
              </w:rPr>
              <m:t>a</m:t>
            </m:r>
          </m:e>
          <m:sub>
            <m:r>
              <w:rPr>
                <w:rFonts w:ascii="Cambria Math" w:hAnsi="Cambria Math"/>
              </w:rPr>
              <m:t>b</m:t>
            </m:r>
            <m:r>
              <m:rPr>
                <m:sty m:val="p"/>
              </m:rPr>
              <w:rPr>
                <w:rFonts w:ascii="Cambria Math" w:hAnsi="Cambria Math"/>
              </w:rPr>
              <m:t>,</m:t>
            </m:r>
            <m:r>
              <w:rPr>
                <w:rFonts w:ascii="Cambria Math" w:hAnsi="Cambria Math"/>
              </w:rPr>
              <m:t>i</m:t>
            </m:r>
          </m:sub>
        </m:sSub>
      </m:oMath>
      <w:r w:rsidRPr="00900E09">
        <w:rPr>
          <w:rFonts w:ascii="Times New Roman" w:hAnsi="Times New Roman"/>
        </w:rPr>
        <w:t xml:space="preserve"> is the birth rate at the species’ thermal optimum </w:t>
      </w:r>
      <m:oMath>
        <m:sSub>
          <m:sSubPr>
            <m:ctrlPr>
              <w:rPr>
                <w:rFonts w:ascii="Cambria Math" w:hAnsi="Cambria Math"/>
              </w:rPr>
            </m:ctrlPr>
          </m:sSubPr>
          <m:e>
            <m:r>
              <w:rPr>
                <w:rFonts w:ascii="Cambria Math" w:hAnsi="Cambria Math"/>
              </w:rPr>
              <m:t>T</m:t>
            </m:r>
          </m:e>
          <m:sub>
            <m:r>
              <m:rPr>
                <m:sty m:val="p"/>
              </m:rPr>
              <w:rPr>
                <w:rFonts w:ascii="Cambria Math" w:hAnsi="Cambria Math"/>
              </w:rPr>
              <m:t>opt,</m:t>
            </m:r>
            <m:r>
              <w:rPr>
                <w:rFonts w:ascii="Cambria Math" w:hAnsi="Cambria Math"/>
              </w:rPr>
              <m:t>i</m:t>
            </m:r>
          </m:sub>
        </m:sSub>
      </m:oMath>
      <w:r w:rsidRPr="00900E09">
        <w:rPr>
          <w:rFonts w:ascii="Times New Roman" w:hAnsi="Times New Roman"/>
        </w:rPr>
        <w:t xml:space="preserve">, </w:t>
      </w:r>
      <m:oMath>
        <m:sSub>
          <m:sSubPr>
            <m:ctrlPr>
              <w:rPr>
                <w:rFonts w:ascii="Cambria Math" w:hAnsi="Cambria Math"/>
              </w:rPr>
            </m:ctrlPr>
          </m:sSubPr>
          <m:e>
            <m:r>
              <w:rPr>
                <w:rFonts w:ascii="Cambria Math" w:hAnsi="Cambria Math"/>
              </w:rPr>
              <m:t>s</m:t>
            </m:r>
          </m:e>
          <m:sub>
            <m:r>
              <w:rPr>
                <w:rFonts w:ascii="Cambria Math" w:hAnsi="Cambria Math"/>
              </w:rPr>
              <m:t>i</m:t>
            </m:r>
          </m:sub>
        </m:sSub>
      </m:oMath>
      <w:r w:rsidRPr="00900E09">
        <w:rPr>
          <w:rFonts w:ascii="Times New Roman" w:hAnsi="Times New Roman"/>
        </w:rPr>
        <w:t xml:space="preserve"> controls the breadth of the birth-rate curve, </w:t>
      </w:r>
      <m:oMath>
        <m:sSub>
          <m:sSubPr>
            <m:ctrlPr>
              <w:rPr>
                <w:rFonts w:ascii="Cambria Math" w:hAnsi="Cambria Math"/>
              </w:rPr>
            </m:ctrlPr>
          </m:sSubPr>
          <m:e>
            <m:r>
              <w:rPr>
                <w:rFonts w:ascii="Cambria Math" w:hAnsi="Cambria Math"/>
              </w:rPr>
              <m:t>a</m:t>
            </m:r>
          </m:e>
          <m:sub>
            <m:r>
              <w:rPr>
                <w:rFonts w:ascii="Cambria Math" w:hAnsi="Cambria Math"/>
              </w:rPr>
              <m:t>d</m:t>
            </m:r>
            <m:r>
              <m:rPr>
                <m:sty m:val="p"/>
              </m:rPr>
              <w:rPr>
                <w:rFonts w:ascii="Cambria Math" w:hAnsi="Cambria Math"/>
              </w:rPr>
              <m:t>,</m:t>
            </m:r>
            <m:r>
              <w:rPr>
                <w:rFonts w:ascii="Cambria Math" w:hAnsi="Cambria Math"/>
              </w:rPr>
              <m:t>i</m:t>
            </m:r>
          </m:sub>
        </m:sSub>
      </m:oMath>
      <w:r w:rsidRPr="00900E09">
        <w:rPr>
          <w:rFonts w:ascii="Times New Roman" w:hAnsi="Times New Roman"/>
        </w:rPr>
        <w:t xml:space="preserve"> is the death rate at </w:t>
      </w:r>
      <m:oMath>
        <m:r>
          <w:rPr>
            <w:rFonts w:ascii="Cambria Math" w:hAnsi="Cambria Math"/>
          </w:rPr>
          <m:t>T</m:t>
        </m:r>
        <m:r>
          <m:rPr>
            <m:sty m:val="p"/>
          </m:rPr>
          <w:rPr>
            <w:rFonts w:ascii="Cambria Math" w:hAnsi="Cambria Math"/>
          </w:rPr>
          <m:t>=</m:t>
        </m:r>
        <m:r>
          <w:rPr>
            <w:rFonts w:ascii="Cambria Math" w:hAnsi="Cambria Math"/>
          </w:rPr>
          <m:t>0</m:t>
        </m:r>
      </m:oMath>
      <w:r w:rsidRPr="00900E09">
        <w:rPr>
          <w:rFonts w:ascii="Times New Roman" w:hAnsi="Times New Roman"/>
        </w:rPr>
        <w:t xml:space="preserve">, and </w:t>
      </w:r>
      <m:oMath>
        <m:sSub>
          <m:sSubPr>
            <m:ctrlPr>
              <w:rPr>
                <w:rFonts w:ascii="Cambria Math" w:hAnsi="Cambria Math"/>
              </w:rPr>
            </m:ctrlPr>
          </m:sSubPr>
          <m:e>
            <m:r>
              <w:rPr>
                <w:rFonts w:ascii="Cambria Math" w:hAnsi="Cambria Math"/>
              </w:rPr>
              <m:t>z</m:t>
            </m:r>
          </m:e>
          <m:sub>
            <m:r>
              <w:rPr>
                <w:rFonts w:ascii="Cambria Math" w:hAnsi="Cambria Math"/>
              </w:rPr>
              <m:t>i</m:t>
            </m:r>
          </m:sub>
        </m:sSub>
      </m:oMath>
      <w:r w:rsidRPr="00900E09">
        <w:rPr>
          <w:rFonts w:ascii="Times New Roman" w:hAnsi="Times New Roman"/>
        </w:rPr>
        <w:t xml:space="preserve"> controls the temperature dependence of death. In the simulations, </w:t>
      </w:r>
      <m:oMath>
        <m:sSub>
          <m:sSubPr>
            <m:ctrlPr>
              <w:rPr>
                <w:rFonts w:ascii="Cambria Math" w:hAnsi="Cambria Math"/>
              </w:rPr>
            </m:ctrlPr>
          </m:sSubPr>
          <m:e>
            <m:r>
              <w:rPr>
                <w:rFonts w:ascii="Cambria Math" w:hAnsi="Cambria Math"/>
              </w:rPr>
              <m:t>a</m:t>
            </m:r>
          </m:e>
          <m:sub>
            <m:r>
              <w:rPr>
                <w:rFonts w:ascii="Cambria Math" w:hAnsi="Cambria Math"/>
              </w:rPr>
              <m:t>b</m:t>
            </m:r>
            <m:r>
              <m:rPr>
                <m:sty m:val="p"/>
              </m:rPr>
              <w:rPr>
                <w:rFonts w:ascii="Cambria Math" w:hAnsi="Cambria Math"/>
              </w:rPr>
              <m:t>,</m:t>
            </m:r>
            <m:r>
              <w:rPr>
                <w:rFonts w:ascii="Cambria Math" w:hAnsi="Cambria Math"/>
              </w:rPr>
              <m:t>i</m:t>
            </m:r>
          </m:sub>
        </m:sSub>
        <m:r>
          <m:rPr>
            <m:sty m:val="p"/>
          </m:rPr>
          <w:rPr>
            <w:rFonts w:ascii="Cambria Math" w:hAnsi="Cambria Math"/>
          </w:rPr>
          <m:t>=</m:t>
        </m:r>
        <m:r>
          <w:rPr>
            <w:rFonts w:ascii="Cambria Math" w:hAnsi="Cambria Math"/>
          </w:rPr>
          <m:t>0.3</m:t>
        </m:r>
      </m:oMath>
      <w:r w:rsidRPr="00900E09">
        <w:rPr>
          <w:rFonts w:ascii="Times New Roman" w:hAnsi="Times New Roman"/>
        </w:rPr>
        <w:t xml:space="preserve"> and </w:t>
      </w:r>
      <m:oMath>
        <m:sSub>
          <m:sSubPr>
            <m:ctrlPr>
              <w:rPr>
                <w:rFonts w:ascii="Cambria Math" w:hAnsi="Cambria Math"/>
              </w:rPr>
            </m:ctrlPr>
          </m:sSubPr>
          <m:e>
            <m:r>
              <w:rPr>
                <w:rFonts w:ascii="Cambria Math" w:hAnsi="Cambria Math"/>
              </w:rPr>
              <m:t>a</m:t>
            </m:r>
          </m:e>
          <m:sub>
            <m:r>
              <w:rPr>
                <w:rFonts w:ascii="Cambria Math" w:hAnsi="Cambria Math"/>
              </w:rPr>
              <m:t>d</m:t>
            </m:r>
            <m:r>
              <m:rPr>
                <m:sty m:val="p"/>
              </m:rPr>
              <w:rPr>
                <w:rFonts w:ascii="Cambria Math" w:hAnsi="Cambria Math"/>
              </w:rPr>
              <m:t>,</m:t>
            </m:r>
            <m:r>
              <w:rPr>
                <w:rFonts w:ascii="Cambria Math" w:hAnsi="Cambria Math"/>
              </w:rPr>
              <m:t>i</m:t>
            </m:r>
          </m:sub>
        </m:sSub>
        <m:r>
          <m:rPr>
            <m:sty m:val="p"/>
          </m:rPr>
          <w:rPr>
            <w:rFonts w:ascii="Cambria Math" w:hAnsi="Cambria Math"/>
          </w:rPr>
          <m:t>=</m:t>
        </m:r>
        <m:r>
          <w:rPr>
            <w:rFonts w:ascii="Cambria Math" w:hAnsi="Cambria Math"/>
          </w:rPr>
          <m:t>0</m:t>
        </m:r>
      </m:oMath>
      <w:r w:rsidRPr="00900E09">
        <w:rPr>
          <w:rFonts w:ascii="Times New Roman" w:hAnsi="Times New Roman"/>
        </w:rPr>
        <w:t xml:space="preserve"> for all species, making </w:t>
      </w:r>
      <m:oMath>
        <m:sSub>
          <m:sSubPr>
            <m:ctrlPr>
              <w:rPr>
                <w:rFonts w:ascii="Cambria Math" w:hAnsi="Cambria Math"/>
              </w:rPr>
            </m:ctrlPr>
          </m:sSubPr>
          <m:e>
            <m:r>
              <w:rPr>
                <w:rFonts w:ascii="Cambria Math" w:hAnsi="Cambria Math"/>
              </w:rPr>
              <m:t>z</m:t>
            </m:r>
          </m:e>
          <m:sub>
            <m:r>
              <w:rPr>
                <w:rFonts w:ascii="Cambria Math" w:hAnsi="Cambria Math"/>
              </w:rPr>
              <m:t>i</m:t>
            </m:r>
          </m:sub>
        </m:sSub>
      </m:oMath>
      <w:r w:rsidRPr="00900E09">
        <w:rPr>
          <w:rFonts w:ascii="Times New Roman" w:hAnsi="Times New Roman"/>
        </w:rPr>
        <w:t xml:space="preserve"> irrelevant.</w:t>
      </w:r>
    </w:p>
    <w:p w14:paraId="490DBB33" w14:textId="77777777" w:rsidR="006800A6" w:rsidRDefault="006800A6" w:rsidP="006800A6">
      <w:pPr>
        <w:pStyle w:val="BodyText"/>
      </w:pPr>
      <w:r>
        <w:t xml:space="preserve">Communities were assembled using the same factorial design in two independent Lotka–Volterra runs. Species richness was 4, 8, or 12. Species thermal optima were drawn from uniform distributions with means of 16, 20, or 24 °C and ranges of 0, 2, or 4 °C. Thermal breadths were drawn from uniform distributions with mean breadths of 6, 10, or 14 and breadth ranges of 4 or 10. Intraspecific competition was fixed at </w:t>
      </w:r>
      <m:oMath>
        <m:sSub>
          <m:sSubPr>
            <m:ctrlPr>
              <w:rPr>
                <w:rFonts w:ascii="Cambria Math" w:hAnsi="Cambria Math"/>
              </w:rPr>
            </m:ctrlPr>
          </m:sSubPr>
          <m:e>
            <m:r>
              <w:rPr>
                <w:rFonts w:ascii="Cambria Math" w:hAnsi="Cambria Math"/>
              </w:rPr>
              <m:t>α</m:t>
            </m:r>
          </m:e>
          <m:sub>
            <m:r>
              <w:rPr>
                <w:rFonts w:ascii="Cambria Math" w:hAnsi="Cambria Math"/>
              </w:rPr>
              <m:t>ii</m:t>
            </m:r>
          </m:sub>
        </m:sSub>
        <m:r>
          <m:rPr>
            <m:sty m:val="p"/>
          </m:rPr>
          <w:rPr>
            <w:rFonts w:ascii="Cambria Math" w:hAnsi="Cambria Math"/>
          </w:rPr>
          <m:t>=</m:t>
        </m:r>
        <m:r>
          <w:rPr>
            <w:rFonts w:ascii="Cambria Math" w:hAnsi="Cambria Math"/>
          </w:rPr>
          <m:t>1</m:t>
        </m:r>
      </m:oMath>
      <w:r>
        <w:t>. In one run, interspecific competition coefficients were drawn from asymmetric uniform distributions with mean strengths of 0, 0.25, 0.5, 0.75, or 1. In the other, coefficients were drawn from symmetric log-normal distributions with the same median strengths and a log-scale standard deviation of 0.5. Three community replicates were crossed with three temperature time series for each factorial combination, yielding 7,290 simulations per run.</w:t>
      </w:r>
    </w:p>
    <w:p w14:paraId="2ED38113" w14:textId="77777777" w:rsidR="006800A6" w:rsidRDefault="006800A6" w:rsidP="006800A6">
      <w:pPr>
        <w:pStyle w:val="BodyText"/>
      </w:pPr>
      <w:r>
        <w:t xml:space="preserve">The ordinary differential equations were integrated with the </w:t>
      </w:r>
      <w:r w:rsidRPr="00652604">
        <w:rPr>
          <w:rStyle w:val="VerbatimChar"/>
          <w:rFonts w:ascii="Times New Roman" w:hAnsi="Times New Roman"/>
        </w:rPr>
        <w:t>lsoda</w:t>
      </w:r>
      <w:r>
        <w:t xml:space="preserve"> solver in the </w:t>
      </w:r>
      <w:r w:rsidRPr="00652604">
        <w:t xml:space="preserve">deSolve </w:t>
      </w:r>
      <w:r>
        <w:t xml:space="preserve">R package </w:t>
      </w:r>
      <w:r>
        <w:fldChar w:fldCharType="begin"/>
      </w:r>
      <w:r>
        <w:instrText xml:space="preserve"> ADDIN ZOTERO_ITEM CSL_CITATION {"citationID":"7MGIojX1","properties":{"unsorted":false,"formattedCitation":"(Soetaert {\\i{}et al.} 2010)","plainCitation":"(Soetaert et al. 2010)","noteIndex":0},"citationItems":[{"id":3664,"uris":["http://zotero.org/users/10426170/items/2GF397BP"],"itemData":{"id":3664,"type":"article-journal","abstract":"In this paper we present the R package deSolve to solve initial value problems (IVP) written as ordinary differential equations (ODE), differential algebraic equations (DAE) of index 0 or 1 and partial differential equations (PDE), the latter solved using the method of lines approach. The differential equations can be represented in R code or as compiled code. In the latter case, R is used as a tool to trigger the integration and post-process the results, which facilitates model development and application, whilst the compiled code significantly increases simulation speed. The methods implemented are efficient, robust, and well documented public-domain Fortran routines. They include four integrators from the ODEPACK package (LSODE, LSODES, LSODA, LSODAR), DVODE and DASPK2.0. In addition, a suite of Runge-Kutta integrators and special-purpose solvers to efficiently integrate 1-, 2- and 3-dimensional partial differential equations are available. The routines solve both stiff and non-stiff systems, and include many options, e.g., to deal in an efficient way with the sparsity of the Jacobian matrix, or finding the root of equations. In this article, our objectives are threefold: (1) to demonstrate the potential of using R for dynamic modeling, (2) to highlight typical uses of the different methods implemented and (3) to compare the performance of models specified in R code and in compiled code for a number of test cases. These comparisons demonstrate that, if the use of loops is avoided, R code can efficiently integrate problems comprising several thousands of state variables. Nevertheless, the same problem may be solved from 2 to more than 50 times faster by using compiled code compared to an implementation using only R code. Still, amongst the benefits of R are a more flexible and interactive implementation, better readability of the code, and access to R’s high-level procedures. deSolve is the successor of package odesolve which will be deprecated in the future; it is free software and distributed under the GNU General Public License, as part of the R software project.","container-title":"Journal of Statistical Software","DOI":"10.18637/jss.v033.i09","ISSN":"1548-7660","language":"en","license":"Copyright (c) 2008 Karline  Soetaert, Thomas Petzoldt, R. Woodrow Setzer","page":"1-25","source":"www.jstatsoft.org","title":"Solving Differential Equations in R: Package deSolve","title-short":"Solving Differential Equations in R","volume":"33","author":[{"family":"Soetaert","given":"Karline"},{"family":"Petzoldt","given":"Thomas"},{"family":"Setzer","given":"R. Woodrow"}],"issued":{"date-parts":[["2010",2,23]]}}}],"schema":"https://github.com/citation-style-language/schema/raw/master/csl-citation.json"} </w:instrText>
      </w:r>
      <w:r>
        <w:fldChar w:fldCharType="separate"/>
      </w:r>
      <w:r w:rsidRPr="00515541">
        <w:rPr>
          <w:rFonts w:eastAsiaTheme="minorEastAsia"/>
          <w:szCs w:val="24"/>
        </w:rPr>
        <w:t xml:space="preserve">(Soetaert </w:t>
      </w:r>
      <w:r w:rsidRPr="00515541">
        <w:rPr>
          <w:rFonts w:eastAsiaTheme="minorEastAsia"/>
          <w:i/>
          <w:iCs/>
          <w:szCs w:val="24"/>
        </w:rPr>
        <w:t>et al.</w:t>
      </w:r>
      <w:r w:rsidRPr="00515541">
        <w:rPr>
          <w:rFonts w:eastAsiaTheme="minorEastAsia"/>
          <w:szCs w:val="24"/>
        </w:rPr>
        <w:t xml:space="preserve"> 2010)</w:t>
      </w:r>
      <w:r>
        <w:fldChar w:fldCharType="end"/>
      </w:r>
      <w:r>
        <w:t xml:space="preserve">. Temperature was linearly interpolated during integration. We used relative and absolute error tolerances of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2</m:t>
            </m:r>
          </m:sup>
        </m:sSup>
      </m:oMath>
      <w:r>
        <w:t xml:space="preserve"> and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w:r>
        <w:t xml:space="preserve">, respectively, and constrained the maximum integration step to one time unit. Each simulation used a 200-time-unit burn-in followed by 2,000 time units of environmental forcing. During the forced period, temperature had a mean of 20 °C, a standard deviation of 4 °C, and </w:t>
      </w:r>
      <m:oMath>
        <m:r>
          <w:rPr>
            <w:rFonts w:ascii="Cambria Math" w:hAnsi="Cambria Math"/>
          </w:rPr>
          <m:t>1</m:t>
        </m:r>
        <m:r>
          <m:rPr>
            <m:sty m:val="p"/>
          </m:rPr>
          <w:rPr>
            <w:rFonts w:ascii="Cambria Math" w:hAnsi="Cambria Math"/>
          </w:rPr>
          <m:t>/</m:t>
        </m:r>
        <m:r>
          <w:rPr>
            <w:rFonts w:ascii="Cambria Math" w:hAnsi="Cambria Math"/>
          </w:rPr>
          <m:t>f</m:t>
        </m:r>
      </m:oMath>
      <w:r>
        <w:t xml:space="preserve"> temporal autocorrelation with exponent </w:t>
      </w:r>
      <m:oMath>
        <m:r>
          <w:rPr>
            <w:rFonts w:ascii="Cambria Math" w:hAnsi="Cambria Math"/>
          </w:rPr>
          <m:t>γ</m:t>
        </m:r>
        <m:r>
          <m:rPr>
            <m:sty m:val="p"/>
          </m:rPr>
          <w:rPr>
            <w:rFonts w:ascii="Cambria Math" w:hAnsi="Cambria Math"/>
          </w:rPr>
          <m:t>=</m:t>
        </m:r>
        <m:r>
          <w:rPr>
            <w:rFonts w:ascii="Cambria Math" w:hAnsi="Cambria Math"/>
          </w:rPr>
          <m:t>0.8</m:t>
        </m:r>
      </m:oMath>
      <w:r>
        <w:t>.</w:t>
      </w:r>
    </w:p>
    <w:p w14:paraId="030B7ED0" w14:textId="77777777" w:rsidR="006800A6" w:rsidRPr="000A5E99" w:rsidRDefault="006800A6" w:rsidP="006800A6">
      <w:pPr>
        <w:pStyle w:val="Heading3"/>
      </w:pPr>
      <w:r>
        <w:rPr>
          <w:rFonts w:cs="Times New Roman"/>
          <w:sz w:val="22"/>
        </w:rPr>
        <w:t>Consumer–resource simulations</w:t>
      </w:r>
    </w:p>
    <w:p w14:paraId="6B0C9AEC" w14:textId="77777777" w:rsidR="006800A6" w:rsidRPr="005A24FF" w:rsidRDefault="006800A6" w:rsidP="006800A6">
      <w:bookmarkStart w:id="13" w:name="community-performance-curves"/>
      <w:bookmarkEnd w:id="7"/>
      <w:r>
        <w:t>A</w:t>
      </w:r>
      <w:r w:rsidRPr="005A24FF">
        <w:t xml:space="preserve"> consumer–resource model </w:t>
      </w:r>
      <w:r>
        <w:fldChar w:fldCharType="begin"/>
      </w:r>
      <w:r>
        <w:instrText xml:space="preserve"> ADDIN ZOTERO_ITEM CSL_CITATION {"citationID":"2eHHtx9S","properties":{"unsorted":false,"formattedCitation":"(Gonzalez &amp; Feo 2007; L. \\uc0\\u160{}Lehman &amp; Tilman 2000)","plainCitation":"(Gonzalez &amp; Feo 2007; L.  Lehman &amp; Tilman 2000)","dontUpdate":true,"noteIndex":0},"citationItems":[{"id":3665,"uris":["http://zotero.org/users/10426170/items/HPLUKFBN"],"itemData":{"id":3665,"type":"chapter","DOI":"10.1007/978-1-4020-5851-6_8","ISBN":"978-1-4020-5850-9","page":"159-177","source":"ResearchGate","title":"Environmental Variability Modulates the Insurance Effects of Diversity in Non-equilibrium Communities","author":[{"family":"Gonzalez","given":"Andrew"},{"family":"Feo","given":"Oscar"}],"issued":{"date-parts":[["2007",5,8]]}}},{"id":3394,"uris":["http://zotero.org/users/10426170/items/F2DMXFTM"],"itemData":{"id":3394,"type":"article-journal","abstract":"abstract: Three markedly different models of multispecies competition—one mechanistic, one phenomenological, and one statistical—all predict that greater diversity increases the temporal stability of the entire community, decreases the temporal stability of individual populations, and increases community productivity. We define temporal stability as the ratio of mean abundance to its standard deviation. Interestingly, the temporal stability of entire communities is predicted to increase fairly linearly, without clear saturation, as diversity increases. Species composition is predicted to be as important as diversity in affecting community stability and productivity. The greater temporal stability of more diverse communities is caused by higher productivity at higher diversity (the “overyielding” effect), competitive interactions (the “covariance” effect), and statistical averaging (the “portfolio” effect). The relative contribution of each cause of temporal stability changes as diversity increases, but the net effect is that greater diversity stabilizes the community even though it destabilizes individual populations. This theory agrees with recent experiments and provides a degree of resolution to the diversity‐stability debate: both sides of the longstanding debate were correct, but one addressed population stability and the other addressed community stability.","archive_location":"world","container-title":"The American Naturalist","DOI":"10.1086/303402","ISSN":"0003-0147","language":"en","license":"© 2000 by The University of Chicago.","publisher":"The University of Chicago Press","source":"www.journals.uchicago.edu","title":"Biodiversity, Stability, and Productivity in Competitive Communities","URL":"https://www.journals.uchicago.edu/doi/10.1086/303402","author":[{"family":"L.  Lehman","given":"Clarence"},{"family":"Tilman","given":"David"}],"accessed":{"date-parts":[["2025",9,29]]},"issued":{"date-parts":[["2000",11]]}}}],"schema":"https://github.com/citation-style-language/schema/raw/master/csl-citation.json"} </w:instrText>
      </w:r>
      <w:r>
        <w:fldChar w:fldCharType="separate"/>
      </w:r>
      <w:r w:rsidRPr="000A5E99">
        <w:rPr>
          <w:rFonts w:eastAsiaTheme="minorEastAsia"/>
          <w:szCs w:val="24"/>
        </w:rPr>
        <w:t>(Gonzalez &amp; Feo 2007;  Lehman &amp; Tilman 2000)</w:t>
      </w:r>
      <w:r>
        <w:fldChar w:fldCharType="end"/>
      </w:r>
      <w:r>
        <w:t xml:space="preserve"> </w:t>
      </w:r>
      <w:r w:rsidRPr="005A24FF">
        <w:t xml:space="preserve">was used as a mechanistic test of </w:t>
      </w:r>
      <w:r>
        <w:t>CP</w:t>
      </w:r>
      <w:r w:rsidRPr="005A24FF">
        <w:t xml:space="preserve"> construction when species abundance is mediated by explicit resource dynamics rather than by a direct Lotka–Volterra performance-to-abundance link. For a community with </w:t>
      </w:r>
      <m:oMath>
        <m:r>
          <w:rPr>
            <w:rFonts w:ascii="Cambria Math" w:hAnsi="Cambria Math"/>
          </w:rPr>
          <m:t>S</m:t>
        </m:r>
      </m:oMath>
      <w:r w:rsidRPr="005A24FF">
        <w:t xml:space="preserve"> consumer species and </w:t>
      </w:r>
      <m:oMath>
        <m:r>
          <w:rPr>
            <w:rFonts w:ascii="Cambria Math" w:hAnsi="Cambria Math"/>
          </w:rPr>
          <m:t>R</m:t>
        </m:r>
      </m:oMath>
      <w:r w:rsidRPr="005A24FF">
        <w:t xml:space="preserve"> resources, consumer abundance is denoted </w:t>
      </w:r>
      <m:oMath>
        <m:sSub>
          <m:sSubPr>
            <m:ctrlPr>
              <w:rPr>
                <w:rFonts w:ascii="Cambria Math" w:hAnsi="Cambria Math"/>
              </w:rPr>
            </m:ctrlPr>
          </m:sSubPr>
          <m:e>
            <m:r>
              <w:rPr>
                <w:rFonts w:ascii="Cambria Math" w:hAnsi="Cambria Math"/>
              </w:rPr>
              <m:t>N</m:t>
            </m:r>
          </m:e>
          <m:sub>
            <m:r>
              <w:rPr>
                <w:rFonts w:ascii="Cambria Math" w:hAnsi="Cambria Math"/>
              </w:rPr>
              <m:t>i</m:t>
            </m:r>
          </m:sub>
        </m:sSub>
        <m:r>
          <m:rPr>
            <m:sty m:val="p"/>
          </m:rPr>
          <w:rPr>
            <w:rFonts w:ascii="Cambria Math" w:hAnsi="Cambria Math"/>
          </w:rPr>
          <m:t>(</m:t>
        </m:r>
        <m:r>
          <w:rPr>
            <w:rFonts w:ascii="Cambria Math" w:hAnsi="Cambria Math"/>
          </w:rPr>
          <m:t>t</m:t>
        </m:r>
        <m:r>
          <m:rPr>
            <m:sty m:val="p"/>
          </m:rPr>
          <w:rPr>
            <w:rFonts w:ascii="Cambria Math" w:hAnsi="Cambria Math"/>
          </w:rPr>
          <m:t>)</m:t>
        </m:r>
      </m:oMath>
      <w:r w:rsidRPr="005A24FF">
        <w:t xml:space="preserve">, and resource concentration is denoted </w:t>
      </w:r>
      <m:oMath>
        <m:sSub>
          <m:sSubPr>
            <m:ctrlPr>
              <w:rPr>
                <w:rFonts w:ascii="Cambria Math" w:hAnsi="Cambria Math"/>
              </w:rPr>
            </m:ctrlPr>
          </m:sSubPr>
          <m:e>
            <m:r>
              <w:rPr>
                <w:rFonts w:ascii="Cambria Math" w:hAnsi="Cambria Math"/>
              </w:rPr>
              <m:t>R</m:t>
            </m:r>
          </m:e>
          <m:sub>
            <m:r>
              <w:rPr>
                <w:rFonts w:ascii="Cambria Math" w:hAnsi="Cambria Math"/>
              </w:rPr>
              <m:t>j</m:t>
            </m:r>
          </m:sub>
        </m:sSub>
        <m:r>
          <m:rPr>
            <m:sty m:val="p"/>
          </m:rPr>
          <w:rPr>
            <w:rFonts w:ascii="Cambria Math" w:hAnsi="Cambria Math"/>
          </w:rPr>
          <m:t>(</m:t>
        </m:r>
        <m:r>
          <w:rPr>
            <w:rFonts w:ascii="Cambria Math" w:hAnsi="Cambria Math"/>
          </w:rPr>
          <m:t>t</m:t>
        </m:r>
        <m:r>
          <m:rPr>
            <m:sty m:val="p"/>
          </m:rPr>
          <w:rPr>
            <w:rFonts w:ascii="Cambria Math" w:hAnsi="Cambria Math"/>
          </w:rPr>
          <m:t>)</m:t>
        </m:r>
      </m:oMath>
      <w:r w:rsidRPr="005A24FF">
        <w:t>⁠. Consumer dynamics followed</w:t>
      </w:r>
    </w:p>
    <w:tbl>
      <w:tblPr>
        <w:tblW w:w="9360" w:type="dxa"/>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1080"/>
        <w:gridCol w:w="7200"/>
        <w:gridCol w:w="1080"/>
      </w:tblGrid>
      <w:tr w:rsidR="006800A6" w14:paraId="71ED7B7A" w14:textId="77777777" w:rsidTr="007B5724">
        <w:tc>
          <w:tcPr>
            <w:tcW w:w="1080" w:type="dxa"/>
            <w:vAlign w:val="center"/>
          </w:tcPr>
          <w:p w14:paraId="5DA033C4" w14:textId="77777777" w:rsidR="006800A6" w:rsidRDefault="006800A6" w:rsidP="007B5724">
            <w:pPr>
              <w:spacing w:after="0"/>
            </w:pPr>
          </w:p>
        </w:tc>
        <w:tc>
          <w:tcPr>
            <w:tcW w:w="7200" w:type="dxa"/>
            <w:vAlign w:val="center"/>
          </w:tcPr>
          <w:p w14:paraId="65EEC37D" w14:textId="77777777" w:rsidR="006800A6" w:rsidRPr="005A24FF" w:rsidRDefault="006800A6" w:rsidP="007B5724">
            <w:pPr>
              <w:pStyle w:val="BodyText"/>
              <w:spacing w:after="0"/>
              <w:jc w:val="center"/>
            </w:pPr>
            <m:oMathPara>
              <m:oMathParaPr>
                <m:jc m:val="center"/>
              </m:oMathParaPr>
              <m:oMath>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N</m:t>
                        </m:r>
                      </m:e>
                      <m:sub>
                        <m:r>
                          <w:rPr>
                            <w:rFonts w:ascii="Cambria Math" w:hAnsi="Cambria Math"/>
                          </w:rPr>
                          <m:t>i</m:t>
                        </m:r>
                      </m:sub>
                    </m:sSub>
                  </m:num>
                  <m:den>
                    <m:r>
                      <w:rPr>
                        <w:rFonts w:ascii="Cambria Math" w:hAnsi="Cambria Math"/>
                      </w:rPr>
                      <m:t>dt</m:t>
                    </m:r>
                  </m:den>
                </m:f>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i</m:t>
                    </m:r>
                  </m:sub>
                </m:sSub>
                <m:d>
                  <m:dPr>
                    <m:begChr m:val="["/>
                    <m:endChr m:val="]"/>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i</m:t>
                        </m:r>
                      </m:sub>
                    </m:sSub>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R</m:t>
                        </m:r>
                      </m:sup>
                      <m:e>
                        <m:sSub>
                          <m:sSubPr>
                            <m:ctrlPr>
                              <w:rPr>
                                <w:rFonts w:ascii="Cambria Math" w:hAnsi="Cambria Math"/>
                              </w:rPr>
                            </m:ctrlPr>
                          </m:sSubPr>
                          <m:e>
                            <m:r>
                              <w:rPr>
                                <w:rFonts w:ascii="Cambria Math" w:hAnsi="Cambria Math"/>
                              </w:rPr>
                              <m:t>U</m:t>
                            </m:r>
                          </m:e>
                          <m:sub>
                            <m:r>
                              <w:rPr>
                                <w:rFonts w:ascii="Cambria Math" w:hAnsi="Cambria Math"/>
                              </w:rPr>
                              <m:t>ij</m:t>
                            </m:r>
                          </m:sub>
                        </m:sSub>
                      </m:e>
                    </m:nary>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sub>
                    </m:sSub>
                  </m:e>
                </m:d>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i</m:t>
                    </m:r>
                  </m:sub>
                </m:sSub>
                <m:r>
                  <m:rPr>
                    <m:sty m:val="p"/>
                  </m:rPr>
                  <w:rPr>
                    <w:rFonts w:ascii="Cambria Math" w:hAnsi="Cambria Math"/>
                  </w:rPr>
                  <m:t>,</m:t>
                </m:r>
              </m:oMath>
            </m:oMathPara>
          </w:p>
        </w:tc>
        <w:tc>
          <w:tcPr>
            <w:tcW w:w="1080" w:type="dxa"/>
            <w:vAlign w:val="center"/>
          </w:tcPr>
          <w:p w14:paraId="13CE71B9" w14:textId="77777777" w:rsidR="006800A6" w:rsidRDefault="006800A6" w:rsidP="007B5724">
            <w:pPr>
              <w:spacing w:after="0"/>
              <w:jc w:val="right"/>
            </w:pPr>
            <w:r>
              <w:t>(6)</w:t>
            </w:r>
          </w:p>
        </w:tc>
      </w:tr>
    </w:tbl>
    <w:p w14:paraId="3EA6FD25" w14:textId="77777777" w:rsidR="006800A6" w:rsidRPr="005A24FF" w:rsidRDefault="006800A6" w:rsidP="006800A6">
      <w:r>
        <w:t xml:space="preserve">where </w:t>
      </w:r>
      <w:r>
        <w:rPr>
          <w:i/>
        </w:rPr>
        <w:t>e</w:t>
      </w:r>
      <w:r>
        <w:rPr>
          <w:i/>
          <w:vertAlign w:val="subscript"/>
        </w:rPr>
        <w:t>i</w:t>
      </w:r>
      <w:r>
        <w:t xml:space="preserve"> is conversion efficiency, </w:t>
      </w:r>
      <w:r>
        <w:rPr>
          <w:i/>
        </w:rPr>
        <w:t>d</w:t>
      </w:r>
      <w:r>
        <w:rPr>
          <w:i/>
          <w:vertAlign w:val="subscript"/>
        </w:rPr>
        <w:t>i</w:t>
      </w:r>
      <w:r>
        <w:t xml:space="preserve"> is mortality, </w:t>
      </w:r>
      <w:r>
        <w:rPr>
          <w:i/>
        </w:rPr>
        <w:t>I</w:t>
      </w:r>
      <w:r>
        <w:rPr>
          <w:i/>
          <w:vertAlign w:val="subscript"/>
        </w:rPr>
        <w:t>i</w:t>
      </w:r>
      <w:r>
        <w:t xml:space="preserve"> is immigration, and </w:t>
      </w:r>
      <w:r>
        <w:rPr>
          <w:i/>
        </w:rPr>
        <w:t>U</w:t>
      </w:r>
      <w:r>
        <w:rPr>
          <w:i/>
          <w:vertAlign w:val="subscript"/>
        </w:rPr>
        <w:t>ij</w:t>
      </w:r>
      <w:r>
        <w:t>(</w:t>
      </w:r>
      <w:r>
        <w:rPr>
          <w:i/>
        </w:rPr>
        <w:t>T</w:t>
      </w:r>
      <w:r>
        <w:t xml:space="preserve">, </w:t>
      </w:r>
      <w:r>
        <w:rPr>
          <w:i/>
        </w:rPr>
        <w:t>R</w:t>
      </w:r>
      <w:r>
        <w:rPr>
          <w:i/>
          <w:vertAlign w:val="subscript"/>
        </w:rPr>
        <w:t>j</w:t>
      </w:r>
      <w:r>
        <w:t>) is the uptake rate of consumer i on resource j. Resource dynamics followed</w:t>
      </w:r>
    </w:p>
    <w:tbl>
      <w:tblPr>
        <w:tblW w:w="9360" w:type="dxa"/>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1080"/>
        <w:gridCol w:w="7200"/>
        <w:gridCol w:w="1080"/>
      </w:tblGrid>
      <w:tr w:rsidR="006800A6" w14:paraId="291A65C6" w14:textId="77777777" w:rsidTr="007B5724">
        <w:tc>
          <w:tcPr>
            <w:tcW w:w="1080" w:type="dxa"/>
            <w:vAlign w:val="center"/>
          </w:tcPr>
          <w:p w14:paraId="274A37A7" w14:textId="77777777" w:rsidR="006800A6" w:rsidRDefault="006800A6" w:rsidP="007B5724">
            <w:pPr>
              <w:spacing w:after="0"/>
            </w:pPr>
          </w:p>
        </w:tc>
        <w:tc>
          <w:tcPr>
            <w:tcW w:w="7200" w:type="dxa"/>
            <w:vAlign w:val="center"/>
          </w:tcPr>
          <w:p w14:paraId="6545D8E2" w14:textId="77777777" w:rsidR="006800A6" w:rsidRPr="005A24FF" w:rsidRDefault="006800A6" w:rsidP="007B5724">
            <w:pPr>
              <w:pStyle w:val="BodyText"/>
              <w:spacing w:after="0"/>
              <w:jc w:val="center"/>
            </w:pPr>
            <m:oMathPara>
              <m:oMathParaPr>
                <m:jc m:val="center"/>
              </m:oMathParaPr>
              <m:oMath>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R</m:t>
                        </m:r>
                      </m:e>
                      <m:sub>
                        <m:r>
                          <w:rPr>
                            <w:rFonts w:ascii="Cambria Math" w:hAnsi="Cambria Math"/>
                          </w:rPr>
                          <m:t>j</m:t>
                        </m:r>
                      </m:sub>
                    </m:sSub>
                  </m:num>
                  <m:den>
                    <m:r>
                      <w:rPr>
                        <w:rFonts w:ascii="Cambria Math" w:hAnsi="Cambria Math"/>
                      </w:rPr>
                      <m:t>dt</m:t>
                    </m:r>
                  </m:den>
                </m:f>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R</m:t>
                    </m:r>
                    <m:r>
                      <m:rPr>
                        <m:sty m:val="p"/>
                      </m:rPr>
                      <w:rPr>
                        <w:rFonts w:ascii="Cambria Math" w:hAnsi="Cambria Math"/>
                      </w:rPr>
                      <m:t>,</m:t>
                    </m:r>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j</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S</m:t>
                    </m:r>
                  </m:sup>
                  <m:e>
                    <m:sSub>
                      <m:sSubPr>
                        <m:ctrlPr>
                          <w:rPr>
                            <w:rFonts w:ascii="Cambria Math" w:hAnsi="Cambria Math"/>
                          </w:rPr>
                        </m:ctrlPr>
                      </m:sSubPr>
                      <m:e>
                        <m:r>
                          <w:rPr>
                            <w:rFonts w:ascii="Cambria Math" w:hAnsi="Cambria Math"/>
                          </w:rPr>
                          <m:t>N</m:t>
                        </m:r>
                      </m:e>
                      <m:sub>
                        <m:r>
                          <w:rPr>
                            <w:rFonts w:ascii="Cambria Math" w:hAnsi="Cambria Math"/>
                          </w:rPr>
                          <m:t>i</m:t>
                        </m:r>
                      </m:sub>
                    </m:sSub>
                  </m:e>
                </m:nary>
                <m:sSub>
                  <m:sSubPr>
                    <m:ctrlPr>
                      <w:rPr>
                        <w:rFonts w:ascii="Cambria Math" w:hAnsi="Cambria Math"/>
                      </w:rPr>
                    </m:ctrlPr>
                  </m:sSubPr>
                  <m:e>
                    <m:r>
                      <w:rPr>
                        <w:rFonts w:ascii="Cambria Math" w:hAnsi="Cambria Math"/>
                      </w:rPr>
                      <m:t>U</m:t>
                    </m:r>
                  </m:e>
                  <m:sub>
                    <m:r>
                      <w:rPr>
                        <w:rFonts w:ascii="Cambria Math" w:hAnsi="Cambria Math"/>
                      </w:rPr>
                      <m:t>ij</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j</m:t>
                    </m:r>
                  </m:sub>
                </m:sSub>
                <m:r>
                  <m:rPr>
                    <m:sty m:val="p"/>
                  </m:rPr>
                  <w:rPr>
                    <w:rFonts w:ascii="Cambria Math" w:hAnsi="Cambria Math"/>
                  </w:rPr>
                  <m:t>),</m:t>
                </m:r>
              </m:oMath>
            </m:oMathPara>
          </w:p>
        </w:tc>
        <w:tc>
          <w:tcPr>
            <w:tcW w:w="1080" w:type="dxa"/>
            <w:vAlign w:val="center"/>
          </w:tcPr>
          <w:p w14:paraId="439E406D" w14:textId="77777777" w:rsidR="006800A6" w:rsidRDefault="006800A6" w:rsidP="007B5724">
            <w:pPr>
              <w:spacing w:after="0"/>
              <w:jc w:val="right"/>
            </w:pPr>
            <w:r>
              <w:t>(7)</w:t>
            </w:r>
          </w:p>
        </w:tc>
      </w:tr>
    </w:tbl>
    <w:p w14:paraId="74BF1E0A" w14:textId="77777777" w:rsidR="006800A6" w:rsidRPr="005A24FF" w:rsidRDefault="006800A6" w:rsidP="006800A6">
      <w:r w:rsidRPr="005A24FF">
        <w:lastRenderedPageBreak/>
        <w:t xml:space="preserve">where </w:t>
      </w:r>
      <m:oMath>
        <m:sSub>
          <m:sSubPr>
            <m:ctrlPr>
              <w:rPr>
                <w:rFonts w:ascii="Cambria Math" w:hAnsi="Cambria Math"/>
              </w:rPr>
            </m:ctrlPr>
          </m:sSubPr>
          <m:e>
            <m:r>
              <w:rPr>
                <w:rFonts w:ascii="Cambria Math" w:hAnsi="Cambria Math"/>
              </w:rPr>
              <m:t>ρ</m:t>
            </m:r>
          </m:e>
          <m:sub>
            <m:r>
              <w:rPr>
                <w:rFonts w:ascii="Cambria Math" w:hAnsi="Cambria Math"/>
              </w:rPr>
              <m:t>j</m:t>
            </m:r>
          </m:sub>
        </m:sSub>
      </m:oMath>
      <w:r w:rsidRPr="005A24FF">
        <w:t xml:space="preserve"> is the resource renewal rate and </w:t>
      </w:r>
      <m:oMath>
        <m:sSub>
          <m:sSubPr>
            <m:ctrlPr>
              <w:rPr>
                <w:rFonts w:ascii="Cambria Math" w:hAnsi="Cambria Math"/>
              </w:rPr>
            </m:ctrlPr>
          </m:sSubPr>
          <m:e>
            <m:r>
              <w:rPr>
                <w:rFonts w:ascii="Cambria Math" w:hAnsi="Cambria Math"/>
              </w:rPr>
              <m:t>K</m:t>
            </m:r>
          </m:e>
          <m:sub>
            <m:r>
              <w:rPr>
                <w:rFonts w:ascii="Cambria Math" w:hAnsi="Cambria Math"/>
              </w:rPr>
              <m:t>R</m:t>
            </m:r>
            <m:r>
              <m:rPr>
                <m:sty m:val="p"/>
              </m:rPr>
              <w:rPr>
                <w:rFonts w:ascii="Cambria Math" w:hAnsi="Cambria Math"/>
              </w:rPr>
              <m:t>,</m:t>
            </m:r>
            <m:r>
              <w:rPr>
                <w:rFonts w:ascii="Cambria Math" w:hAnsi="Cambria Math"/>
              </w:rPr>
              <m:t>j</m:t>
            </m:r>
          </m:sub>
        </m:sSub>
      </m:oMath>
      <w:r w:rsidRPr="005A24FF">
        <w:t xml:space="preserve"> is the resource supply concentration. This chemostat-like renewal term keeps resources bounded in the absence of consumers.</w:t>
      </w:r>
    </w:p>
    <w:p w14:paraId="62F05FEA" w14:textId="77777777" w:rsidR="006800A6" w:rsidRPr="005A24FF" w:rsidRDefault="006800A6" w:rsidP="006800A6">
      <w:pPr>
        <w:pStyle w:val="BodyText"/>
      </w:pPr>
      <w:r w:rsidRPr="005A24FF">
        <w:t>Resource uptake was modelled with Monod kinetics:</w:t>
      </w:r>
    </w:p>
    <w:tbl>
      <w:tblPr>
        <w:tblW w:w="9360" w:type="dxa"/>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1080"/>
        <w:gridCol w:w="7200"/>
        <w:gridCol w:w="1080"/>
      </w:tblGrid>
      <w:tr w:rsidR="006800A6" w14:paraId="49AE1642" w14:textId="77777777" w:rsidTr="007B5724">
        <w:tc>
          <w:tcPr>
            <w:tcW w:w="1080" w:type="dxa"/>
            <w:vAlign w:val="center"/>
          </w:tcPr>
          <w:p w14:paraId="3A9C7EA2" w14:textId="77777777" w:rsidR="006800A6" w:rsidRDefault="006800A6" w:rsidP="007B5724">
            <w:pPr>
              <w:spacing w:after="0"/>
            </w:pPr>
          </w:p>
        </w:tc>
        <w:tc>
          <w:tcPr>
            <w:tcW w:w="7200" w:type="dxa"/>
            <w:vAlign w:val="center"/>
          </w:tcPr>
          <w:p w14:paraId="20B2D28A" w14:textId="77777777" w:rsidR="006800A6" w:rsidRPr="005A24FF" w:rsidRDefault="006800A6" w:rsidP="007B5724">
            <w:pPr>
              <w:pStyle w:val="BodyText"/>
              <w:spacing w:after="0"/>
              <w:jc w:val="center"/>
            </w:pPr>
            <m:oMathPara>
              <m:oMathParaPr>
                <m:jc m:val="center"/>
              </m:oMathParaPr>
              <m:oMath>
                <m:sSub>
                  <m:sSubPr>
                    <m:ctrlPr>
                      <w:rPr>
                        <w:rFonts w:ascii="Cambria Math" w:hAnsi="Cambria Math"/>
                      </w:rPr>
                    </m:ctrlPr>
                  </m:sSubPr>
                  <m:e>
                    <m:r>
                      <w:rPr>
                        <w:rFonts w:ascii="Cambria Math" w:hAnsi="Cambria Math"/>
                      </w:rPr>
                      <m:t>U</m:t>
                    </m:r>
                  </m:e>
                  <m:sub>
                    <m:r>
                      <w:rPr>
                        <w:rFonts w:ascii="Cambria Math" w:hAnsi="Cambria Math"/>
                      </w:rPr>
                      <m:t>ij</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ij</m:t>
                    </m:r>
                  </m:sub>
                </m:sSub>
                <m:sSub>
                  <m:sSubPr>
                    <m:ctrlPr>
                      <w:rPr>
                        <w:rFonts w:ascii="Cambria Math" w:hAnsi="Cambria Math"/>
                      </w:rPr>
                    </m:ctrlPr>
                  </m:sSubPr>
                  <m:e>
                    <m:r>
                      <w:rPr>
                        <w:rFonts w:ascii="Cambria Math" w:hAnsi="Cambria Math"/>
                      </w:rPr>
                      <m:t>u</m:t>
                    </m:r>
                  </m:e>
                  <m:sub>
                    <m:r>
                      <w:rPr>
                        <w:rFonts w:ascii="Cambria Math" w:hAnsi="Cambria Math"/>
                      </w:rPr>
                      <m:t>ij</m:t>
                    </m:r>
                  </m:sub>
                </m:sSub>
                <m:r>
                  <m:rPr>
                    <m:sty m:val="p"/>
                  </m:rPr>
                  <w:rPr>
                    <w:rFonts w:ascii="Cambria Math" w:hAnsi="Cambria Math"/>
                  </w:rPr>
                  <m:t>(</m:t>
                </m:r>
                <m:r>
                  <w:rPr>
                    <w:rFonts w:ascii="Cambria Math" w:hAnsi="Cambria Math"/>
                  </w:rPr>
                  <m:t>T</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j</m:t>
                        </m:r>
                      </m:sub>
                    </m:sSub>
                  </m:num>
                  <m:den>
                    <m:sSub>
                      <m:sSubPr>
                        <m:ctrlPr>
                          <w:rPr>
                            <w:rFonts w:ascii="Cambria Math" w:hAnsi="Cambria Math"/>
                          </w:rPr>
                        </m:ctrlPr>
                      </m:sSubPr>
                      <m:e>
                        <m:r>
                          <w:rPr>
                            <w:rFonts w:ascii="Cambria Math" w:hAnsi="Cambria Math"/>
                          </w:rPr>
                          <m:t>h</m:t>
                        </m:r>
                      </m:e>
                      <m:sub>
                        <m:r>
                          <w:rPr>
                            <w:rFonts w:ascii="Cambria Math" w:hAnsi="Cambria Math"/>
                          </w:rPr>
                          <m:t>ij</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j</m:t>
                        </m:r>
                      </m:sub>
                    </m:sSub>
                  </m:den>
                </m:f>
                <m:r>
                  <m:rPr>
                    <m:sty m:val="p"/>
                  </m:rPr>
                  <w:rPr>
                    <w:rFonts w:ascii="Cambria Math" w:hAnsi="Cambria Math"/>
                  </w:rPr>
                  <m:t>,</m:t>
                </m:r>
              </m:oMath>
            </m:oMathPara>
          </w:p>
        </w:tc>
        <w:tc>
          <w:tcPr>
            <w:tcW w:w="1080" w:type="dxa"/>
            <w:vAlign w:val="center"/>
          </w:tcPr>
          <w:p w14:paraId="0743A8C4" w14:textId="77777777" w:rsidR="006800A6" w:rsidRDefault="006800A6" w:rsidP="007B5724">
            <w:pPr>
              <w:spacing w:after="0"/>
              <w:jc w:val="right"/>
            </w:pPr>
            <w:r>
              <w:t>(8)</w:t>
            </w:r>
          </w:p>
        </w:tc>
      </w:tr>
    </w:tbl>
    <w:p w14:paraId="3698BE84" w14:textId="77777777" w:rsidR="006800A6" w:rsidRPr="005A24FF" w:rsidRDefault="006800A6" w:rsidP="006800A6">
      <w:r w:rsidRPr="005A24FF">
        <w:t xml:space="preserve">where </w:t>
      </w:r>
      <m:oMath>
        <m:sSub>
          <m:sSubPr>
            <m:ctrlPr>
              <w:rPr>
                <w:rFonts w:ascii="Cambria Math" w:hAnsi="Cambria Math"/>
              </w:rPr>
            </m:ctrlPr>
          </m:sSubPr>
          <m:e>
            <m:r>
              <w:rPr>
                <w:rFonts w:ascii="Cambria Math" w:hAnsi="Cambria Math"/>
              </w:rPr>
              <m:t>W</m:t>
            </m:r>
          </m:e>
          <m:sub>
            <m:r>
              <w:rPr>
                <w:rFonts w:ascii="Cambria Math" w:hAnsi="Cambria Math"/>
              </w:rPr>
              <m:t>ij</m:t>
            </m:r>
          </m:sub>
        </m:sSub>
      </m:oMath>
      <w:r w:rsidRPr="005A24FF">
        <w:t xml:space="preserve"> is the resource-use weight, </w:t>
      </w:r>
      <m:oMath>
        <m:sSub>
          <m:sSubPr>
            <m:ctrlPr>
              <w:rPr>
                <w:rFonts w:ascii="Cambria Math" w:hAnsi="Cambria Math"/>
              </w:rPr>
            </m:ctrlPr>
          </m:sSubPr>
          <m:e>
            <m:r>
              <w:rPr>
                <w:rFonts w:ascii="Cambria Math" w:hAnsi="Cambria Math"/>
              </w:rPr>
              <m:t>h</m:t>
            </m:r>
          </m:e>
          <m:sub>
            <m:r>
              <w:rPr>
                <w:rFonts w:ascii="Cambria Math" w:hAnsi="Cambria Math"/>
              </w:rPr>
              <m:t>ij</m:t>
            </m:r>
          </m:sub>
        </m:sSub>
      </m:oMath>
      <w:r w:rsidRPr="005A24FF">
        <w:t xml:space="preserve"> is the half-saturation constant, and </w:t>
      </w:r>
      <m:oMath>
        <m:sSub>
          <m:sSubPr>
            <m:ctrlPr>
              <w:rPr>
                <w:rFonts w:ascii="Cambria Math" w:hAnsi="Cambria Math"/>
              </w:rPr>
            </m:ctrlPr>
          </m:sSubPr>
          <m:e>
            <m:r>
              <w:rPr>
                <w:rFonts w:ascii="Cambria Math" w:hAnsi="Cambria Math"/>
              </w:rPr>
              <m:t>u</m:t>
            </m:r>
          </m:e>
          <m:sub>
            <m:r>
              <w:rPr>
                <w:rFonts w:ascii="Cambria Math" w:hAnsi="Cambria Math"/>
              </w:rPr>
              <m:t>ij</m:t>
            </m:r>
          </m:sub>
        </m:sSub>
        <m:r>
          <m:rPr>
            <m:sty m:val="p"/>
          </m:rPr>
          <w:rPr>
            <w:rFonts w:ascii="Cambria Math" w:hAnsi="Cambria Math"/>
          </w:rPr>
          <m:t>(</m:t>
        </m:r>
        <m:r>
          <w:rPr>
            <w:rFonts w:ascii="Cambria Math" w:hAnsi="Cambria Math"/>
          </w:rPr>
          <m:t>T</m:t>
        </m:r>
        <m:r>
          <m:rPr>
            <m:sty m:val="p"/>
          </m:rPr>
          <w:rPr>
            <w:rFonts w:ascii="Cambria Math" w:hAnsi="Cambria Math"/>
          </w:rPr>
          <m:t>)</m:t>
        </m:r>
      </m:oMath>
      <w:r w:rsidRPr="005A24FF">
        <w:t xml:space="preserve"> is the temperature-dependent maximum uptake rate. Temperature dependence of maximum uptake followed a Gaussian curve:</w:t>
      </w:r>
    </w:p>
    <w:tbl>
      <w:tblPr>
        <w:tblW w:w="9360" w:type="dxa"/>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1080"/>
        <w:gridCol w:w="7200"/>
        <w:gridCol w:w="1080"/>
      </w:tblGrid>
      <w:tr w:rsidR="006800A6" w14:paraId="0FD5049D" w14:textId="77777777" w:rsidTr="007B5724">
        <w:tc>
          <w:tcPr>
            <w:tcW w:w="1080" w:type="dxa"/>
            <w:vAlign w:val="center"/>
          </w:tcPr>
          <w:p w14:paraId="1CD18DF2" w14:textId="77777777" w:rsidR="006800A6" w:rsidRDefault="006800A6" w:rsidP="007B5724">
            <w:pPr>
              <w:spacing w:after="0"/>
            </w:pPr>
          </w:p>
        </w:tc>
        <w:tc>
          <w:tcPr>
            <w:tcW w:w="7200" w:type="dxa"/>
            <w:vAlign w:val="center"/>
          </w:tcPr>
          <w:p w14:paraId="2E3F3509" w14:textId="77777777" w:rsidR="006800A6" w:rsidRPr="005A24FF" w:rsidRDefault="006800A6" w:rsidP="007B5724">
            <w:pPr>
              <w:pStyle w:val="BodyText"/>
              <w:spacing w:after="0"/>
              <w:jc w:val="center"/>
            </w:pPr>
            <m:oMathPara>
              <m:oMathParaPr>
                <m:jc m:val="center"/>
              </m:oMathParaPr>
              <m:oMath>
                <m:sSub>
                  <m:sSubPr>
                    <m:ctrlPr>
                      <w:rPr>
                        <w:rFonts w:ascii="Cambria Math" w:hAnsi="Cambria Math"/>
                      </w:rPr>
                    </m:ctrlPr>
                  </m:sSubPr>
                  <m:e>
                    <m:r>
                      <w:rPr>
                        <w:rFonts w:ascii="Cambria Math" w:hAnsi="Cambria Math"/>
                      </w:rPr>
                      <m:t>u</m:t>
                    </m:r>
                  </m:e>
                  <m:sub>
                    <m:r>
                      <w:rPr>
                        <w:rFonts w:ascii="Cambria Math" w:hAnsi="Cambria Math"/>
                      </w:rPr>
                      <m:t>ij</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u</m:t>
                    </m:r>
                    <m:r>
                      <m:rPr>
                        <m:sty m:val="p"/>
                      </m:rPr>
                      <w:rPr>
                        <w:rFonts w:ascii="Cambria Math" w:hAnsi="Cambria Math"/>
                      </w:rPr>
                      <m:t>,</m:t>
                    </m:r>
                    <m:r>
                      <w:rPr>
                        <w:rFonts w:ascii="Cambria Math" w:hAnsi="Cambria Math"/>
                      </w:rPr>
                      <m:t>ij</m:t>
                    </m:r>
                  </m:sub>
                </m:sSub>
                <m:r>
                  <m:rPr>
                    <m:sty m:val="p"/>
                  </m:rPr>
                  <w:rPr>
                    <w:rFonts w:ascii="Cambria Math" w:hAnsi="Cambria Math"/>
                  </w:rPr>
                  <m:t>exp</m:t>
                </m:r>
                <m:d>
                  <m:dPr>
                    <m:begChr m:val="["/>
                    <m:endChr m:val="]"/>
                    <m:ctrlPr>
                      <w:rPr>
                        <w:rFonts w:ascii="Cambria Math" w:hAnsi="Cambria Math"/>
                      </w:rPr>
                    </m:ctrlPr>
                  </m:dPr>
                  <m:e>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u</m:t>
                                    </m:r>
                                  </m:e>
                                  <m:sub>
                                    <m:r>
                                      <m:rPr>
                                        <m:sty m:val="p"/>
                                      </m:rPr>
                                      <w:rPr>
                                        <w:rFonts w:ascii="Cambria Math" w:hAnsi="Cambria Math"/>
                                      </w:rPr>
                                      <m:t>opt,</m:t>
                                    </m:r>
                                    <m:r>
                                      <w:rPr>
                                        <w:rFonts w:ascii="Cambria Math" w:hAnsi="Cambria Math"/>
                                      </w:rPr>
                                      <m:t>ij</m:t>
                                    </m:r>
                                  </m:sub>
                                </m:sSub>
                              </m:num>
                              <m:den>
                                <m:sSub>
                                  <m:sSubPr>
                                    <m:ctrlPr>
                                      <w:rPr>
                                        <w:rFonts w:ascii="Cambria Math" w:hAnsi="Cambria Math"/>
                                      </w:rPr>
                                    </m:ctrlPr>
                                  </m:sSubPr>
                                  <m:e>
                                    <m:r>
                                      <w:rPr>
                                        <w:rFonts w:ascii="Cambria Math" w:hAnsi="Cambria Math"/>
                                      </w:rPr>
                                      <m:t>σ</m:t>
                                    </m:r>
                                  </m:e>
                                  <m:sub>
                                    <m:r>
                                      <w:rPr>
                                        <w:rFonts w:ascii="Cambria Math" w:hAnsi="Cambria Math"/>
                                      </w:rPr>
                                      <m:t>u</m:t>
                                    </m:r>
                                    <m:r>
                                      <m:rPr>
                                        <m:sty m:val="p"/>
                                      </m:rPr>
                                      <w:rPr>
                                        <w:rFonts w:ascii="Cambria Math" w:hAnsi="Cambria Math"/>
                                      </w:rPr>
                                      <m:t>,</m:t>
                                    </m:r>
                                    <m:r>
                                      <w:rPr>
                                        <w:rFonts w:ascii="Cambria Math" w:hAnsi="Cambria Math"/>
                                      </w:rPr>
                                      <m:t>ij</m:t>
                                    </m:r>
                                  </m:sub>
                                </m:sSub>
                              </m:den>
                            </m:f>
                          </m:e>
                        </m:d>
                      </m:e>
                      <m:sup>
                        <m:r>
                          <w:rPr>
                            <w:rFonts w:ascii="Cambria Math" w:hAnsi="Cambria Math"/>
                          </w:rPr>
                          <m:t>2</m:t>
                        </m:r>
                      </m:sup>
                    </m:sSup>
                  </m:e>
                </m:d>
                <m:r>
                  <m:rPr>
                    <m:sty m:val="p"/>
                  </m:rPr>
                  <w:rPr>
                    <w:rFonts w:ascii="Cambria Math" w:hAnsi="Cambria Math"/>
                  </w:rPr>
                  <m:t>,</m:t>
                </m:r>
              </m:oMath>
            </m:oMathPara>
          </w:p>
        </w:tc>
        <w:tc>
          <w:tcPr>
            <w:tcW w:w="1080" w:type="dxa"/>
            <w:vAlign w:val="center"/>
          </w:tcPr>
          <w:p w14:paraId="49E275FB" w14:textId="77777777" w:rsidR="006800A6" w:rsidRDefault="006800A6" w:rsidP="007B5724">
            <w:pPr>
              <w:spacing w:after="0"/>
              <w:jc w:val="right"/>
            </w:pPr>
            <w:r>
              <w:t>(9)</w:t>
            </w:r>
          </w:p>
        </w:tc>
      </w:tr>
    </w:tbl>
    <w:p w14:paraId="7A1EBA1F" w14:textId="77777777" w:rsidR="006800A6" w:rsidRPr="005A24FF" w:rsidRDefault="006800A6" w:rsidP="006800A6">
      <w:r w:rsidRPr="005A24FF">
        <w:t xml:space="preserve">where </w:t>
      </w:r>
      <m:oMath>
        <m:sSub>
          <m:sSubPr>
            <m:ctrlPr>
              <w:rPr>
                <w:rFonts w:ascii="Cambria Math" w:hAnsi="Cambria Math"/>
              </w:rPr>
            </m:ctrlPr>
          </m:sSubPr>
          <m:e>
            <m:r>
              <w:rPr>
                <w:rFonts w:ascii="Cambria Math" w:hAnsi="Cambria Math"/>
              </w:rPr>
              <m:t>a</m:t>
            </m:r>
          </m:e>
          <m:sub>
            <m:r>
              <w:rPr>
                <w:rFonts w:ascii="Cambria Math" w:hAnsi="Cambria Math"/>
              </w:rPr>
              <m:t>u</m:t>
            </m:r>
            <m:r>
              <m:rPr>
                <m:sty m:val="p"/>
              </m:rPr>
              <w:rPr>
                <w:rFonts w:ascii="Cambria Math" w:hAnsi="Cambria Math"/>
              </w:rPr>
              <m:t>,</m:t>
            </m:r>
            <m:r>
              <w:rPr>
                <w:rFonts w:ascii="Cambria Math" w:hAnsi="Cambria Math"/>
              </w:rPr>
              <m:t>ij</m:t>
            </m:r>
          </m:sub>
        </m:sSub>
      </m:oMath>
      <w:r w:rsidRPr="005A24FF">
        <w:t xml:space="preserve"> is the maximum uptake rate, </w:t>
      </w:r>
      <m:oMath>
        <m:sSub>
          <m:sSubPr>
            <m:ctrlPr>
              <w:rPr>
                <w:rFonts w:ascii="Cambria Math" w:hAnsi="Cambria Math"/>
              </w:rPr>
            </m:ctrlPr>
          </m:sSubPr>
          <m:e>
            <m:r>
              <w:rPr>
                <w:rFonts w:ascii="Cambria Math" w:hAnsi="Cambria Math"/>
              </w:rPr>
              <m:t>u</m:t>
            </m:r>
          </m:e>
          <m:sub>
            <m:r>
              <m:rPr>
                <m:sty m:val="p"/>
              </m:rPr>
              <w:rPr>
                <w:rFonts w:ascii="Cambria Math" w:hAnsi="Cambria Math"/>
              </w:rPr>
              <m:t>opt,</m:t>
            </m:r>
            <m:r>
              <w:rPr>
                <w:rFonts w:ascii="Cambria Math" w:hAnsi="Cambria Math"/>
              </w:rPr>
              <m:t>ij</m:t>
            </m:r>
          </m:sub>
        </m:sSub>
      </m:oMath>
      <w:r w:rsidRPr="005A24FF">
        <w:t xml:space="preserve"> is the thermal optimum of uptake, and </w:t>
      </w:r>
      <m:oMath>
        <m:sSub>
          <m:sSubPr>
            <m:ctrlPr>
              <w:rPr>
                <w:rFonts w:ascii="Cambria Math" w:hAnsi="Cambria Math"/>
              </w:rPr>
            </m:ctrlPr>
          </m:sSubPr>
          <m:e>
            <m:r>
              <w:rPr>
                <w:rFonts w:ascii="Cambria Math" w:hAnsi="Cambria Math"/>
              </w:rPr>
              <m:t>σ</m:t>
            </m:r>
          </m:e>
          <m:sub>
            <m:r>
              <w:rPr>
                <w:rFonts w:ascii="Cambria Math" w:hAnsi="Cambria Math"/>
              </w:rPr>
              <m:t>u</m:t>
            </m:r>
            <m:r>
              <m:rPr>
                <m:sty m:val="p"/>
              </m:rPr>
              <w:rPr>
                <w:rFonts w:ascii="Cambria Math" w:hAnsi="Cambria Math"/>
              </w:rPr>
              <m:t>,</m:t>
            </m:r>
            <m:r>
              <w:rPr>
                <w:rFonts w:ascii="Cambria Math" w:hAnsi="Cambria Math"/>
              </w:rPr>
              <m:t>ij</m:t>
            </m:r>
          </m:sub>
        </m:sSub>
      </m:oMath>
      <w:r w:rsidRPr="005A24FF">
        <w:t xml:space="preserve"> controls thermal breadth.</w:t>
      </w:r>
    </w:p>
    <w:p w14:paraId="07D73538" w14:textId="77777777" w:rsidR="006800A6" w:rsidRPr="005A24FF" w:rsidRDefault="006800A6" w:rsidP="006800A6">
      <w:pPr>
        <w:pStyle w:val="BodyText"/>
      </w:pPr>
      <w:r w:rsidRPr="005A24FF">
        <w:t xml:space="preserve">The model used a shared-to-private resource-use structure. One resource was shared by all consumers, and each consumer also had one private resource. A specialisation parameter </w:t>
      </w:r>
      <m:oMath>
        <m:r>
          <w:rPr>
            <w:rFonts w:ascii="Cambria Math" w:hAnsi="Cambria Math"/>
          </w:rPr>
          <m:t>λ</m:t>
        </m:r>
      </m:oMath>
      <w:r w:rsidRPr="005A24FF">
        <w:t xml:space="preserve"> controlled the resource-use weights:</w:t>
      </w:r>
    </w:p>
    <w:tbl>
      <w:tblPr>
        <w:tblW w:w="9360" w:type="dxa"/>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1080"/>
        <w:gridCol w:w="7200"/>
        <w:gridCol w:w="1080"/>
      </w:tblGrid>
      <w:tr w:rsidR="006800A6" w14:paraId="2D2C8AFC" w14:textId="77777777" w:rsidTr="007B5724">
        <w:tc>
          <w:tcPr>
            <w:tcW w:w="1080" w:type="dxa"/>
            <w:vAlign w:val="center"/>
          </w:tcPr>
          <w:p w14:paraId="662165DB" w14:textId="77777777" w:rsidR="006800A6" w:rsidRDefault="006800A6" w:rsidP="007B5724">
            <w:pPr>
              <w:spacing w:after="0"/>
            </w:pPr>
          </w:p>
        </w:tc>
        <w:tc>
          <w:tcPr>
            <w:tcW w:w="7200" w:type="dxa"/>
            <w:vAlign w:val="center"/>
          </w:tcPr>
          <w:p w14:paraId="2A4D6B76" w14:textId="77777777" w:rsidR="006800A6" w:rsidRPr="005A24FF" w:rsidRDefault="006800A6" w:rsidP="007B5724">
            <w:pPr>
              <w:pStyle w:val="BodyText"/>
              <w:spacing w:after="0"/>
              <w:jc w:val="center"/>
            </w:pPr>
            <m:oMathPara>
              <m:oMathParaPr>
                <m:jc m:val="center"/>
              </m:oMathParaPr>
              <m:oMath>
                <m:sSub>
                  <m:sSubPr>
                    <m:ctrlPr>
                      <w:rPr>
                        <w:rFonts w:ascii="Cambria Math" w:hAnsi="Cambria Math"/>
                      </w:rPr>
                    </m:ctrlPr>
                  </m:sSubPr>
                  <m:e>
                    <m:r>
                      <w:rPr>
                        <w:rFonts w:ascii="Cambria Math" w:hAnsi="Cambria Math"/>
                      </w:rPr>
                      <m:t>W</m:t>
                    </m:r>
                  </m:e>
                  <m:sub>
                    <m:r>
                      <w:rPr>
                        <w:rFonts w:ascii="Cambria Math" w:hAnsi="Cambria Math"/>
                      </w:rPr>
                      <m:t>i</m:t>
                    </m:r>
                    <m:r>
                      <m:rPr>
                        <m:sty m:val="p"/>
                      </m:rPr>
                      <w:rPr>
                        <w:rFonts w:ascii="Cambria Math" w:hAnsi="Cambria Math"/>
                      </w:rPr>
                      <m:t>,shared</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λ</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W</m:t>
                    </m:r>
                  </m:e>
                  <m:sub>
                    <m:r>
                      <w:rPr>
                        <w:rFonts w:ascii="Cambria Math" w:hAnsi="Cambria Math"/>
                      </w:rPr>
                      <m:t>i</m:t>
                    </m:r>
                    <m:r>
                      <m:rPr>
                        <m:sty m:val="p"/>
                      </m:rPr>
                      <w:rPr>
                        <w:rFonts w:ascii="Cambria Math" w:hAnsi="Cambria Math"/>
                      </w:rPr>
                      <m:t>,private</m:t>
                    </m:r>
                  </m:sub>
                </m:sSub>
                <m:r>
                  <m:rPr>
                    <m:sty m:val="p"/>
                  </m:rPr>
                  <w:rPr>
                    <w:rFonts w:ascii="Cambria Math" w:hAnsi="Cambria Math"/>
                  </w:rPr>
                  <m:t>=</m:t>
                </m:r>
                <m:r>
                  <w:rPr>
                    <w:rFonts w:ascii="Cambria Math" w:hAnsi="Cambria Math"/>
                  </w:rPr>
                  <m:t>λ</m:t>
                </m:r>
                <m:r>
                  <m:rPr>
                    <m:sty m:val="p"/>
                  </m:rPr>
                  <w:rPr>
                    <w:rFonts w:ascii="Cambria Math" w:hAnsi="Cambria Math"/>
                  </w:rPr>
                  <m:t>.</m:t>
                </m:r>
              </m:oMath>
            </m:oMathPara>
          </w:p>
        </w:tc>
        <w:tc>
          <w:tcPr>
            <w:tcW w:w="1080" w:type="dxa"/>
            <w:vAlign w:val="center"/>
          </w:tcPr>
          <w:p w14:paraId="77204CBB" w14:textId="77777777" w:rsidR="006800A6" w:rsidRDefault="006800A6" w:rsidP="007B5724">
            <w:pPr>
              <w:spacing w:after="0"/>
              <w:jc w:val="right"/>
            </w:pPr>
            <w:r>
              <w:t>(10)</w:t>
            </w:r>
          </w:p>
        </w:tc>
      </w:tr>
    </w:tbl>
    <w:p w14:paraId="20DCB25A" w14:textId="77777777" w:rsidR="006800A6" w:rsidRPr="005A24FF" w:rsidRDefault="006800A6" w:rsidP="006800A6">
      <w:r w:rsidRPr="005A24FF">
        <w:t xml:space="preserve">Thus, </w:t>
      </w:r>
      <m:oMath>
        <m:r>
          <w:rPr>
            <w:rFonts w:ascii="Cambria Math" w:hAnsi="Cambria Math"/>
          </w:rPr>
          <m:t>λ</m:t>
        </m:r>
        <m:r>
          <m:rPr>
            <m:sty m:val="p"/>
          </m:rPr>
          <w:rPr>
            <w:rFonts w:ascii="Cambria Math" w:hAnsi="Cambria Math"/>
          </w:rPr>
          <m:t>=</m:t>
        </m:r>
        <m:r>
          <w:rPr>
            <w:rFonts w:ascii="Cambria Math" w:hAnsi="Cambria Math"/>
          </w:rPr>
          <m:t>0</m:t>
        </m:r>
      </m:oMath>
      <w:r w:rsidRPr="005A24FF">
        <w:t xml:space="preserve"> gives complete overlap in resource use, whereas </w:t>
      </w:r>
      <m:oMath>
        <m:r>
          <w:rPr>
            <w:rFonts w:ascii="Cambria Math" w:hAnsi="Cambria Math"/>
          </w:rPr>
          <m:t>λ</m:t>
        </m:r>
        <m:r>
          <m:rPr>
            <m:sty m:val="p"/>
          </m:rPr>
          <w:rPr>
            <w:rFonts w:ascii="Cambria Math" w:hAnsi="Cambria Math"/>
          </w:rPr>
          <m:t>=</m:t>
        </m:r>
        <m:r>
          <w:rPr>
            <w:rFonts w:ascii="Cambria Math" w:hAnsi="Cambria Math"/>
          </w:rPr>
          <m:t>1</m:t>
        </m:r>
      </m:oMath>
      <w:r w:rsidRPr="005A24FF">
        <w:t xml:space="preserve"> gives one private resource per consumer. Intermediate values split uptake between the shared and private resources while holding total resource-use weight constant.</w:t>
      </w:r>
    </w:p>
    <w:p w14:paraId="4DB2E124" w14:textId="77777777" w:rsidR="006800A6" w:rsidRPr="005A24FF" w:rsidRDefault="006800A6" w:rsidP="006800A6">
      <w:pPr>
        <w:pStyle w:val="BodyText"/>
      </w:pPr>
      <w:r w:rsidRPr="005A24FF">
        <w:t xml:space="preserve">For the consumer–resource model, per-capita growth at temperature </w:t>
      </w:r>
      <m:oMath>
        <m:r>
          <w:rPr>
            <w:rFonts w:ascii="Cambria Math" w:hAnsi="Cambria Math"/>
          </w:rPr>
          <m:t>T</m:t>
        </m:r>
      </m:oMath>
      <w:r w:rsidRPr="005A24FF">
        <w:t>, evaluated at resource supply concentrations, was</w:t>
      </w:r>
    </w:p>
    <w:tbl>
      <w:tblPr>
        <w:tblW w:w="9360" w:type="dxa"/>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1080"/>
        <w:gridCol w:w="7200"/>
        <w:gridCol w:w="1080"/>
      </w:tblGrid>
      <w:tr w:rsidR="006800A6" w14:paraId="690E5DEF" w14:textId="77777777" w:rsidTr="007B5724">
        <w:tc>
          <w:tcPr>
            <w:tcW w:w="1080" w:type="dxa"/>
            <w:vAlign w:val="center"/>
          </w:tcPr>
          <w:p w14:paraId="6273EFA1" w14:textId="77777777" w:rsidR="006800A6" w:rsidRDefault="006800A6" w:rsidP="007B5724">
            <w:pPr>
              <w:spacing w:after="0"/>
            </w:pPr>
          </w:p>
        </w:tc>
        <w:tc>
          <w:tcPr>
            <w:tcW w:w="7200" w:type="dxa"/>
            <w:vAlign w:val="center"/>
          </w:tcPr>
          <w:p w14:paraId="14BCCD41" w14:textId="77777777" w:rsidR="006800A6" w:rsidRPr="005A24FF" w:rsidRDefault="006800A6" w:rsidP="007B5724">
            <w:pPr>
              <w:pStyle w:val="BodyText"/>
              <w:spacing w:after="0"/>
              <w:jc w:val="center"/>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m:t>
                    </m:r>
                  </m:sub>
                </m:sSub>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R</m:t>
                    </m:r>
                  </m:sup>
                  <m:e>
                    <m:sSub>
                      <m:sSubPr>
                        <m:ctrlPr>
                          <w:rPr>
                            <w:rFonts w:ascii="Cambria Math" w:hAnsi="Cambria Math"/>
                          </w:rPr>
                        </m:ctrlPr>
                      </m:sSubPr>
                      <m:e>
                        <m:r>
                          <w:rPr>
                            <w:rFonts w:ascii="Cambria Math" w:hAnsi="Cambria Math"/>
                          </w:rPr>
                          <m:t>W</m:t>
                        </m:r>
                      </m:e>
                      <m:sub>
                        <m:r>
                          <w:rPr>
                            <w:rFonts w:ascii="Cambria Math" w:hAnsi="Cambria Math"/>
                          </w:rPr>
                          <m:t>ij</m:t>
                        </m:r>
                      </m:sub>
                    </m:sSub>
                  </m:e>
                </m:nary>
                <m:sSub>
                  <m:sSubPr>
                    <m:ctrlPr>
                      <w:rPr>
                        <w:rFonts w:ascii="Cambria Math" w:hAnsi="Cambria Math"/>
                      </w:rPr>
                    </m:ctrlPr>
                  </m:sSubPr>
                  <m:e>
                    <m:r>
                      <w:rPr>
                        <w:rFonts w:ascii="Cambria Math" w:hAnsi="Cambria Math"/>
                      </w:rPr>
                      <m:t>u</m:t>
                    </m:r>
                  </m:e>
                  <m:sub>
                    <m:r>
                      <w:rPr>
                        <w:rFonts w:ascii="Cambria Math" w:hAnsi="Cambria Math"/>
                      </w:rPr>
                      <m:t>ij</m:t>
                    </m:r>
                  </m:sub>
                </m:sSub>
                <m:r>
                  <m:rPr>
                    <m:sty m:val="p"/>
                  </m:rPr>
                  <w:rPr>
                    <w:rFonts w:ascii="Cambria Math" w:hAnsi="Cambria Math"/>
                  </w:rPr>
                  <m:t>(</m:t>
                </m:r>
                <m:r>
                  <w:rPr>
                    <w:rFonts w:ascii="Cambria Math" w:hAnsi="Cambria Math"/>
                  </w:rPr>
                  <m:t>T</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R</m:t>
                        </m:r>
                        <m:r>
                          <m:rPr>
                            <m:sty m:val="p"/>
                          </m:rPr>
                          <w:rPr>
                            <w:rFonts w:ascii="Cambria Math" w:hAnsi="Cambria Math"/>
                          </w:rPr>
                          <m:t>,</m:t>
                        </m:r>
                        <m:r>
                          <w:rPr>
                            <w:rFonts w:ascii="Cambria Math" w:hAnsi="Cambria Math"/>
                          </w:rPr>
                          <m:t>j</m:t>
                        </m:r>
                      </m:sub>
                    </m:sSub>
                  </m:num>
                  <m:den>
                    <m:sSub>
                      <m:sSubPr>
                        <m:ctrlPr>
                          <w:rPr>
                            <w:rFonts w:ascii="Cambria Math" w:hAnsi="Cambria Math"/>
                          </w:rPr>
                        </m:ctrlPr>
                      </m:sSubPr>
                      <m:e>
                        <m:r>
                          <w:rPr>
                            <w:rFonts w:ascii="Cambria Math" w:hAnsi="Cambria Math"/>
                          </w:rPr>
                          <m:t>h</m:t>
                        </m:r>
                      </m:e>
                      <m:sub>
                        <m:r>
                          <w:rPr>
                            <w:rFonts w:ascii="Cambria Math" w:hAnsi="Cambria Math"/>
                          </w:rPr>
                          <m:t>ij</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R</m:t>
                        </m:r>
                        <m:r>
                          <m:rPr>
                            <m:sty m:val="p"/>
                          </m:rPr>
                          <w:rPr>
                            <w:rFonts w:ascii="Cambria Math" w:hAnsi="Cambria Math"/>
                          </w:rPr>
                          <m:t>,</m:t>
                        </m:r>
                        <m:r>
                          <w:rPr>
                            <w:rFonts w:ascii="Cambria Math" w:hAnsi="Cambria Math"/>
                          </w:rPr>
                          <m:t>j</m:t>
                        </m:r>
                      </m:sub>
                    </m:sSub>
                  </m:den>
                </m:f>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oMath>
            </m:oMathPara>
          </w:p>
        </w:tc>
        <w:tc>
          <w:tcPr>
            <w:tcW w:w="1080" w:type="dxa"/>
            <w:vAlign w:val="center"/>
          </w:tcPr>
          <w:p w14:paraId="2A1B0152" w14:textId="77777777" w:rsidR="006800A6" w:rsidRDefault="006800A6" w:rsidP="007B5724">
            <w:pPr>
              <w:spacing w:after="0"/>
              <w:jc w:val="right"/>
            </w:pPr>
            <w:r>
              <w:t>(11)</w:t>
            </w:r>
          </w:p>
        </w:tc>
      </w:tr>
    </w:tbl>
    <w:p w14:paraId="67368E09" w14:textId="77777777" w:rsidR="006800A6" w:rsidRPr="009921B6" w:rsidRDefault="006800A6" w:rsidP="006800A6">
      <w:r>
        <w:t xml:space="preserve">The consumer–resource factorial design paralleled the Lotka–Volterra design. Consumer richness was 4, 8, or 12; mean thermal optimum was 16, 20, or 24 °C; the range of optima was 0, 2, or 4 °C; and mean thermal breadth was 3, 6, and 9, </w:t>
      </w:r>
      <w:r w:rsidRPr="009921B6">
        <w:t>and uptake-breadth range was 0.5 or 1.25</w:t>
      </w:r>
      <w:r>
        <w:t xml:space="preserve">. </w:t>
      </w:r>
      <w:r w:rsidRPr="009921B6">
        <w:t>Resource use varied along a private-to-shared gradient. In the deterministic resource-use run, resource-sharing levels were 0, 0.25, 0.5, 0.75, and 1. In the stochastic resource-use run, resource-use weights were drawn from beta distributions centred on the same gradient, with endpoint means adjusted to 0.01 and 0.99 to avoid degenerate beta distributions. Three community replicates and three temperature time series were crossed with each factorial combination, yielding 7,290 valid simulations per run.</w:t>
      </w:r>
    </w:p>
    <w:p w14:paraId="32F3E4E8" w14:textId="77777777" w:rsidR="006800A6" w:rsidRPr="005A24FF" w:rsidRDefault="006800A6" w:rsidP="006800A6">
      <w:r w:rsidRPr="009921B6">
        <w:t>Consumer-resource dynamics were integrated with the lsoda solver in the deSolve R package</w:t>
      </w:r>
      <w:r>
        <w:t xml:space="preserve"> </w:t>
      </w:r>
      <w:r>
        <w:fldChar w:fldCharType="begin"/>
      </w:r>
      <w:r>
        <w:instrText xml:space="preserve"> ADDIN ZOTERO_ITEM CSL_CITATION {"citationID":"7MGIojX1","properties":{"unsorted":false,"formattedCitation":"(Soetaert {\\i{}et al.} 2010)","plainCitation":"(Soetaert et al. 2010)","noteIndex":0},"citationItems":[{"id":3664,"uris":["http://zotero.org/users/10426170/items/2GF397BP"],"itemData":{"id":3664,"type":"article-journal","abstract":"In this paper we present the R package deSolve to solve initial value problems (IVP) written as ordinary differential equations (ODE), differential algebraic equations (DAE) of index 0 or 1 and partial differential equations (PDE), the latter solved using the method of lines approach. The differential equations can be represented in R code or as compiled code. In the latter case, R is used as a tool to trigger the integration and post-process the results, which facilitates model development and application, whilst the compiled code significantly increases simulation speed. The methods implemented are efficient, robust, and well documented public-domain Fortran routines. They include four integrators from the ODEPACK package (LSODE, LSODES, LSODA, LSODAR), DVODE and DASPK2.0. In addition, a suite of Runge-Kutta integrators and special-purpose solvers to efficiently integrate 1-, 2- and 3-dimensional partial differential equations are available. The routines solve both stiff and non-stiff systems, and include many options, e.g., to deal in an efficient way with the sparsity of the Jacobian matrix, or finding the root of equations. In this article, our objectives are threefold: (1) to demonstrate the potential of using R for dynamic modeling, (2) to highlight typical uses of the different methods implemented and (3) to compare the performance of models specified in R code and in compiled code for a number of test cases. These comparisons demonstrate that, if the use of loops is avoided, R code can efficiently integrate problems comprising several thousands of state variables. Nevertheless, the same problem may be solved from 2 to more than 50 times faster by using compiled code compared to an implementation using only R code. Still, amongst the benefits of R are a more flexible and interactive implementation, better readability of the code, and access to R’s high-level procedures. deSolve is the successor of package odesolve which will be deprecated in the future; it is free software and distributed under the GNU General Public License, as part of the R software project.","container-title":"Journal of Statistical Software","DOI":"10.18637/jss.v033.i09","ISSN":"1548-7660","language":"en","license":"Copyright (c) 2008 Karline  Soetaert, Thomas Petzoldt, R. Woodrow Setzer","page":"1-25","source":"www.jstatsoft.org","title":"Solving Differential Equations in R: Package deSolve","title-short":"Solving Differential Equations in R","volume":"33","author":[{"family":"Soetaert","given":"Karline"},{"family":"Petzoldt","given":"Thomas"},{"family":"Setzer","given":"R. Woodrow"}],"issued":{"date-parts":[["2010",2,23]]}}}],"schema":"https://github.com/citation-style-language/schema/raw/master/csl-citation.json"} </w:instrText>
      </w:r>
      <w:r>
        <w:fldChar w:fldCharType="separate"/>
      </w:r>
      <w:r w:rsidRPr="00515541">
        <w:rPr>
          <w:rFonts w:eastAsiaTheme="minorEastAsia"/>
          <w:szCs w:val="24"/>
        </w:rPr>
        <w:t xml:space="preserve">(Soetaert </w:t>
      </w:r>
      <w:r w:rsidRPr="00515541">
        <w:rPr>
          <w:rFonts w:eastAsiaTheme="minorEastAsia"/>
          <w:i/>
          <w:iCs/>
          <w:szCs w:val="24"/>
        </w:rPr>
        <w:t>et al.</w:t>
      </w:r>
      <w:r w:rsidRPr="00515541">
        <w:rPr>
          <w:rFonts w:eastAsiaTheme="minorEastAsia"/>
          <w:szCs w:val="24"/>
        </w:rPr>
        <w:t xml:space="preserve"> 2010)</w:t>
      </w:r>
      <w:r>
        <w:fldChar w:fldCharType="end"/>
      </w:r>
      <w:r w:rsidRPr="009921B6">
        <w:t xml:space="preserve">. </w:t>
      </w:r>
      <w:r>
        <w:t xml:space="preserve">Each simulation used a 200-time-unit burn-in followed by 2,000 time units of environmental forcing. During the forced period, temperature had a mean of 20 °C, a standard deviation of 4 °C, and </w:t>
      </w:r>
      <m:oMath>
        <m:r>
          <w:rPr>
            <w:rFonts w:ascii="Cambria Math" w:hAnsi="Cambria Math"/>
          </w:rPr>
          <m:t>1</m:t>
        </m:r>
        <m:r>
          <m:rPr>
            <m:sty m:val="p"/>
          </m:rPr>
          <w:rPr>
            <w:rFonts w:ascii="Cambria Math" w:hAnsi="Cambria Math"/>
          </w:rPr>
          <m:t>/</m:t>
        </m:r>
        <m:r>
          <w:rPr>
            <w:rFonts w:ascii="Cambria Math" w:hAnsi="Cambria Math"/>
          </w:rPr>
          <m:t>f</m:t>
        </m:r>
      </m:oMath>
      <w:r>
        <w:t xml:space="preserve"> temporal autocorrelation with exponent </w:t>
      </w:r>
      <m:oMath>
        <m:r>
          <w:rPr>
            <w:rFonts w:ascii="Cambria Math" w:hAnsi="Cambria Math"/>
          </w:rPr>
          <m:t>γ</m:t>
        </m:r>
        <m:r>
          <m:rPr>
            <m:sty m:val="p"/>
          </m:rPr>
          <w:rPr>
            <w:rFonts w:ascii="Cambria Math" w:hAnsi="Cambria Math"/>
          </w:rPr>
          <m:t>=</m:t>
        </m:r>
        <m:r>
          <w:rPr>
            <w:rFonts w:ascii="Cambria Math" w:hAnsi="Cambria Math"/>
          </w:rPr>
          <m:t>0.8</m:t>
        </m:r>
      </m:oMath>
      <w:r w:rsidRPr="009921B6">
        <w:t>. Because uptake rates are temperature dependent and consumers compete through shared resources, the consumer-resource model provides a mechanistic case in which effective interaction strengths can vary with temperature</w:t>
      </w:r>
      <w:r>
        <w:t xml:space="preserve"> </w:t>
      </w:r>
      <w:r>
        <w:fldChar w:fldCharType="begin"/>
      </w:r>
      <w:r>
        <w:instrText xml:space="preserve"> ADDIN ZOTERO_ITEM CSL_CITATION {"citationID":"TWg5zPzY","properties":{"unsorted":false,"formattedCitation":"(Duan {\\i{}et al.} 2025)","plainCitation":"(Duan et al. 2025)","noteIndex":0},"citationItems":[{"id":3671,"uris":["http://zotero.org/users/10426170/items/SCDYXBMS"],"itemData":{"id":3671,"type":"article","abstract":"A general mechanistic understanding of the impacts of temperature on resource-mediated interactions between microbial species is currently lacking. Here, we develop a trait-based mathematical framework to derive the temperature-dependence of effective pairwise species interactions within a microbial community that accounts for higher-order interactions. Parameterising this framework using bacterial metabolic traits leads to three key predictions. First, species’ effective interactions respond unimodally to environmental temperature and are typically more thermally sensitive than their underlying metabolic processes (e.g., resource uptake and respiration). Second, the temperature response of interactions is mainly governed by resource competition. Third, the mean and variance of intraspecific interaction strengths increase with temperature faster than interspecific interactions. These findings have key implications for our understanding of microbial community dynamics in natural environments, paving the way for predicting the impacts of temperature fluctuations and change on their coexistence, diversity, and stability.","DOI":"10.1101/2025.04.18.649480","language":"en","license":"© 2025, Posted by Cold Spring Harbor Laboratory. This pre-print is available under a Creative Commons License (Attribution-NoDerivs 4.0 International), CC BY-ND 4.0, as described at http://creativecommons.org/licenses/by-nd/4.0/","note":"page: 2025.04.18.649480\nsection: New Results","publisher":"bioRxiv","source":"bioRxiv","title":"A General Framework for Predicting the Temperature-Dependence of Microbial Interactions","URL":"https://www.biorxiv.org/content/10.1101/2025.04.18.649480v1","author":[{"family":"Duan","given":"Quqiming"},{"family":"Harcombe","given":"Will"},{"family":"Savage","given":"Van"},{"family":"Mustri","given":"Michael"},{"family":"Smith","given":"Thomas P."},{"family":"Pawar","given":"Samraat"}],"accessed":{"date-parts":[["2026",7,21]]},"issued":{"date-parts":[["2025",4,22]]}}}],"schema":"https://github.com/citation-style-language/schema/raw/master/csl-citation.json"} </w:instrText>
      </w:r>
      <w:r>
        <w:fldChar w:fldCharType="separate"/>
      </w:r>
      <w:r w:rsidRPr="00A77D33">
        <w:rPr>
          <w:rFonts w:eastAsiaTheme="minorEastAsia"/>
          <w:szCs w:val="24"/>
        </w:rPr>
        <w:t xml:space="preserve">(Duan </w:t>
      </w:r>
      <w:r w:rsidRPr="00A77D33">
        <w:rPr>
          <w:rFonts w:eastAsiaTheme="minorEastAsia"/>
          <w:i/>
          <w:iCs/>
          <w:szCs w:val="24"/>
        </w:rPr>
        <w:t>et al.</w:t>
      </w:r>
      <w:r w:rsidRPr="00A77D33">
        <w:rPr>
          <w:rFonts w:eastAsiaTheme="minorEastAsia"/>
          <w:szCs w:val="24"/>
        </w:rPr>
        <w:t xml:space="preserve"> 2025)</w:t>
      </w:r>
      <w:r>
        <w:fldChar w:fldCharType="end"/>
      </w:r>
      <w:r w:rsidRPr="009921B6">
        <w:t>.</w:t>
      </w:r>
      <w:r>
        <w:t xml:space="preserve"> </w:t>
      </w:r>
    </w:p>
    <w:bookmarkEnd w:id="13"/>
    <w:p w14:paraId="51A178DD" w14:textId="77777777" w:rsidR="006800A6" w:rsidRPr="005A24FF" w:rsidRDefault="006800A6" w:rsidP="006800A6">
      <w:pPr>
        <w:pStyle w:val="Heading3"/>
      </w:pPr>
      <w:r w:rsidRPr="005A24FF">
        <w:t>Community performance</w:t>
      </w:r>
      <w:r>
        <w:t xml:space="preserve"> </w:t>
      </w:r>
    </w:p>
    <w:p w14:paraId="3AA6954B" w14:textId="77777777" w:rsidR="006800A6" w:rsidRPr="005A24FF" w:rsidRDefault="006800A6" w:rsidP="006800A6">
      <w:r w:rsidRPr="005A24FF">
        <w:t>For the Lotka–Volterra model</w:t>
      </w:r>
      <w:r>
        <w:t xml:space="preserve"> and the empirical microcosm experiment</w:t>
      </w:r>
      <w:r w:rsidRPr="005A24FF">
        <w:t xml:space="preserve">, species performance at temperature </w:t>
      </w:r>
      <m:oMath>
        <m:r>
          <w:rPr>
            <w:rFonts w:ascii="Cambria Math" w:hAnsi="Cambria Math"/>
          </w:rPr>
          <m:t>T</m:t>
        </m:r>
      </m:oMath>
      <w:r w:rsidRPr="005A24FF">
        <w:t xml:space="preserve"> was defined as intrinsic growth rate.</w:t>
      </w:r>
      <w:r>
        <w:t xml:space="preserve"> C</w:t>
      </w:r>
      <w:r w:rsidRPr="005A24FF">
        <w:t>ommunity performance was calculated as the sum of species’ performance curves:</w:t>
      </w:r>
    </w:p>
    <w:tbl>
      <w:tblPr>
        <w:tblW w:w="9360" w:type="dxa"/>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1080"/>
        <w:gridCol w:w="7200"/>
        <w:gridCol w:w="1080"/>
      </w:tblGrid>
      <w:tr w:rsidR="006800A6" w14:paraId="63A6E548" w14:textId="77777777" w:rsidTr="007B5724">
        <w:tc>
          <w:tcPr>
            <w:tcW w:w="1080" w:type="dxa"/>
            <w:vAlign w:val="center"/>
          </w:tcPr>
          <w:p w14:paraId="23BA4460" w14:textId="77777777" w:rsidR="006800A6" w:rsidRDefault="006800A6" w:rsidP="007B5724">
            <w:pPr>
              <w:spacing w:after="0"/>
            </w:pPr>
          </w:p>
        </w:tc>
        <w:tc>
          <w:tcPr>
            <w:tcW w:w="7200" w:type="dxa"/>
            <w:vAlign w:val="center"/>
          </w:tcPr>
          <w:p w14:paraId="3BDDE075" w14:textId="77777777" w:rsidR="006800A6" w:rsidRPr="005A24FF" w:rsidRDefault="006800A6" w:rsidP="007B5724">
            <w:pPr>
              <w:pStyle w:val="BodyText"/>
              <w:spacing w:after="0"/>
              <w:jc w:val="center"/>
            </w:pPr>
            <m:oMathPara>
              <m:oMathParaPr>
                <m:jc m:val="center"/>
              </m:oMathParaPr>
              <m:oMath>
                <m:r>
                  <w:rPr>
                    <w:rFonts w:ascii="Cambria Math" w:hAnsi="Cambria Math"/>
                  </w:rPr>
                  <m:t>CP</m:t>
                </m:r>
                <m:r>
                  <m:rPr>
                    <m:sty m:val="p"/>
                  </m:rPr>
                  <w:rPr>
                    <w:rFonts w:ascii="Cambria Math" w:hAnsi="Cambria Math"/>
                  </w:rPr>
                  <m:t>(</m:t>
                </m:r>
                <m:r>
                  <w:rPr>
                    <w:rFonts w:ascii="Cambria Math" w:hAnsi="Cambria Math"/>
                  </w:rPr>
                  <m:t>T</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S</m:t>
                    </m:r>
                  </m:sup>
                  <m:e>
                    <m:sSub>
                      <m:sSubPr>
                        <m:ctrlPr>
                          <w:rPr>
                            <w:rFonts w:ascii="Cambria Math" w:hAnsi="Cambria Math"/>
                          </w:rPr>
                        </m:ctrlPr>
                      </m:sSubPr>
                      <m:e>
                        <m:r>
                          <w:rPr>
                            <w:rFonts w:ascii="Cambria Math" w:hAnsi="Cambria Math"/>
                          </w:rPr>
                          <m:t>r</m:t>
                        </m:r>
                      </m:e>
                      <m:sub>
                        <m:r>
                          <w:rPr>
                            <w:rFonts w:ascii="Cambria Math" w:hAnsi="Cambria Math"/>
                          </w:rPr>
                          <m:t>i</m:t>
                        </m:r>
                      </m:sub>
                    </m:sSub>
                  </m:e>
                </m:nary>
                <m:r>
                  <m:rPr>
                    <m:sty m:val="p"/>
                  </m:rPr>
                  <w:rPr>
                    <w:rFonts w:ascii="Cambria Math" w:hAnsi="Cambria Math"/>
                  </w:rPr>
                  <m:t>(</m:t>
                </m:r>
                <m:r>
                  <w:rPr>
                    <w:rFonts w:ascii="Cambria Math" w:hAnsi="Cambria Math"/>
                  </w:rPr>
                  <m:t>T</m:t>
                </m:r>
                <m:r>
                  <m:rPr>
                    <m:sty m:val="p"/>
                  </m:rPr>
                  <w:rPr>
                    <w:rFonts w:ascii="Cambria Math" w:hAnsi="Cambria Math"/>
                  </w:rPr>
                  <m:t>),</m:t>
                </m:r>
              </m:oMath>
            </m:oMathPara>
          </w:p>
        </w:tc>
        <w:tc>
          <w:tcPr>
            <w:tcW w:w="1080" w:type="dxa"/>
            <w:vAlign w:val="center"/>
          </w:tcPr>
          <w:p w14:paraId="49F8AA37" w14:textId="77777777" w:rsidR="006800A6" w:rsidRDefault="006800A6" w:rsidP="007B5724">
            <w:pPr>
              <w:spacing w:after="0"/>
              <w:jc w:val="right"/>
            </w:pPr>
            <w:r>
              <w:t>(12)</w:t>
            </w:r>
          </w:p>
        </w:tc>
      </w:tr>
    </w:tbl>
    <w:p w14:paraId="14B6EB2D" w14:textId="77777777" w:rsidR="006800A6" w:rsidRPr="005A24FF" w:rsidRDefault="006800A6" w:rsidP="006800A6">
      <w:r w:rsidRPr="005A24FF">
        <w:lastRenderedPageBreak/>
        <w:t xml:space="preserve">where </w:t>
      </w:r>
      <m:oMath>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r>
          <w:rPr>
            <w:rFonts w:ascii="Cambria Math" w:hAnsi="Cambria Math"/>
          </w:rPr>
          <m:t>T</m:t>
        </m:r>
        <m:r>
          <m:rPr>
            <m:sty m:val="p"/>
          </m:rPr>
          <w:rPr>
            <w:rFonts w:ascii="Cambria Math" w:hAnsi="Cambria Math"/>
          </w:rPr>
          <m:t>)</m:t>
        </m:r>
      </m:oMath>
      <w:r w:rsidRPr="005A24FF">
        <w:t xml:space="preserve"> is the performance curve of species </w:t>
      </w:r>
      <m:oMath>
        <m:r>
          <w:rPr>
            <w:rFonts w:ascii="Cambria Math" w:hAnsi="Cambria Math"/>
          </w:rPr>
          <m:t>i</m:t>
        </m:r>
      </m:oMath>
      <w:r w:rsidRPr="005A24FF">
        <w:t xml:space="preserve">⁠. For a set of temperatures </w:t>
      </w:r>
      <m:oMath>
        <m:r>
          <w:rPr>
            <w:rFonts w:ascii="Cambria Math" w:hAnsi="Cambria Math"/>
          </w:rPr>
          <m:t>T</m:t>
        </m:r>
      </m:oMath>
      <w:r w:rsidRPr="005A24FF">
        <w:t>, the variability of community performance was quantified as the coefficient of variation:</w:t>
      </w:r>
    </w:p>
    <w:tbl>
      <w:tblPr>
        <w:tblW w:w="9360" w:type="dxa"/>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1080"/>
        <w:gridCol w:w="7200"/>
        <w:gridCol w:w="1080"/>
      </w:tblGrid>
      <w:tr w:rsidR="006800A6" w14:paraId="4AA3D11B" w14:textId="77777777" w:rsidTr="007B5724">
        <w:tc>
          <w:tcPr>
            <w:tcW w:w="1080" w:type="dxa"/>
            <w:vAlign w:val="center"/>
          </w:tcPr>
          <w:p w14:paraId="4868E607" w14:textId="77777777" w:rsidR="006800A6" w:rsidRDefault="006800A6" w:rsidP="007B5724">
            <w:pPr>
              <w:spacing w:after="0"/>
            </w:pPr>
          </w:p>
        </w:tc>
        <w:tc>
          <w:tcPr>
            <w:tcW w:w="7200" w:type="dxa"/>
            <w:vAlign w:val="center"/>
          </w:tcPr>
          <w:p w14:paraId="7B4D7BB9" w14:textId="77777777" w:rsidR="006800A6" w:rsidRPr="005A24FF" w:rsidRDefault="006800A6" w:rsidP="007B5724">
            <w:pPr>
              <w:pStyle w:val="BodyText"/>
              <w:spacing w:after="0"/>
              <w:jc w:val="center"/>
            </w:pPr>
            <m:oMathPara>
              <m:oMathParaPr>
                <m:jc m:val="center"/>
              </m:oMathParaPr>
              <m:oMath>
                <m:r>
                  <w:rPr>
                    <w:rFonts w:ascii="Cambria Math" w:hAnsi="Cambria Math"/>
                  </w:rPr>
                  <m:t>CV</m:t>
                </m:r>
                <m:d>
                  <m:dPr>
                    <m:ctrlPr>
                      <w:rPr>
                        <w:rFonts w:ascii="Cambria Math" w:hAnsi="Cambria Math"/>
                      </w:rPr>
                    </m:ctrlPr>
                  </m:dPr>
                  <m:e>
                    <m:r>
                      <w:rPr>
                        <w:rFonts w:ascii="Cambria Math" w:hAnsi="Cambria Math"/>
                      </w:rPr>
                      <m:t>CP</m:t>
                    </m:r>
                    <m:r>
                      <m:rPr>
                        <m:sty m:val="p"/>
                      </m:rPr>
                      <w:rPr>
                        <w:rFonts w:ascii="Cambria Math" w:hAnsi="Cambria Math"/>
                      </w:rPr>
                      <m:t>(</m:t>
                    </m:r>
                    <m:r>
                      <w:rPr>
                        <w:rFonts w:ascii="Cambria Math" w:hAnsi="Cambria Math"/>
                      </w:rPr>
                      <m:t>T</m:t>
                    </m:r>
                    <m:r>
                      <m:rPr>
                        <m:sty m:val="p"/>
                      </m:rPr>
                      <w:rPr>
                        <w:rFonts w:ascii="Cambria Math" w:hAnsi="Cambria Math"/>
                      </w:rPr>
                      <m:t>)</m:t>
                    </m:r>
                  </m:e>
                </m:d>
                <m:r>
                  <m:rPr>
                    <m:sty m:val="p"/>
                  </m:rPr>
                  <w:rPr>
                    <w:rFonts w:ascii="Cambria Math" w:hAnsi="Cambria Math"/>
                  </w:rPr>
                  <m:t>=</m:t>
                </m:r>
                <m:f>
                  <m:fPr>
                    <m:ctrlPr>
                      <w:rPr>
                        <w:rFonts w:ascii="Cambria Math" w:hAnsi="Cambria Math"/>
                      </w:rPr>
                    </m:ctrlPr>
                  </m:fPr>
                  <m:num>
                    <m:r>
                      <w:rPr>
                        <w:rFonts w:ascii="Cambria Math" w:hAnsi="Cambria Math"/>
                      </w:rPr>
                      <m:t>sd</m:t>
                    </m:r>
                    <m:d>
                      <m:dPr>
                        <m:ctrlPr>
                          <w:rPr>
                            <w:rFonts w:ascii="Cambria Math" w:hAnsi="Cambria Math"/>
                          </w:rPr>
                        </m:ctrlPr>
                      </m:dPr>
                      <m:e>
                        <m:r>
                          <w:rPr>
                            <w:rFonts w:ascii="Cambria Math" w:hAnsi="Cambria Math"/>
                          </w:rPr>
                          <m:t>CP</m:t>
                        </m:r>
                        <m:r>
                          <m:rPr>
                            <m:sty m:val="p"/>
                          </m:rPr>
                          <w:rPr>
                            <w:rFonts w:ascii="Cambria Math" w:hAnsi="Cambria Math"/>
                          </w:rPr>
                          <m:t>(</m:t>
                        </m:r>
                        <m:r>
                          <w:rPr>
                            <w:rFonts w:ascii="Cambria Math" w:hAnsi="Cambria Math"/>
                          </w:rPr>
                          <m:t>T</m:t>
                        </m:r>
                        <m:r>
                          <m:rPr>
                            <m:sty m:val="p"/>
                          </m:rPr>
                          <w:rPr>
                            <w:rFonts w:ascii="Cambria Math" w:hAnsi="Cambria Math"/>
                          </w:rPr>
                          <m:t>)</m:t>
                        </m:r>
                      </m:e>
                    </m:d>
                  </m:num>
                  <m:den>
                    <m:r>
                      <w:rPr>
                        <w:rFonts w:ascii="Cambria Math" w:hAnsi="Cambria Math"/>
                      </w:rPr>
                      <m:t>mean</m:t>
                    </m:r>
                    <m:d>
                      <m:dPr>
                        <m:ctrlPr>
                          <w:rPr>
                            <w:rFonts w:ascii="Cambria Math" w:hAnsi="Cambria Math"/>
                          </w:rPr>
                        </m:ctrlPr>
                      </m:dPr>
                      <m:e>
                        <m:r>
                          <w:rPr>
                            <w:rFonts w:ascii="Cambria Math" w:hAnsi="Cambria Math"/>
                          </w:rPr>
                          <m:t>CP</m:t>
                        </m:r>
                        <m:r>
                          <m:rPr>
                            <m:sty m:val="p"/>
                          </m:rPr>
                          <w:rPr>
                            <w:rFonts w:ascii="Cambria Math" w:hAnsi="Cambria Math"/>
                          </w:rPr>
                          <m:t>(</m:t>
                        </m:r>
                        <m:r>
                          <w:rPr>
                            <w:rFonts w:ascii="Cambria Math" w:hAnsi="Cambria Math"/>
                          </w:rPr>
                          <m:t>T</m:t>
                        </m:r>
                        <m:r>
                          <m:rPr>
                            <m:sty m:val="p"/>
                          </m:rPr>
                          <w:rPr>
                            <w:rFonts w:ascii="Cambria Math" w:hAnsi="Cambria Math"/>
                          </w:rPr>
                          <m:t>)</m:t>
                        </m:r>
                      </m:e>
                    </m:d>
                  </m:den>
                </m:f>
                <m:r>
                  <m:rPr>
                    <m:sty m:val="p"/>
                  </m:rPr>
                  <w:rPr>
                    <w:rFonts w:ascii="Cambria Math" w:hAnsi="Cambria Math"/>
                  </w:rPr>
                  <m:t>.</m:t>
                </m:r>
              </m:oMath>
            </m:oMathPara>
          </w:p>
        </w:tc>
        <w:tc>
          <w:tcPr>
            <w:tcW w:w="1080" w:type="dxa"/>
            <w:vAlign w:val="center"/>
          </w:tcPr>
          <w:p w14:paraId="66905899" w14:textId="77777777" w:rsidR="006800A6" w:rsidRDefault="006800A6" w:rsidP="007B5724">
            <w:pPr>
              <w:spacing w:after="0"/>
              <w:jc w:val="right"/>
            </w:pPr>
            <w:r>
              <w:t>(13)</w:t>
            </w:r>
          </w:p>
        </w:tc>
      </w:tr>
    </w:tbl>
    <w:p w14:paraId="0999C564" w14:textId="77777777" w:rsidR="006800A6" w:rsidRPr="005A24FF" w:rsidRDefault="006800A6" w:rsidP="006800A6">
      <w:r>
        <w:t xml:space="preserve">When </w:t>
      </w:r>
      <m:oMath>
        <m:r>
          <w:rPr>
            <w:rFonts w:ascii="Cambria Math" w:hAnsi="Cambria Math"/>
          </w:rPr>
          <m:t>T</m:t>
        </m:r>
      </m:oMath>
      <w:r>
        <w:t xml:space="preserve"> was the set of actually experienced temperatures, </w:t>
      </w:r>
      <m:oMath>
        <m:r>
          <w:rPr>
            <w:rFonts w:ascii="Cambria Math" w:hAnsi="Cambria Math"/>
          </w:rPr>
          <m:t>CV</m:t>
        </m:r>
        <m:d>
          <m:dPr>
            <m:ctrlPr>
              <w:rPr>
                <w:rFonts w:ascii="Cambria Math" w:hAnsi="Cambria Math"/>
              </w:rPr>
            </m:ctrlPr>
          </m:dPr>
          <m:e>
            <m:sSub>
              <m:sSubPr>
                <m:ctrlPr>
                  <w:rPr>
                    <w:rFonts w:ascii="Cambria Math" w:hAnsi="Cambria Math"/>
                    <w:i/>
                  </w:rPr>
                </m:ctrlPr>
              </m:sSubPr>
              <m:e>
                <m:r>
                  <w:rPr>
                    <w:rFonts w:ascii="Cambria Math" w:hAnsi="Cambria Math"/>
                  </w:rPr>
                  <m:t>CP</m:t>
                </m:r>
              </m:e>
              <m:sub>
                <m:r>
                  <w:rPr>
                    <w:rFonts w:ascii="Cambria Math" w:hAnsi="Cambria Math"/>
                  </w:rPr>
                  <m:t>actual</m:t>
                </m:r>
              </m:sub>
            </m:sSub>
          </m:e>
        </m:d>
      </m:oMath>
      <w:r>
        <w:t xml:space="preserve"> was the actual CP variability. When the environmental sequence was assumed unknown, we evaluated the CP over a uniform distribution spanning the environmental range; this yielded null CP variability (</w:t>
      </w:r>
      <m:oMath>
        <m:r>
          <w:rPr>
            <w:rFonts w:ascii="Cambria Math" w:hAnsi="Cambria Math"/>
          </w:rPr>
          <m:t>CV</m:t>
        </m:r>
        <m:d>
          <m:dPr>
            <m:ctrlPr>
              <w:rPr>
                <w:rFonts w:ascii="Cambria Math" w:hAnsi="Cambria Math"/>
              </w:rPr>
            </m:ctrlPr>
          </m:dPr>
          <m:e>
            <m:sSub>
              <m:sSubPr>
                <m:ctrlPr>
                  <w:rPr>
                    <w:rFonts w:ascii="Cambria Math" w:hAnsi="Cambria Math"/>
                    <w:i/>
                  </w:rPr>
                </m:ctrlPr>
              </m:sSubPr>
              <m:e>
                <m:r>
                  <w:rPr>
                    <w:rFonts w:ascii="Cambria Math" w:hAnsi="Cambria Math"/>
                  </w:rPr>
                  <m:t>CP</m:t>
                </m:r>
              </m:e>
              <m:sub>
                <m:r>
                  <w:rPr>
                    <w:rFonts w:ascii="Cambria Math" w:hAnsi="Cambria Math"/>
                  </w:rPr>
                  <m:t>null</m:t>
                </m:r>
              </m:sub>
            </m:sSub>
          </m:e>
        </m:d>
      </m:oMath>
      <w:r>
        <w:t>), which requires no information about the realised frequency of environmental conditions experienced.</w:t>
      </w:r>
    </w:p>
    <w:p w14:paraId="6B3632DD" w14:textId="77777777" w:rsidR="006800A6" w:rsidRPr="005A24FF" w:rsidRDefault="006800A6" w:rsidP="006800A6">
      <w:pPr>
        <w:pStyle w:val="BodyText"/>
      </w:pPr>
      <w:r>
        <w:t>In the consumer–resource model, raw growth rate is not expected to map linearly onto realised abundance, because species with positive growth can persist but their realised abundance is determined by resource supply, resource depletion, mortality, and competition (Gonzalez &amp; Feo 2007; Lehman &amp; Tilman 2000). We therefore used a viability transformation (Supplementary Information 2, Section 2.5) that maps intrinsic growth onto whether a species can persist at a given temperature:</w:t>
      </w:r>
    </w:p>
    <w:tbl>
      <w:tblPr>
        <w:tblW w:w="9360" w:type="dxa"/>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1080"/>
        <w:gridCol w:w="7200"/>
        <w:gridCol w:w="1080"/>
      </w:tblGrid>
      <w:tr w:rsidR="006800A6" w14:paraId="7B959E3E" w14:textId="77777777" w:rsidTr="007B5724">
        <w:tc>
          <w:tcPr>
            <w:tcW w:w="1080" w:type="dxa"/>
            <w:vAlign w:val="center"/>
          </w:tcPr>
          <w:p w14:paraId="194A4891" w14:textId="77777777" w:rsidR="006800A6" w:rsidRDefault="006800A6" w:rsidP="007B5724">
            <w:pPr>
              <w:spacing w:after="0"/>
            </w:pPr>
          </w:p>
        </w:tc>
        <w:tc>
          <w:tcPr>
            <w:tcW w:w="7200" w:type="dxa"/>
            <w:vAlign w:val="center"/>
          </w:tcPr>
          <w:p w14:paraId="51CE94F4" w14:textId="77777777" w:rsidR="006800A6" w:rsidRPr="005A24FF" w:rsidRDefault="006800A6" w:rsidP="007B5724">
            <w:pPr>
              <w:pStyle w:val="BodyText"/>
              <w:spacing w:after="0"/>
              <w:jc w:val="center"/>
            </w:pPr>
            <m:oMathPara>
              <m:oMathParaPr>
                <m:jc m:val="center"/>
              </m:oMathParaPr>
              <m:oMath>
                <m:sSub>
                  <m:sSubPr>
                    <m:ctrlPr>
                      <w:rPr>
                        <w:rFonts w:ascii="Cambria Math" w:hAnsi="Cambria Math"/>
                      </w:rPr>
                    </m:ctrlPr>
                  </m:sSubPr>
                  <m:e>
                    <m:r>
                      <w:rPr>
                        <w:rFonts w:ascii="Cambria Math" w:hAnsi="Cambria Math"/>
                      </w:rPr>
                      <m:t>f</m:t>
                    </m:r>
                  </m:e>
                  <m:sub>
                    <m:r>
                      <m:rPr>
                        <m:sty m:val="p"/>
                      </m:rPr>
                      <w:rPr>
                        <w:rFonts w:ascii="Cambria Math" w:hAnsi="Cambria Math"/>
                      </w:rPr>
                      <m:t>CR</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r>
                  <w:rPr>
                    <w:rFonts w:ascii="Cambria Math" w:hAnsi="Cambria Math"/>
                  </w:rPr>
                  <m:t>T</m:t>
                </m:r>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1</m:t>
                          </m:r>
                          <m:r>
                            <m:rPr>
                              <m:sty m:val="p"/>
                            </m:rPr>
                            <w:rPr>
                              <w:rFonts w:ascii="Cambria Math" w:hAnsi="Cambria Math"/>
                            </w:rPr>
                            <m:t>,</m:t>
                          </m:r>
                        </m:e>
                        <m:e>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r>
                            <w:rPr>
                              <w:rFonts w:ascii="Cambria Math" w:hAnsi="Cambria Math"/>
                            </w:rPr>
                            <m:t>T</m:t>
                          </m:r>
                          <m:r>
                            <m:rPr>
                              <m:sty m:val="p"/>
                            </m:rPr>
                            <w:rPr>
                              <w:rFonts w:ascii="Cambria Math" w:hAnsi="Cambria Math"/>
                            </w:rPr>
                            <m:t>)&gt;</m:t>
                          </m:r>
                          <m:r>
                            <w:rPr>
                              <w:rFonts w:ascii="Cambria Math" w:hAnsi="Cambria Math"/>
                            </w:rPr>
                            <m:t>0</m:t>
                          </m:r>
                          <m:r>
                            <m:rPr>
                              <m:sty m:val="p"/>
                            </m:rPr>
                            <w:rPr>
                              <w:rFonts w:ascii="Cambria Math" w:hAnsi="Cambria Math"/>
                            </w:rPr>
                            <m:t>,</m:t>
                          </m:r>
                        </m:e>
                      </m:mr>
                      <m:mr>
                        <m:e>
                          <m:r>
                            <w:rPr>
                              <w:rFonts w:ascii="Cambria Math" w:hAnsi="Cambria Math"/>
                            </w:rPr>
                            <m:t>0</m:t>
                          </m:r>
                          <m:r>
                            <m:rPr>
                              <m:sty m:val="p"/>
                            </m:rPr>
                            <w:rPr>
                              <w:rFonts w:ascii="Cambria Math" w:hAnsi="Cambria Math"/>
                            </w:rPr>
                            <m:t>,</m:t>
                          </m:r>
                        </m:e>
                        <m:e>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0</m:t>
                          </m:r>
                          <m:r>
                            <m:rPr>
                              <m:sty m:val="p"/>
                            </m:rPr>
                            <w:rPr>
                              <w:rFonts w:ascii="Cambria Math" w:hAnsi="Cambria Math"/>
                            </w:rPr>
                            <m:t>.</m:t>
                          </m:r>
                        </m:e>
                      </m:mr>
                    </m:m>
                  </m:e>
                </m:d>
              </m:oMath>
            </m:oMathPara>
          </w:p>
        </w:tc>
        <w:tc>
          <w:tcPr>
            <w:tcW w:w="1080" w:type="dxa"/>
            <w:vAlign w:val="center"/>
          </w:tcPr>
          <w:p w14:paraId="7D3529E8" w14:textId="77777777" w:rsidR="006800A6" w:rsidRDefault="006800A6" w:rsidP="007B5724">
            <w:pPr>
              <w:spacing w:after="0"/>
              <w:jc w:val="right"/>
            </w:pPr>
            <w:r>
              <w:t>(14)</w:t>
            </w:r>
          </w:p>
        </w:tc>
      </w:tr>
    </w:tbl>
    <w:p w14:paraId="35E49F32" w14:textId="77777777" w:rsidR="006800A6" w:rsidRPr="005A24FF" w:rsidRDefault="006800A6" w:rsidP="006800A6">
      <w:r>
        <w:t>The consumer–resource viability CP was then</w:t>
      </w:r>
    </w:p>
    <w:tbl>
      <w:tblPr>
        <w:tblW w:w="9360" w:type="dxa"/>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1080"/>
        <w:gridCol w:w="7200"/>
        <w:gridCol w:w="1080"/>
      </w:tblGrid>
      <w:tr w:rsidR="006800A6" w14:paraId="7BAAE067" w14:textId="77777777" w:rsidTr="007B5724">
        <w:tc>
          <w:tcPr>
            <w:tcW w:w="1080" w:type="dxa"/>
            <w:vAlign w:val="center"/>
          </w:tcPr>
          <w:p w14:paraId="1EBBFF95" w14:textId="77777777" w:rsidR="006800A6" w:rsidRDefault="006800A6" w:rsidP="007B5724">
            <w:pPr>
              <w:spacing w:after="0"/>
            </w:pPr>
          </w:p>
        </w:tc>
        <w:tc>
          <w:tcPr>
            <w:tcW w:w="7200" w:type="dxa"/>
            <w:vAlign w:val="center"/>
          </w:tcPr>
          <w:p w14:paraId="2D48B65F" w14:textId="77777777" w:rsidR="006800A6" w:rsidRPr="005A24FF" w:rsidRDefault="006800A6" w:rsidP="007B5724">
            <w:pPr>
              <w:pStyle w:val="BodyText"/>
              <w:spacing w:after="0"/>
              <w:jc w:val="center"/>
            </w:pPr>
            <m:oMathPara>
              <m:oMathParaPr>
                <m:jc m:val="center"/>
              </m:oMathParaPr>
              <m:oMath>
                <m:sSub>
                  <m:sSubPr>
                    <m:ctrlPr>
                      <w:rPr>
                        <w:rFonts w:ascii="Cambria Math" w:hAnsi="Cambria Math"/>
                        <w:i/>
                      </w:rPr>
                    </m:ctrlPr>
                  </m:sSubPr>
                  <m:e>
                    <m:r>
                      <w:rPr>
                        <w:rFonts w:ascii="Cambria Math" w:hAnsi="Cambria Math"/>
                      </w:rPr>
                      <m:t>CP</m:t>
                    </m:r>
                  </m:e>
                  <m:sub>
                    <m:r>
                      <w:rPr>
                        <w:rFonts w:ascii="Cambria Math" w:hAnsi="Cambria Math"/>
                      </w:rPr>
                      <m:t>viability</m:t>
                    </m:r>
                  </m:sub>
                </m:sSub>
                <m:r>
                  <m:rPr>
                    <m:sty m:val="p"/>
                  </m:rPr>
                  <w:rPr>
                    <w:rFonts w:ascii="Cambria Math" w:hAnsi="Cambria Math"/>
                  </w:rPr>
                  <m:t>(</m:t>
                </m:r>
                <m:r>
                  <w:rPr>
                    <w:rFonts w:ascii="Cambria Math" w:hAnsi="Cambria Math"/>
                  </w:rPr>
                  <m:t>T</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S</m:t>
                    </m:r>
                  </m:sup>
                  <m:e>
                    <m:r>
                      <w:rPr>
                        <w:rFonts w:ascii="Cambria Math" w:hAnsi="Cambria Math"/>
                      </w:rPr>
                      <m:t>I</m:t>
                    </m:r>
                  </m:e>
                </m:nary>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r>
                      <w:rPr>
                        <w:rFonts w:ascii="Cambria Math" w:hAnsi="Cambria Math"/>
                      </w:rPr>
                      <m:t>T</m:t>
                    </m:r>
                    <m:r>
                      <m:rPr>
                        <m:sty m:val="p"/>
                      </m:rPr>
                      <w:rPr>
                        <w:rFonts w:ascii="Cambria Math" w:hAnsi="Cambria Math"/>
                      </w:rPr>
                      <m:t>)&gt;</m:t>
                    </m:r>
                    <m:r>
                      <w:rPr>
                        <w:rFonts w:ascii="Cambria Math" w:hAnsi="Cambria Math"/>
                      </w:rPr>
                      <m:t>0</m:t>
                    </m:r>
                  </m:e>
                </m:d>
                <m:r>
                  <m:rPr>
                    <m:sty m:val="p"/>
                  </m:rPr>
                  <w:rPr>
                    <w:rFonts w:ascii="Cambria Math" w:hAnsi="Cambria Math"/>
                  </w:rPr>
                  <m:t>,</m:t>
                </m:r>
              </m:oMath>
            </m:oMathPara>
          </w:p>
        </w:tc>
        <w:tc>
          <w:tcPr>
            <w:tcW w:w="1080" w:type="dxa"/>
            <w:vAlign w:val="center"/>
          </w:tcPr>
          <w:p w14:paraId="598919AD" w14:textId="77777777" w:rsidR="006800A6" w:rsidRDefault="006800A6" w:rsidP="007B5724">
            <w:pPr>
              <w:spacing w:after="0"/>
              <w:jc w:val="right"/>
            </w:pPr>
            <w:r>
              <w:t>(15)</w:t>
            </w:r>
          </w:p>
        </w:tc>
      </w:tr>
    </w:tbl>
    <w:p w14:paraId="656FD876" w14:textId="77777777" w:rsidR="006800A6" w:rsidRDefault="006800A6" w:rsidP="006800A6">
      <w:r>
        <w:t xml:space="preserve">where </w:t>
      </w:r>
      <m:oMath>
        <m:r>
          <w:rPr>
            <w:rFonts w:ascii="Cambria Math" w:hAnsi="Cambria Math"/>
          </w:rPr>
          <m:t>I</m:t>
        </m:r>
      </m:oMath>
      <w:r>
        <w:t xml:space="preserve"> is an indicator function. This </w:t>
      </w:r>
      <m:oMath>
        <m:sSub>
          <m:sSubPr>
            <m:ctrlPr>
              <w:rPr>
                <w:rFonts w:ascii="Cambria Math" w:hAnsi="Cambria Math"/>
                <w:i/>
              </w:rPr>
            </m:ctrlPr>
          </m:sSubPr>
          <m:e>
            <m:r>
              <w:rPr>
                <w:rFonts w:ascii="Cambria Math" w:hAnsi="Cambria Math"/>
              </w:rPr>
              <m:t>CP</m:t>
            </m:r>
          </m:e>
          <m:sub>
            <m:r>
              <w:rPr>
                <w:rFonts w:ascii="Cambria Math" w:hAnsi="Cambria Math"/>
              </w:rPr>
              <m:t>viability</m:t>
            </m:r>
          </m:sub>
        </m:sSub>
      </m:oMath>
      <w:r>
        <w:t xml:space="preserve"> is the number of species capable of positive growth at each temperature in the absence of interactions. </w:t>
      </w:r>
      <w:r w:rsidRPr="00B9479A">
        <w:t>Its coefficient of variation quantifies variation in the viable species pool across the temperatures over which it is evaluated</w:t>
      </w:r>
      <w:r>
        <w:t xml:space="preserve"> (e.g. </w:t>
      </w:r>
      <w:r w:rsidRPr="00B9479A">
        <w:t xml:space="preserve">through time for </w:t>
      </w:r>
      <m:oMath>
        <m:sSub>
          <m:sSubPr>
            <m:ctrlPr>
              <w:rPr>
                <w:rFonts w:ascii="Cambria Math" w:hAnsi="Cambria Math"/>
                <w:i/>
              </w:rPr>
            </m:ctrlPr>
          </m:sSubPr>
          <m:e>
            <m:r>
              <w:rPr>
                <w:rFonts w:ascii="Cambria Math" w:hAnsi="Cambria Math"/>
              </w:rPr>
              <m:t>CP</m:t>
            </m:r>
          </m:e>
          <m:sub>
            <m:r>
              <w:rPr>
                <w:rFonts w:ascii="Cambria Math" w:hAnsi="Cambria Math"/>
              </w:rPr>
              <m:t>actual</m:t>
            </m:r>
          </m:sub>
        </m:sSub>
      </m:oMath>
      <w:r w:rsidRPr="00B9479A">
        <w:t>, or across the specified temperature distribution</w:t>
      </w:r>
      <w:r>
        <w:t xml:space="preserve"> for</w:t>
      </w:r>
      <w:r w:rsidRPr="00B9479A">
        <w:t xml:space="preserve"> </w:t>
      </w:r>
      <m:oMath>
        <m:sSub>
          <m:sSubPr>
            <m:ctrlPr>
              <w:rPr>
                <w:rFonts w:ascii="Cambria Math" w:hAnsi="Cambria Math"/>
                <w:i/>
              </w:rPr>
            </m:ctrlPr>
          </m:sSubPr>
          <m:e>
            <m:r>
              <w:rPr>
                <w:rFonts w:ascii="Cambria Math" w:hAnsi="Cambria Math"/>
              </w:rPr>
              <m:t>CP</m:t>
            </m:r>
          </m:e>
          <m:sub>
            <m:r>
              <w:rPr>
                <w:rFonts w:ascii="Cambria Math" w:hAnsi="Cambria Math"/>
              </w:rPr>
              <m:t>null</m:t>
            </m:r>
          </m:sub>
        </m:sSub>
      </m:oMath>
      <w:r>
        <w:t>)</w:t>
      </w:r>
      <w:r w:rsidRPr="00B9479A">
        <w:t>.</w:t>
      </w:r>
    </w:p>
    <w:p w14:paraId="0ED00940" w14:textId="77777777" w:rsidR="006800A6" w:rsidRPr="00515541" w:rsidRDefault="006800A6" w:rsidP="006800A6">
      <w:pPr>
        <w:rPr>
          <w:b/>
          <w:bCs/>
        </w:rPr>
      </w:pPr>
    </w:p>
    <w:p w14:paraId="5DFFA2AE" w14:textId="77777777" w:rsidR="006800A6" w:rsidRPr="005A24FF" w:rsidRDefault="006800A6" w:rsidP="006800A6">
      <w:pPr>
        <w:pStyle w:val="Heading3"/>
      </w:pPr>
      <w:bookmarkStart w:id="14" w:name="Xd67943423cf51b89b6bd865e74e6ae7984b3c7c"/>
      <w:r w:rsidRPr="005A24FF">
        <w:t>Community stability analyses</w:t>
      </w:r>
      <w:r>
        <w:t xml:space="preserve"> of simulations</w:t>
      </w:r>
    </w:p>
    <w:p w14:paraId="3310E386" w14:textId="77777777" w:rsidR="006800A6" w:rsidRPr="00423078" w:rsidRDefault="006800A6" w:rsidP="006800A6">
      <w:r>
        <w:t>For each simulation, community variability (i.e. the inverse of stability) was the coefficient of variation of total abundance through time (</w:t>
      </w:r>
      <m:oMath>
        <m:r>
          <w:rPr>
            <w:rFonts w:ascii="Cambria Math" w:hAnsi="Cambria Math"/>
          </w:rPr>
          <m:t>CV</m:t>
        </m:r>
        <m:r>
          <m:rPr>
            <m:sty m:val="p"/>
          </m:rPr>
          <w:rPr>
            <w:rFonts w:ascii="Cambria Math" w:hAnsi="Cambria Math"/>
          </w:rPr>
          <m:t>(</m:t>
        </m:r>
        <m:sSub>
          <m:sSubPr>
            <m:ctrlPr>
              <w:rPr>
                <w:rFonts w:ascii="Cambria Math" w:hAnsi="Cambria Math"/>
              </w:rPr>
            </m:ctrlPr>
          </m:sSubPr>
          <m:e>
            <m:r>
              <w:rPr>
                <w:rFonts w:ascii="Cambria Math" w:hAnsi="Cambria Math"/>
              </w:rPr>
              <m:t>N</m:t>
            </m:r>
          </m:e>
          <m:sub>
            <m:r>
              <m:rPr>
                <m:sty m:val="p"/>
              </m:rPr>
              <w:rPr>
                <w:rFonts w:ascii="Cambria Math" w:hAnsi="Cambria Math"/>
              </w:rPr>
              <m:t>tot</m:t>
            </m:r>
          </m:sub>
        </m:sSub>
        <m:r>
          <m:rPr>
            <m:sty m:val="p"/>
          </m:rPr>
          <w:rPr>
            <w:rFonts w:ascii="Cambria Math" w:hAnsi="Cambria Math"/>
          </w:rPr>
          <m:t>)</m:t>
        </m:r>
      </m:oMath>
      <w:r>
        <w:t>). We compared three predictor sets: actual CP variability (</w:t>
      </w:r>
      <m:oMath>
        <m:r>
          <w:rPr>
            <w:rFonts w:ascii="Cambria Math" w:hAnsi="Cambria Math"/>
          </w:rPr>
          <m:t>CV</m:t>
        </m:r>
        <m:d>
          <m:dPr>
            <m:ctrlPr>
              <w:rPr>
                <w:rFonts w:ascii="Cambria Math" w:hAnsi="Cambria Math"/>
              </w:rPr>
            </m:ctrlPr>
          </m:dPr>
          <m:e>
            <m:sSub>
              <m:sSubPr>
                <m:ctrlPr>
                  <w:rPr>
                    <w:rFonts w:ascii="Cambria Math" w:hAnsi="Cambria Math"/>
                    <w:i/>
                  </w:rPr>
                </m:ctrlPr>
              </m:sSubPr>
              <m:e>
                <m:r>
                  <w:rPr>
                    <w:rFonts w:ascii="Cambria Math" w:hAnsi="Cambria Math"/>
                  </w:rPr>
                  <m:t>CP</m:t>
                </m:r>
              </m:e>
              <m:sub>
                <m:r>
                  <w:rPr>
                    <w:rFonts w:ascii="Cambria Math" w:hAnsi="Cambria Math"/>
                  </w:rPr>
                  <m:t>actual</m:t>
                </m:r>
              </m:sub>
            </m:sSub>
          </m:e>
        </m:d>
      </m:oMath>
      <w:r>
        <w:t>), null CP variability (</w:t>
      </w:r>
      <m:oMath>
        <m:r>
          <w:rPr>
            <w:rFonts w:ascii="Cambria Math" w:hAnsi="Cambria Math"/>
          </w:rPr>
          <m:t>CV</m:t>
        </m:r>
        <m:d>
          <m:dPr>
            <m:ctrlPr>
              <w:rPr>
                <w:rFonts w:ascii="Cambria Math" w:hAnsi="Cambria Math"/>
              </w:rPr>
            </m:ctrlPr>
          </m:dPr>
          <m:e>
            <m:sSub>
              <m:sSubPr>
                <m:ctrlPr>
                  <w:rPr>
                    <w:rFonts w:ascii="Cambria Math" w:hAnsi="Cambria Math"/>
                    <w:i/>
                  </w:rPr>
                </m:ctrlPr>
              </m:sSubPr>
              <m:e>
                <m:r>
                  <w:rPr>
                    <w:rFonts w:ascii="Cambria Math" w:hAnsi="Cambria Math"/>
                  </w:rPr>
                  <m:t>CP</m:t>
                </m:r>
              </m:e>
              <m:sub>
                <m:r>
                  <w:rPr>
                    <w:rFonts w:ascii="Cambria Math" w:hAnsi="Cambria Math"/>
                  </w:rPr>
                  <m:t>null</m:t>
                </m:r>
              </m:sub>
            </m:sSub>
          </m:e>
        </m:d>
      </m:oMath>
      <w:r>
        <w:t>), and trait summaries. The trait model included mean thermal mismatch (i.e. the difference between the mean thermal optimum and mean temperature) (</w:t>
      </w:r>
      <m:oMath>
        <m:d>
          <m:dPr>
            <m:begChr m:val="|"/>
            <m:endChr m:val="|"/>
            <m:ctrlPr>
              <w:rPr>
                <w:rFonts w:ascii="Cambria Math" w:hAnsi="Cambria Math"/>
              </w:rPr>
            </m:ctrlPr>
          </m:dPr>
          <m:e>
            <m:sSub>
              <m:sSubPr>
                <m:ctrlPr>
                  <w:rPr>
                    <w:rFonts w:ascii="Cambria Math" w:hAnsi="Cambria Math"/>
                  </w:rPr>
                </m:ctrlPr>
              </m:sSubPr>
              <m:e>
                <m:bar>
                  <m:barPr>
                    <m:pos m:val="top"/>
                    <m:ctrlPr>
                      <w:rPr>
                        <w:rFonts w:ascii="Cambria Math" w:hAnsi="Cambria Math"/>
                      </w:rPr>
                    </m:ctrlPr>
                  </m:barPr>
                  <m:e>
                    <m:r>
                      <w:rPr>
                        <w:rFonts w:ascii="Cambria Math" w:hAnsi="Cambria Math"/>
                      </w:rPr>
                      <m:t>T</m:t>
                    </m:r>
                  </m:e>
                </m:bar>
              </m:e>
              <m:sub>
                <m:r>
                  <m:rPr>
                    <m:sty m:val="p"/>
                  </m:rPr>
                  <w:rPr>
                    <w:rFonts w:ascii="Cambria Math" w:hAnsi="Cambria Math"/>
                  </w:rPr>
                  <m:t>opt</m:t>
                </m:r>
              </m:sub>
            </m:sSub>
            <m:r>
              <m:rPr>
                <m:sty m:val="p"/>
              </m:rPr>
              <w:rPr>
                <w:rFonts w:ascii="Cambria Math" w:hAnsi="Cambria Math"/>
              </w:rPr>
              <m:t>-</m:t>
            </m:r>
            <m:bar>
              <m:barPr>
                <m:pos m:val="top"/>
                <m:ctrlPr>
                  <w:rPr>
                    <w:rFonts w:ascii="Cambria Math" w:hAnsi="Cambria Math"/>
                  </w:rPr>
                </m:ctrlPr>
              </m:barPr>
              <m:e>
                <m:r>
                  <w:rPr>
                    <w:rFonts w:ascii="Cambria Math" w:hAnsi="Cambria Math"/>
                  </w:rPr>
                  <m:t>T</m:t>
                </m:r>
              </m:e>
            </m:bar>
          </m:e>
        </m:d>
      </m:oMath>
      <w:r>
        <w:t>), the spread of thermal optima (</w:t>
      </w:r>
      <m:oMath>
        <m:r>
          <w:rPr>
            <w:rFonts w:ascii="Cambria Math" w:hAnsi="Cambria Math"/>
          </w:rPr>
          <m:t>sd</m:t>
        </m:r>
        <m:r>
          <m:rPr>
            <m:sty m:val="p"/>
          </m:rPr>
          <w:rPr>
            <w:rFonts w:ascii="Cambria Math" w:hAnsi="Cambria Math"/>
          </w:rPr>
          <m:t>(</m:t>
        </m:r>
        <m:sSub>
          <m:sSubPr>
            <m:ctrlPr>
              <w:rPr>
                <w:rFonts w:ascii="Cambria Math" w:hAnsi="Cambria Math"/>
              </w:rPr>
            </m:ctrlPr>
          </m:sSubPr>
          <m:e>
            <m:r>
              <w:rPr>
                <w:rFonts w:ascii="Cambria Math" w:hAnsi="Cambria Math"/>
              </w:rPr>
              <m:t>T</m:t>
            </m:r>
          </m:e>
          <m:sub>
            <m:r>
              <m:rPr>
                <m:sty m:val="p"/>
              </m:rPr>
              <w:rPr>
                <w:rFonts w:ascii="Cambria Math" w:hAnsi="Cambria Math"/>
              </w:rPr>
              <m:t>opt</m:t>
            </m:r>
          </m:sub>
        </m:sSub>
        <m:r>
          <m:rPr>
            <m:sty m:val="p"/>
          </m:rPr>
          <w:rPr>
            <w:rFonts w:ascii="Cambria Math" w:hAnsi="Cambria Math"/>
          </w:rPr>
          <m:t>)</m:t>
        </m:r>
      </m:oMath>
      <w:r>
        <w:t>), and their interaction:</w:t>
      </w:r>
    </w:p>
    <w:tbl>
      <w:tblPr>
        <w:tblW w:w="9360" w:type="dxa"/>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1080"/>
        <w:gridCol w:w="7200"/>
        <w:gridCol w:w="1080"/>
      </w:tblGrid>
      <w:tr w:rsidR="006800A6" w14:paraId="07FCBB88" w14:textId="77777777" w:rsidTr="007B5724">
        <w:tc>
          <w:tcPr>
            <w:tcW w:w="1080" w:type="dxa"/>
            <w:vAlign w:val="center"/>
          </w:tcPr>
          <w:p w14:paraId="29F55E41" w14:textId="77777777" w:rsidR="006800A6" w:rsidRDefault="006800A6" w:rsidP="007B5724">
            <w:pPr>
              <w:spacing w:after="0"/>
            </w:pPr>
          </w:p>
        </w:tc>
        <w:tc>
          <w:tcPr>
            <w:tcW w:w="7200" w:type="dxa"/>
            <w:vAlign w:val="center"/>
          </w:tcPr>
          <w:p w14:paraId="452D9D88" w14:textId="77777777" w:rsidR="006800A6" w:rsidRPr="00423078" w:rsidRDefault="006800A6" w:rsidP="007B5724">
            <w:pPr>
              <w:spacing w:after="0"/>
              <w:jc w:val="center"/>
            </w:pPr>
            <m:oMathPara>
              <m:oMathParaPr>
                <m:jc m:val="center"/>
              </m:oMathParaPr>
              <m:oMath>
                <m:r>
                  <w:rPr>
                    <w:rFonts w:ascii="Cambria Math" w:hAnsi="Cambria Math"/>
                  </w:rPr>
                  <m:t>CV</m:t>
                </m:r>
                <m:r>
                  <m:rPr>
                    <m:sty m:val="p"/>
                  </m:rPr>
                  <w:rPr>
                    <w:rFonts w:ascii="Cambria Math" w:hAnsi="Cambria Math"/>
                  </w:rPr>
                  <m:t>(</m:t>
                </m:r>
                <m:sSub>
                  <m:sSubPr>
                    <m:ctrlPr>
                      <w:rPr>
                        <w:rFonts w:ascii="Cambria Math" w:hAnsi="Cambria Math"/>
                      </w:rPr>
                    </m:ctrlPr>
                  </m:sSubPr>
                  <m:e>
                    <m:r>
                      <w:rPr>
                        <w:rFonts w:ascii="Cambria Math" w:hAnsi="Cambria Math"/>
                      </w:rPr>
                      <m:t>N</m:t>
                    </m:r>
                  </m:e>
                  <m:sub>
                    <m:r>
                      <m:rPr>
                        <m:sty m:val="p"/>
                      </m:rPr>
                      <w:rPr>
                        <w:rFonts w:ascii="Cambria Math" w:hAnsi="Cambria Math"/>
                      </w:rPr>
                      <m:t>tot</m:t>
                    </m: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bar>
                          <m:barPr>
                            <m:pos m:val="top"/>
                            <m:ctrlPr>
                              <w:rPr>
                                <w:rFonts w:ascii="Cambria Math" w:hAnsi="Cambria Math"/>
                              </w:rPr>
                            </m:ctrlPr>
                          </m:barPr>
                          <m:e>
                            <m:r>
                              <w:rPr>
                                <w:rFonts w:ascii="Cambria Math" w:hAnsi="Cambria Math"/>
                              </w:rPr>
                              <m:t>T</m:t>
                            </m:r>
                          </m:e>
                        </m:bar>
                      </m:e>
                      <m:sub>
                        <m:r>
                          <m:rPr>
                            <m:sty m:val="p"/>
                          </m:rPr>
                          <w:rPr>
                            <w:rFonts w:ascii="Cambria Math" w:hAnsi="Cambria Math"/>
                          </w:rPr>
                          <m:t>opt</m:t>
                        </m:r>
                      </m:sub>
                    </m:sSub>
                    <m:r>
                      <m:rPr>
                        <m:sty m:val="p"/>
                      </m:rPr>
                      <w:rPr>
                        <w:rFonts w:ascii="Cambria Math" w:hAnsi="Cambria Math"/>
                      </w:rPr>
                      <m:t>-</m:t>
                    </m:r>
                    <m:bar>
                      <m:barPr>
                        <m:pos m:val="top"/>
                        <m:ctrlPr>
                          <w:rPr>
                            <w:rFonts w:ascii="Cambria Math" w:hAnsi="Cambria Math"/>
                          </w:rPr>
                        </m:ctrlPr>
                      </m:barPr>
                      <m:e>
                        <m:r>
                          <w:rPr>
                            <w:rFonts w:ascii="Cambria Math" w:hAnsi="Cambria Math"/>
                          </w:rPr>
                          <m:t>T</m:t>
                        </m:r>
                      </m:e>
                    </m:bar>
                  </m:e>
                </m:d>
                <m:r>
                  <m:rPr>
                    <m:sty m:val="p"/>
                  </m:rPr>
                  <w:rPr>
                    <w:rFonts w:ascii="Cambria Math" w:hAnsi="Cambria Math"/>
                  </w:rPr>
                  <m:t>×</m:t>
                </m:r>
                <m:r>
                  <w:rPr>
                    <w:rFonts w:ascii="Cambria Math" w:hAnsi="Cambria Math"/>
                  </w:rPr>
                  <m:t>sd</m:t>
                </m:r>
                <m:r>
                  <m:rPr>
                    <m:sty m:val="p"/>
                  </m:rPr>
                  <w:rPr>
                    <w:rFonts w:ascii="Cambria Math" w:hAnsi="Cambria Math"/>
                  </w:rPr>
                  <m:t>(</m:t>
                </m:r>
                <m:sSub>
                  <m:sSubPr>
                    <m:ctrlPr>
                      <w:rPr>
                        <w:rFonts w:ascii="Cambria Math" w:hAnsi="Cambria Math"/>
                      </w:rPr>
                    </m:ctrlPr>
                  </m:sSubPr>
                  <m:e>
                    <m:r>
                      <w:rPr>
                        <w:rFonts w:ascii="Cambria Math" w:hAnsi="Cambria Math"/>
                      </w:rPr>
                      <m:t>T</m:t>
                    </m:r>
                  </m:e>
                  <m:sub>
                    <m:r>
                      <m:rPr>
                        <m:sty m:val="p"/>
                      </m:rPr>
                      <w:rPr>
                        <w:rFonts w:ascii="Cambria Math" w:hAnsi="Cambria Math"/>
                      </w:rPr>
                      <m:t>opt</m:t>
                    </m:r>
                  </m:sub>
                </m:sSub>
                <m:r>
                  <m:rPr>
                    <m:sty m:val="p"/>
                  </m:rPr>
                  <w:rPr>
                    <w:rFonts w:ascii="Cambria Math" w:hAnsi="Cambria Math"/>
                  </w:rPr>
                  <m:t>).</m:t>
                </m:r>
              </m:oMath>
            </m:oMathPara>
          </w:p>
        </w:tc>
        <w:tc>
          <w:tcPr>
            <w:tcW w:w="1080" w:type="dxa"/>
            <w:vAlign w:val="center"/>
          </w:tcPr>
          <w:p w14:paraId="020153E9" w14:textId="77777777" w:rsidR="006800A6" w:rsidRDefault="006800A6" w:rsidP="007B5724">
            <w:pPr>
              <w:spacing w:after="0"/>
              <w:jc w:val="right"/>
            </w:pPr>
            <w:r>
              <w:t>(16)</w:t>
            </w:r>
          </w:p>
        </w:tc>
      </w:tr>
    </w:tbl>
    <w:p w14:paraId="05B3187E" w14:textId="77777777" w:rsidR="006800A6" w:rsidRPr="00423078" w:rsidRDefault="006800A6" w:rsidP="006800A6">
      <w:r>
        <w:t>Linear models were fitted separately within each simulation run, interaction-strength or resource-sharing treatment, and temperature-series replicate. Grouped R² therefore measured how well each predictor explained instability across the remaining trait and richness combinations within a common interaction and environmental context.</w:t>
      </w:r>
    </w:p>
    <w:p w14:paraId="42BF5A34" w14:textId="77777777" w:rsidR="006800A6" w:rsidRDefault="006800A6" w:rsidP="006800A6">
      <w:r>
        <w:t xml:space="preserve">We also fitted random forests separately to each of the two Lotka–Volterra and two consumer–resource runs, with actual and null CP variability, trait summaries, richness, and interaction strength or resource sharing as predictors, using the ranger R package </w:t>
      </w:r>
      <w:r>
        <w:fldChar w:fldCharType="begin"/>
      </w:r>
      <w:r>
        <w:instrText xml:space="preserve"> ADDIN ZOTERO_ITEM CSL_CITATION {"citationID":"47RNa50V","properties":{"unsorted":false,"formattedCitation":"(Wright &amp; Ziegler 2017)","plainCitation":"(Wright &amp; Ziegler 2017)","noteIndex":0},"citationItems":[{"id":3550,"uris":["http://zotero.org/users/10426170/items/YS9D7VLC"],"itemData":{"id":3550,"type":"article-journal","abstract":"We introduce the C++ application and R package ranger. The software is a fast implementation of random forests for high dimensional data. Ensembles of classification, regression and survival trees are supported. We describe the implementation, provide examples, validate the package with a reference implementation, and compare runtime and memory usage with other implementations. The new software proves to scale best with the number of features, samples, trees, and features tried for splitting. Finally, we show that ranger is the fastest and most memory efficient implementation of random forests to analyze data on the scale of a genome-wide association study.","container-title":"Journal of Statistical Software","DOI":"10.18637/jss.v077.i01","ISSN":"1548-7660","issue":"1","journalAbbreviation":"J. Stat. Soft.","note":"arXiv:1508.04409 [stat]","source":"arXiv.org","title":"ranger: A Fast Implementation of Random Forests for High Dimensional Data in C++ and R","title-short":"ranger","URL":"http://arxiv.org/abs/1508.04409","volume":"77","author":[{"family":"Wright","given":"Marvin N."},{"family":"Ziegler","given":"Andreas"}],"accessed":{"date-parts":[["2026",2,16]]},"issued":{"date-parts":[["2017"]]}}}],"schema":"https://github.com/citation-style-language/schema/raw/master/csl-citation.json"} </w:instrText>
      </w:r>
      <w:r>
        <w:fldChar w:fldCharType="separate"/>
      </w:r>
      <w:r>
        <w:rPr>
          <w:noProof/>
        </w:rPr>
        <w:t>(Wright &amp; Ziegler 2017)</w:t>
      </w:r>
      <w:r>
        <w:fldChar w:fldCharType="end"/>
      </w:r>
      <w:r w:rsidRPr="00423078">
        <w:t xml:space="preserve">. </w:t>
      </w:r>
      <w:r>
        <w:t>Diagnostics included random-subset robustness (size = 1000 communities), scaled permutation importance, and out-of-bag prediction accuracy.</w:t>
      </w:r>
    </w:p>
    <w:p w14:paraId="41F44F91" w14:textId="77777777" w:rsidR="006800A6" w:rsidRDefault="006800A6" w:rsidP="006800A6">
      <w:pPr>
        <w:spacing w:before="100" w:beforeAutospacing="1" w:after="100" w:afterAutospacing="1"/>
        <w:rPr>
          <w:lang w:val="en-GB"/>
        </w:rPr>
      </w:pPr>
      <w:r>
        <w:t xml:space="preserve">We compared synchrony predicted from species thermal performance curves with synchrony in abundance. For a community of S species, we used </w:t>
      </w:r>
      <w:r w:rsidRPr="009921B6">
        <w:t>the Loreau-de Mazancourt synchrony metric</w:t>
      </w:r>
      <w:r>
        <w:t xml:space="preserve"> </w:t>
      </w:r>
      <w:r>
        <w:rPr>
          <w:lang w:val="en-GB"/>
        </w:rPr>
        <w:fldChar w:fldCharType="begin"/>
      </w:r>
      <w:r>
        <w:rPr>
          <w:lang w:val="en-GB"/>
        </w:rPr>
        <w:instrText xml:space="preserve"> ADDIN ZOTERO_ITEM CSL_CITATION {"citationID":"uD9mwGVi","properties":{"unsorted":false,"formattedCitation":"(Loreau &amp; de Mazancourt 2008)","plainCitation":"(Loreau &amp; de Mazancourt 2008)","noteIndex":0},"citationItems":[{"id":3485,"uris":["http://zotero.org/users/10426170/items/WCVW3YUX"],"itemData":{"id":3485,"type":"article-journal","abstract":"Independent species fluctuations are commonly used as a null hypothesis to test the role of competition and niche differences between species in community stability. This hypothesis, however, is unrealistic because it ignores the forces that contribute to synchronization of population dynamics. Here we present a mechanistic neutral model that describes the dynamics of a community of equivalent species under the joint influence of density dependence, environmental forcing, and demographic stochasticity. We also introduce a new standardized measure of species synchrony in multispecies communities. We show that the per capita population growth rates of equivalent species are strongly synchronized, especially when endogenous population dynamics are cyclic or chaotic, while their long‐term fluctuations in population sizes are desynchronized by ecological drift. We then generalize our model to nonneutral dynamics by incorporating temporal and nontemporal forms of niche differentiation. Niche differentiation consistently decreases the synchrony of species per capita population growth rates, while its effects on the synchrony of population sizes are more complex. Comparing the observed synchrony of species per capita population growth rates with that predicted by the neutral model potentially provides a simple test of deterministic asynchrony in a community.","container-title":"The American Naturalist","DOI":"10.1086/589746","ISSN":"0003-0147","issue":"2","page":"E48-E66","publisher":"The University of Chicago Press","source":"journals.uchicago.edu (Atypon)","title":"Species Synchrony and Its Drivers: Neutral and Nonneutral Community Dynamics in Fluctuating Environments.","title-short":"Species Synchrony and Its Drivers","volume":"172","author":[{"family":"Loreau","given":"Michel"},{"family":"Mazancourt","given":"Claire","non-dropping-particle":"de"}],"issued":{"date-parts":[["2008",8]]}}}],"schema":"https://github.com/citation-style-language/schema/raw/master/csl-citation.json"} </w:instrText>
      </w:r>
      <w:r>
        <w:rPr>
          <w:lang w:val="en-GB"/>
        </w:rPr>
        <w:fldChar w:fldCharType="separate"/>
      </w:r>
      <w:r>
        <w:rPr>
          <w:noProof/>
          <w:lang w:val="en-GB"/>
        </w:rPr>
        <w:t>(Loreau &amp; de Mazancourt 2008)</w:t>
      </w:r>
      <w:r>
        <w:rPr>
          <w:lang w:val="en-GB"/>
        </w:rPr>
        <w:fldChar w:fldCharType="end"/>
      </w:r>
      <w:r>
        <w:rPr>
          <w:lang w:val="en-GB"/>
        </w:rPr>
        <w:t>:</w:t>
      </w:r>
    </w:p>
    <w:tbl>
      <w:tblPr>
        <w:tblW w:w="9360" w:type="dxa"/>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1080"/>
        <w:gridCol w:w="7200"/>
        <w:gridCol w:w="1080"/>
      </w:tblGrid>
      <w:tr w:rsidR="006800A6" w14:paraId="7B2971BA" w14:textId="77777777" w:rsidTr="007B5724">
        <w:tc>
          <w:tcPr>
            <w:tcW w:w="1080" w:type="dxa"/>
            <w:vAlign w:val="center"/>
          </w:tcPr>
          <w:p w14:paraId="549D35FB" w14:textId="77777777" w:rsidR="006800A6" w:rsidRDefault="006800A6" w:rsidP="007B5724">
            <w:pPr>
              <w:spacing w:after="0"/>
            </w:pPr>
          </w:p>
        </w:tc>
        <w:tc>
          <w:tcPr>
            <w:tcW w:w="7200" w:type="dxa"/>
            <w:vAlign w:val="center"/>
          </w:tcPr>
          <w:p w14:paraId="2E2CC2E3" w14:textId="77777777" w:rsidR="006800A6" w:rsidRPr="00E10D68" w:rsidRDefault="006800A6" w:rsidP="007B5724">
            <w:pPr>
              <w:spacing w:beforeAutospacing="1" w:after="0" w:afterAutospacing="1"/>
              <w:jc w:val="center"/>
              <w:rPr>
                <w:lang w:val="en-GB"/>
              </w:rPr>
            </w:pPr>
            <m:oMathPara>
              <m:oMath>
                <m:r>
                  <w:rPr>
                    <w:rFonts w:ascii="Cambria Math" w:hAnsi="Cambria Math"/>
                    <w:lang w:val="en-GB"/>
                  </w:rPr>
                  <m:t>ϕ=</m:t>
                </m:r>
                <m:f>
                  <m:fPr>
                    <m:ctrlPr>
                      <w:rPr>
                        <w:rFonts w:ascii="Cambria Math" w:hAnsi="Cambria Math"/>
                        <w:i/>
                        <w:lang w:val="en-GB"/>
                      </w:rPr>
                    </m:ctrlPr>
                  </m:fPr>
                  <m:num>
                    <m:sSubSup>
                      <m:sSubSupPr>
                        <m:ctrlPr>
                          <w:rPr>
                            <w:rFonts w:ascii="Cambria Math" w:hAnsi="Cambria Math"/>
                            <w:i/>
                            <w:lang w:val="en-GB"/>
                          </w:rPr>
                        </m:ctrlPr>
                      </m:sSubSupPr>
                      <m:e>
                        <m:r>
                          <w:rPr>
                            <w:rFonts w:ascii="Cambria Math" w:hAnsi="Cambria Math"/>
                            <w:lang w:val="en-GB"/>
                          </w:rPr>
                          <m:t>σ</m:t>
                        </m:r>
                      </m:e>
                      <m:sub>
                        <m:r>
                          <w:rPr>
                            <w:rFonts w:ascii="Cambria Math" w:hAnsi="Cambria Math"/>
                            <w:lang w:val="en-GB"/>
                          </w:rPr>
                          <m:t>tot</m:t>
                        </m:r>
                      </m:sub>
                      <m:sup>
                        <m:r>
                          <w:rPr>
                            <w:rFonts w:ascii="Cambria Math" w:hAnsi="Cambria Math"/>
                            <w:lang w:val="en-GB"/>
                          </w:rPr>
                          <m:t>2</m:t>
                        </m:r>
                      </m:sup>
                    </m:sSubSup>
                  </m:num>
                  <m:den>
                    <m:sSup>
                      <m:sSupPr>
                        <m:ctrlPr>
                          <w:rPr>
                            <w:rFonts w:ascii="Cambria Math" w:hAnsi="Cambria Math"/>
                            <w:i/>
                            <w:lang w:val="en-GB"/>
                          </w:rPr>
                        </m:ctrlPr>
                      </m:sSupPr>
                      <m:e>
                        <m:d>
                          <m:dPr>
                            <m:ctrlPr>
                              <w:rPr>
                                <w:rFonts w:ascii="Cambria Math" w:hAnsi="Cambria Math"/>
                                <w:i/>
                                <w:lang w:val="en-GB"/>
                              </w:rPr>
                            </m:ctrlPr>
                          </m:dPr>
                          <m:e>
                            <m:nary>
                              <m:naryPr>
                                <m:chr m:val="∑"/>
                                <m:limLoc m:val="undOvr"/>
                                <m:supHide m:val="1"/>
                                <m:ctrlPr>
                                  <w:rPr>
                                    <w:rFonts w:ascii="Cambria Math" w:hAnsi="Cambria Math"/>
                                    <w:i/>
                                    <w:lang w:val="en-GB"/>
                                  </w:rPr>
                                </m:ctrlPr>
                              </m:naryPr>
                              <m:sub>
                                <m:r>
                                  <w:rPr>
                                    <w:rFonts w:ascii="Cambria Math" w:hAnsi="Cambria Math"/>
                                    <w:lang w:val="en-GB"/>
                                  </w:rPr>
                                  <m:t>i</m:t>
                                </m:r>
                              </m:sub>
                              <m:sup/>
                              <m:e>
                                <m:sSub>
                                  <m:sSubPr>
                                    <m:ctrlPr>
                                      <w:rPr>
                                        <w:rFonts w:ascii="Cambria Math" w:hAnsi="Cambria Math"/>
                                        <w:i/>
                                        <w:lang w:val="en-GB"/>
                                      </w:rPr>
                                    </m:ctrlPr>
                                  </m:sSubPr>
                                  <m:e>
                                    <m:r>
                                      <w:rPr>
                                        <w:rFonts w:ascii="Cambria Math" w:hAnsi="Cambria Math"/>
                                        <w:lang w:val="en-GB"/>
                                      </w:rPr>
                                      <m:t>σ</m:t>
                                    </m:r>
                                  </m:e>
                                  <m:sub>
                                    <m:r>
                                      <w:rPr>
                                        <w:rFonts w:ascii="Cambria Math" w:hAnsi="Cambria Math"/>
                                        <w:lang w:val="en-GB"/>
                                      </w:rPr>
                                      <m:t>i</m:t>
                                    </m:r>
                                  </m:sub>
                                </m:sSub>
                              </m:e>
                            </m:nary>
                          </m:e>
                        </m:d>
                      </m:e>
                      <m:sup>
                        <m:r>
                          <w:rPr>
                            <w:rFonts w:ascii="Cambria Math" w:hAnsi="Cambria Math"/>
                            <w:lang w:val="en-GB"/>
                          </w:rPr>
                          <m:t>2</m:t>
                        </m:r>
                      </m:sup>
                    </m:sSup>
                  </m:den>
                </m:f>
              </m:oMath>
            </m:oMathPara>
          </w:p>
        </w:tc>
        <w:tc>
          <w:tcPr>
            <w:tcW w:w="1080" w:type="dxa"/>
            <w:vAlign w:val="center"/>
          </w:tcPr>
          <w:p w14:paraId="063D5D1A" w14:textId="77777777" w:rsidR="006800A6" w:rsidRDefault="006800A6" w:rsidP="007B5724">
            <w:pPr>
              <w:spacing w:after="0"/>
              <w:jc w:val="right"/>
            </w:pPr>
            <w:r>
              <w:t>(17)</w:t>
            </w:r>
          </w:p>
        </w:tc>
      </w:tr>
    </w:tbl>
    <w:p w14:paraId="7FFCF11D" w14:textId="77777777" w:rsidR="006800A6" w:rsidRDefault="006800A6" w:rsidP="006800A6">
      <w:r>
        <w:t>where σ²ₜₒₜ is the temporal variance of total community abundance and σᵢ is the temporal standard deviation of species i; the sum is taken across all S species. Values range from 0 (perfect asynchrony) to 1 (perfect synchrony). We applied the metric both to simulated species abundance and to species performance.</w:t>
      </w:r>
    </w:p>
    <w:p w14:paraId="25BAF22D" w14:textId="77777777" w:rsidR="006800A6" w:rsidRPr="005A24FF" w:rsidRDefault="006800A6" w:rsidP="006800A6">
      <w:pPr>
        <w:pStyle w:val="Heading3"/>
      </w:pPr>
      <w:bookmarkStart w:id="15" w:name="empirical-ciliate-microcosm-experiment"/>
      <w:bookmarkEnd w:id="14"/>
      <w:r w:rsidRPr="005A24FF">
        <w:t>Empirical ciliate microcosm experiment</w:t>
      </w:r>
    </w:p>
    <w:p w14:paraId="0FE97FF1" w14:textId="77777777" w:rsidR="006800A6" w:rsidRPr="005A24FF" w:rsidRDefault="006800A6" w:rsidP="006800A6">
      <w:r>
        <w:t xml:space="preserve">We designed a ciliate microcosm experiment to test whether CP variability predicts the temporal stability of total community biomass under fluctuating temperature. We used five aquatic ciliates: </w:t>
      </w:r>
      <w:r>
        <w:rPr>
          <w:i/>
        </w:rPr>
        <w:t>Colpidium striatum</w:t>
      </w:r>
      <w:r>
        <w:t xml:space="preserve">, </w:t>
      </w:r>
      <w:r>
        <w:rPr>
          <w:i/>
        </w:rPr>
        <w:t>Dexiostoma campylum</w:t>
      </w:r>
      <w:r>
        <w:t xml:space="preserve">, </w:t>
      </w:r>
      <w:r>
        <w:rPr>
          <w:i/>
        </w:rPr>
        <w:t>Paramecium caudatum</w:t>
      </w:r>
      <w:r>
        <w:t xml:space="preserve">, </w:t>
      </w:r>
      <w:r>
        <w:rPr>
          <w:i/>
        </w:rPr>
        <w:t>Tetrahymena thermophila</w:t>
      </w:r>
      <w:r>
        <w:t xml:space="preserve">, and </w:t>
      </w:r>
      <w:r>
        <w:rPr>
          <w:i/>
        </w:rPr>
        <w:t>Loxocephalus</w:t>
      </w:r>
      <w:r>
        <w:t xml:space="preserve"> sp. Stock cultures were maintained at 15 °C in bacterised alfalfa medium (0.55 g L⁻¹) supplemented with 0.5 mL L⁻¹ 10× Chalkley’s medium and 1.5 g L⁻¹ sodium chloride. Resource bacteria (</w:t>
      </w:r>
      <w:r>
        <w:rPr>
          <w:i/>
        </w:rPr>
        <w:t>Bacillus subtilis</w:t>
      </w:r>
      <w:r>
        <w:t xml:space="preserve">, </w:t>
      </w:r>
      <w:r>
        <w:rPr>
          <w:i/>
        </w:rPr>
        <w:t>Serratia fonticola</w:t>
      </w:r>
      <w:r>
        <w:t xml:space="preserve">, and </w:t>
      </w:r>
      <w:r>
        <w:rPr>
          <w:i/>
        </w:rPr>
        <w:t>Brevibacillus brevis</w:t>
      </w:r>
      <w:r>
        <w:t>) were cultured separately in DMSZ-1 medium at 37 °C for 24 h and combined after three days in filtered alfalfa medium.</w:t>
      </w:r>
    </w:p>
    <w:p w14:paraId="0BDE00FE" w14:textId="77777777" w:rsidR="006800A6" w:rsidRDefault="006800A6" w:rsidP="006800A6">
      <w:r>
        <w:t>First, we measured each species’ temperature response in an independent monoculture experiment. Species were grown at seven constant temperatures (15, 18, 21, 24, 27, 30, and 33 °C) for</w:t>
      </w:r>
      <w:r w:rsidRPr="009921B6">
        <w:t xml:space="preserve"> 15 days</w:t>
      </w:r>
      <w:r>
        <w:t>, during which the species were sampled</w:t>
      </w:r>
      <w:r w:rsidRPr="009921B6">
        <w:t xml:space="preserve"> 10</w:t>
      </w:r>
      <w:r>
        <w:t xml:space="preserve"> times</w:t>
      </w:r>
      <w:r w:rsidRPr="009921B6">
        <w:t xml:space="preserve">. </w:t>
      </w:r>
      <w:r>
        <w:t xml:space="preserve">Growth rate was estimated as the slope of log10 </w:t>
      </w:r>
      <w:r w:rsidRPr="009921B6">
        <w:t>population density during the early growth window for each species-by-temperature combination</w:t>
      </w:r>
      <w:r>
        <w:t>.</w:t>
      </w:r>
      <w:r w:rsidRPr="009921B6">
        <w:t xml:space="preserve"> </w:t>
      </w:r>
      <w:r>
        <w:t>T</w:t>
      </w:r>
      <w:r w:rsidRPr="009921B6">
        <w:t>his window was chosen separately by species and temperature to capture initial growth before later density-dependent or declining phases</w:t>
      </w:r>
      <w:r>
        <w:t xml:space="preserve">. </w:t>
      </w:r>
      <w:r w:rsidRPr="009921B6">
        <w:t xml:space="preserve">Species-specific thermal performance curves were then fitted to the temperature-specific growth-rate estimates with generalised additive models </w:t>
      </w:r>
      <w:r>
        <w:t xml:space="preserve">in the mgcv R package </w:t>
      </w:r>
      <w:r>
        <w:fldChar w:fldCharType="begin"/>
      </w:r>
      <w:r>
        <w:instrText xml:space="preserve"> ADDIN ZOTERO_ITEM CSL_CITATION {"citationID":"4wBbcydY","properties":{"unsorted":false,"formattedCitation":"(Wood 2022)","plainCitation":"(Wood 2022)","noteIndex":0},"citationItems":[{"id":937,"uris":["http://zotero.org/users/10426170/items/QBE67N2H"],"itemData":{"id":937,"type":"report","abstract":"The first edition of this book has established itself as one of the leading references on generalized additive models (GAMs), and the only book on the topic to be introductory in nature with a wealth of practical examples and software implementation. It is self-contained, providing the necessary background in linear models, linear mixed models, and generalized linear models (GLMs), before presenting a balanced treatment of the theory and applications of GAMs and related models. The author bases his approach on a framework of penalized regression splines, and while firmly focused on the practical aspects of GAMs, discussions include fairly full explanations of the theory underlying the methods. Use of R software helps explain the theory and illustrates the practical application of the methodology. Each chapter contains an extensive set of exercises, with solutions in an appendix or in the book’s R data package gamair, to enable use as a course text or for self-study.","note":"container-title: Generalized Additive Models: An Introduction with R, Second Edition","title":"mgcv: Mixed GAM Computation Vehicle with Automatic Smoothness Estimation. R package version","author":[{"family":"Wood","given":"Simon N."}],"issued":{"date-parts":[["2022"]]}}}],"schema":"https://github.com/citation-style-language/schema/raw/master/csl-citation.json"} </w:instrText>
      </w:r>
      <w:r>
        <w:fldChar w:fldCharType="separate"/>
      </w:r>
      <w:r>
        <w:rPr>
          <w:noProof/>
        </w:rPr>
        <w:t>(Wood 2022)</w:t>
      </w:r>
      <w:r>
        <w:fldChar w:fldCharType="end"/>
      </w:r>
      <w:r>
        <w:t xml:space="preserve"> </w:t>
      </w:r>
      <w:bookmarkStart w:id="16" w:name="_Hlk235798556"/>
      <w:r>
        <w:t>(Supplementary Information 3, Figure S1)</w:t>
      </w:r>
      <w:bookmarkEnd w:id="16"/>
      <w:r w:rsidRPr="005A24FF">
        <w:t xml:space="preserve">. </w:t>
      </w:r>
    </w:p>
    <w:p w14:paraId="5ED8CBD7" w14:textId="77777777" w:rsidR="006800A6" w:rsidRPr="005A24FF" w:rsidRDefault="006800A6" w:rsidP="006800A6">
      <w:r>
        <w:t xml:space="preserve">The community experiment involved 3 richness levels (2, 3, and 4 species), three levels of CP variability, four temperature treatment, and three replicate for each treatment combination. </w:t>
      </w:r>
      <w:r w:rsidRPr="00AF6784">
        <w:t>Temperature treatments consisted of four fluctuating time series.</w:t>
      </w:r>
      <w:r>
        <w:t xml:space="preserve"> We calculated </w:t>
      </w:r>
      <m:oMath>
        <m:sSub>
          <m:sSubPr>
            <m:ctrlPr>
              <w:rPr>
                <w:rFonts w:ascii="Cambria Math" w:hAnsi="Cambria Math"/>
                <w:i/>
              </w:rPr>
            </m:ctrlPr>
          </m:sSubPr>
          <m:e>
            <m:r>
              <w:rPr>
                <w:rFonts w:ascii="Cambria Math" w:hAnsi="Cambria Math"/>
              </w:rPr>
              <m:t>CP</m:t>
            </m:r>
          </m:e>
          <m:sub>
            <m:r>
              <w:rPr>
                <w:rFonts w:ascii="Cambria Math" w:hAnsi="Cambria Math"/>
              </w:rPr>
              <m:t>actual</m:t>
            </m:r>
          </m:sub>
        </m:sSub>
      </m:oMath>
      <w:r>
        <w:t xml:space="preserve"> for every possible 2-, 3-, and 4-species community. For each richness level and each of four temperature sequences, we selected the compositions with the lowest </w:t>
      </w:r>
      <m:oMath>
        <m:sSub>
          <m:sSubPr>
            <m:ctrlPr>
              <w:rPr>
                <w:rFonts w:ascii="Cambria Math" w:hAnsi="Cambria Math"/>
                <w:i/>
              </w:rPr>
            </m:ctrlPr>
          </m:sSubPr>
          <m:e>
            <m:r>
              <w:rPr>
                <w:rFonts w:ascii="Cambria Math" w:hAnsi="Cambria Math"/>
              </w:rPr>
              <m:t>CV(CP</m:t>
            </m:r>
          </m:e>
          <m:sub>
            <m:r>
              <w:rPr>
                <w:rFonts w:ascii="Cambria Math" w:hAnsi="Cambria Math"/>
              </w:rPr>
              <m:t>actual</m:t>
            </m:r>
          </m:sub>
        </m:sSub>
        <m:r>
          <w:rPr>
            <w:rFonts w:ascii="Cambria Math" w:hAnsi="Cambria Math"/>
          </w:rPr>
          <m:t>)</m:t>
        </m:r>
      </m:oMath>
      <w:r>
        <w:t xml:space="preserve">, the highest </w:t>
      </w:r>
      <m:oMath>
        <m:sSub>
          <m:sSubPr>
            <m:ctrlPr>
              <w:rPr>
                <w:rFonts w:ascii="Cambria Math" w:hAnsi="Cambria Math"/>
                <w:i/>
              </w:rPr>
            </m:ctrlPr>
          </m:sSubPr>
          <m:e>
            <m:r>
              <w:rPr>
                <w:rFonts w:ascii="Cambria Math" w:hAnsi="Cambria Math"/>
              </w:rPr>
              <m:t>CV(CP</m:t>
            </m:r>
          </m:e>
          <m:sub>
            <m:r>
              <w:rPr>
                <w:rFonts w:ascii="Cambria Math" w:hAnsi="Cambria Math"/>
              </w:rPr>
              <m:t>actual</m:t>
            </m:r>
          </m:sub>
        </m:sSub>
        <m:r>
          <w:rPr>
            <w:rFonts w:ascii="Cambria Math" w:hAnsi="Cambria Math"/>
          </w:rPr>
          <m:t>)</m:t>
        </m:r>
      </m:oMath>
      <w:r>
        <w:t>, and the value closest to the mean (Supplementary Information 3, Figure S2 and S3). Composition could therefore differ among temperature sequences because actual CP variability depends jointly on species response curves and the environmental sequence. A fully factorial design with three richness levels, three CP-variability classes, four temperature sequences, and three replicate microcosms produced 108 experimental units. Each microcosm contained 25 mL of medium and was maintained in a programmable incubator (IPP260plus, Memmert, Germany).</w:t>
      </w:r>
    </w:p>
    <w:p w14:paraId="3E10E075" w14:textId="77777777" w:rsidR="006800A6" w:rsidRDefault="006800A6" w:rsidP="006800A6">
      <w:r>
        <w:t>The four temperature sequences were drawn from a normal distribution with mean 22.5 °C and standard deviation 3.5 °C and had 1/</w:t>
      </w:r>
      <w:r w:rsidRPr="00F80B9F">
        <w:rPr>
          <w:i/>
          <w:iCs/>
        </w:rPr>
        <w:t>f</w:t>
      </w:r>
      <w:r>
        <w:t xml:space="preserve"> temporal autocorrelation with exponent γ = 0.8, matching the Lotka–Volterra simulations (Supplementary Information 3, Figure S2). Communities acclimated for four days at 22.5 °C before the fluctuating treatments began. </w:t>
      </w:r>
    </w:p>
    <w:p w14:paraId="287FAAD1" w14:textId="77777777" w:rsidR="006800A6" w:rsidRDefault="006800A6" w:rsidP="006800A6">
      <w:r w:rsidRPr="00D00E49">
        <w:t xml:space="preserve">The community experiment ran for 37 days and included 27 sampling days. After excluding the initial four-day constant-temperature period, the analysis contained 25 sampling days. </w:t>
      </w:r>
      <w:r>
        <w:t xml:space="preserve">We sampled ciliate densities on each weekday for five weeks using video microscopy. Three microcosm-day observations with sampling errors were removed. For sampling, we transferred 65 μL subsamples to counting chambers and recorded 5-s videos, which were processed with BEMOVI in R </w:t>
      </w:r>
      <w:r>
        <w:fldChar w:fldCharType="begin"/>
      </w:r>
      <w:r>
        <w:instrText xml:space="preserve"> ADDIN ZOTERO_ITEM CSL_CITATION {"citationID":"JbCyxLBu","properties":{"unsorted":false,"formattedCitation":"(Pennekamp {\\i{}et al.} 2015, 2017)","plainCitation":"(Pennekamp et al. 2015, 2017)","noteIndex":0},"citationItems":[{"id":1020,"uris":["http://zotero.org/users/10426170/items/42IZ4J9M"],"itemData":{"id":1020,"type":"article-journal","abstract":"Microbes are critical components of ecosystems and provide vital services (e.g., photosynthesis, decomposition, nutrient recycling). From the diverse roles microbes play in natural ecosystems, high levels of functional diversity result. Quantifying this diversity is challenging, because it is weakly associated with morphological differentiation. In addition, the small size of microbes hinders morphological and behavioral measurements at the individual level, as well as interactions between individuals. Advances in microbial community genetics and genomics, flow cytometry and digital analysis of still images are promising approaches. They miss out, however, on a very important aspect of populations and communities: the behavior of individuals. Video analysis complements these methods by providing in addition to abundance and trait measurements, detailed behavioral information, capturing dynamic processes such as movement, and hence has the potential to describe the interactions between individuals. We introduce BEMOVI, a package using the R and ImageJ software, to extract abundance, morphology, and movement data for tens to thousands of individuals in a video. Through a set of functions BEMOVI identifies individuals present in a video, reconstructs their movement trajectories through space and time, and merges this information into a single database. BEMOVI is a modular set of functions, which can be customized to allow for peculiarities of the videos to be analyzed, in terms of organisms features (e.g., morphology or movement) and how they can be distinguished from the background. We illustrate the validity and accuracy of the method with an example on experimental multispecies communities of aquatic protists. We show high correspondence between manual and automatic counts and illustrate how simultaneous time series of abundance, morphology, and behavior are obtained from BEMOVI. We further demonstrate how the trait data can be used with machine learning to automatically classify individuals into species and that information on movement behavior improves the predictive ability.","container-title":"Ecology and Evolution","DOI":"10.1002/ece3.1529","ISSN":"20457758","issue":"13","title":"BEMOVI, software for extracting behavior and morphology from videos, illustrated with analyses of microbes","volume":"5","author":[{"family":"Pennekamp","given":"Frank"},{"family":"Schtickzelle","given":"Nicolas"},{"family":"Petchey","given":"Owen L."}],"issued":{"date-parts":[["2015"]]}}},{"id":1018,"uris":["http://zotero.org/users/10426170/items/QGBG9QWI"],"itemData":{"id":1018,"type":"article-journal","abstract":"The development of video-based monitoring methods allows for rapid, dynamic and accurate monitoring of individuals or communities, compared to slower traditional methods, with far reaching ecological and evolutionary applications. Large amounts of data are generated using video-based methods, which can be effectively processed using machine learning (ML) algorithms into meaningful ecological information. ML uses user defined classes (e.g. species), derived from a subset (i.e. training data) of video-observed quantitative features (e.g. phenotypic variation), to infer classes in subsequent observations. However, phenotypic variation often changes due to environmental conditions, which may lead to poor classification, if environmentally induced variation in phenotypes is not accounted for. Here we describe a framework for classifying species under changing environmental conditions based on the random forest classification. A sliding window approach was developed that restricts temporal and environmentally conditions to improve the classification. We tested our approach by applying the classification framework to experimental data. The experiment used a set of six ciliate species to monitor changes in community structure and behavior over hundreds of generations, in dozens of species combinations and across a temperature gradient. Differences in biotic and abiotic conditions caused simplistic classification approaches to be unsuccessful. In contrast, the sliding window approach allowed classification to be highly successful, as phenotypic differences driven by environmental change, could be captured by the classifier. Importantly, classification using the random forest algorithm showed comparable success when validated against traditional, slower, manual identification. Our framework allows for reliable classification in dynamic environments, and may help to improve strategies for long-term monitoring of species in changing environments. Our classification pipeline can be applied in fields.","container-title":"PLoS ONE","DOI":"10.1371/journal.pone.0176682","ISSN":"19326203","issue":"5","title":"Dynamic species classification of microorganisms across time, abiotic and biotic environmentsηA sliding window approach","volume":"12","author":[{"family":"Pennekamp","given":"Frank"},{"family":"Griffiths","given":"Jason I."},{"family":"Fronhofer","given":"Emanuel A."},{"family":"Garnier","given":"Aurélie"},{"family":"Seymour","given":"Mathew"},{"family":"Altermatt","given":"Florian"},{"family":"Petche","given":"Owen L."}],"issued":{"date-parts":[["2017"]]}}}],"schema":"https://github.com/citation-style-language/schema/raw/master/csl-citation.json"} </w:instrText>
      </w:r>
      <w:r>
        <w:fldChar w:fldCharType="separate"/>
      </w:r>
      <w:r w:rsidRPr="006656CD">
        <w:rPr>
          <w:rFonts w:eastAsiaTheme="minorEastAsia"/>
          <w:szCs w:val="24"/>
        </w:rPr>
        <w:t xml:space="preserve">(Pennekamp </w:t>
      </w:r>
      <w:r w:rsidRPr="006656CD">
        <w:rPr>
          <w:rFonts w:eastAsiaTheme="minorEastAsia"/>
          <w:i/>
          <w:iCs/>
          <w:szCs w:val="24"/>
        </w:rPr>
        <w:t>et al.</w:t>
      </w:r>
      <w:r w:rsidRPr="006656CD">
        <w:rPr>
          <w:rFonts w:eastAsiaTheme="minorEastAsia"/>
          <w:szCs w:val="24"/>
        </w:rPr>
        <w:t xml:space="preserve"> 2015, 2017)</w:t>
      </w:r>
      <w:r>
        <w:fldChar w:fldCharType="end"/>
      </w:r>
      <w:r>
        <w:t xml:space="preserve">. After sampling, microcosms were replenished with fresh alfalfa medium to maintain volume. Once per week, 75 individuals of each species present in a microcosm were reintroduced to permit recolonisation after local extinction (analogous to immigration terms in the Lotka-Volterra simulations) </w:t>
      </w:r>
      <w:r>
        <w:fldChar w:fldCharType="begin"/>
      </w:r>
      <w:r>
        <w:instrText xml:space="preserve"> ADDIN ZOTERO_ITEM CSL_CITATION {"citationID":"m1vn1jt2","properties":{"unsorted":false,"formattedCitation":"(Limberger {\\i{}et al.} 2025)","plainCitation":"(Limberger et al. 2025)","noteIndex":0},"citationItems":[{"id":"iYLcx6B4/OeCbOeNm","uris":["http://zotero.org/users/10426170/items/IGT54NWP"],"itemData":{"id":3687,"type":"article-journal","abstract":"Accurate forecasts of ecological dynamics are critical for ecosystem management and conservation, yet the drivers of forecastability are poorly understood. Environmental change and diversity are considered major challenges to ecological forecasting. This assumption, however, has never been tested experimentally because forecasts have high data requirements. In a long-term microcosm experiment, we manipulated the species richness of 30 experimental protist communities and exposed them to constant or gradually decreasing light levels. We collected finely resolved time series (123 sampling dates over 41 weeks) of species abundances, community biomass, and oxygen concentrations. We then employed data-driven forecasting methods to forecast these variables. We found that species richness and light had a weak interactive effect on forecasts of species abundances: richness tended to reduce forecast accuracy in constant light but tended to increase forecast accuracy in declining light. These effects could partially be explained by differences among time series in variability and autocorrelation. Forecasts of aggregate properties (community biomass, oxygen), however, were unaffected by richness and light and were not more accurate than those of species abundances. Our forecasts were based on time series that were detrended and standardized. Since real-world forecasting applications require predictions at the original scale of the forecasted variable, it is important to note that the results were qualitatively identical when back-transforming the forecasts to the original scale. Taken together, we found no strong evidence that higher diversity results in lower forecastability. Rather, our results imply that promoting diversity could make populations more predictable when environmental conditions change. From a conservation and management perspective, our findings suggest preliminary support that diversity conservation might have beneficial effects on decision-taking by increasing the forecastability of species abundances in changing environments.","container-title":"Global Change Biology","DOI":"10.1111/gcb.70364","ISSN":"1365-2486","issue":"7","language":"en","license":"© 2025 The Author(s). Global Change Biology published by John Wiley &amp; Sons Ltd.","note":"_eprint: https://onlinelibrary.wiley.com/doi/pdf/10.1111/gcb.70364","page":"e70364","source":"Wiley Online Library","title":"Mixed Evidence for Species Diversity Affecting Ecological Forecasts in Constant Versus Declining Light","volume":"31","author":[{"family":"Limberger","given":"Romana"},{"family":"Daugaard","given":"Uriah"},{"family":"Choffat","given":"Yves"},{"family":"Gupta","given":"Anubhav"},{"family":"Jelić","given":"Martina"},{"family":"Jyrkinen","given":"Sabina"},{"family":"Krug","given":"Rainer M."},{"family":"Nohl","given":"Seraina"},{"family":"Pennekamp","given":"Frank"},{"family":"Moorsel","given":"Sofia J.","non-dropping-particle":"van"},{"family":"Zheng","given":"Xue"},{"family":"Zuppinger-Dingley","given":"Debra"},{"family":"Petchey","given":"Owen L."}],"issued":{"date-parts":[["2025"]]}}}],"schema":"https://github.com/citation-style-language/schema/raw/master/csl-citation.json"} </w:instrText>
      </w:r>
      <w:r>
        <w:fldChar w:fldCharType="separate"/>
      </w:r>
      <w:r w:rsidRPr="007668E3">
        <w:rPr>
          <w:rFonts w:eastAsiaTheme="minorEastAsia"/>
          <w:szCs w:val="24"/>
        </w:rPr>
        <w:t xml:space="preserve">(Limberger </w:t>
      </w:r>
      <w:r w:rsidRPr="007668E3">
        <w:rPr>
          <w:rFonts w:eastAsiaTheme="minorEastAsia"/>
          <w:i/>
          <w:iCs/>
          <w:szCs w:val="24"/>
        </w:rPr>
        <w:t>et al.</w:t>
      </w:r>
      <w:r w:rsidRPr="007668E3">
        <w:rPr>
          <w:rFonts w:eastAsiaTheme="minorEastAsia"/>
          <w:szCs w:val="24"/>
        </w:rPr>
        <w:t xml:space="preserve"> 2025)</w:t>
      </w:r>
      <w:r>
        <w:fldChar w:fldCharType="end"/>
      </w:r>
      <w:r>
        <w:t>.</w:t>
      </w:r>
    </w:p>
    <w:p w14:paraId="44C8E440" w14:textId="77777777" w:rsidR="006800A6" w:rsidRDefault="006800A6" w:rsidP="006800A6"/>
    <w:p w14:paraId="69E93A4C" w14:textId="77777777" w:rsidR="006800A6" w:rsidRPr="005A24FF" w:rsidRDefault="006800A6" w:rsidP="006800A6">
      <w:pPr>
        <w:pStyle w:val="Heading3"/>
      </w:pPr>
      <w:r w:rsidRPr="005A24FF">
        <w:lastRenderedPageBreak/>
        <w:t>Community stability analyses</w:t>
      </w:r>
      <w:r>
        <w:t xml:space="preserve"> of the experiment</w:t>
      </w:r>
    </w:p>
    <w:p w14:paraId="336E67A7" w14:textId="77777777" w:rsidR="006800A6" w:rsidRPr="00420102" w:rsidRDefault="006800A6" w:rsidP="006800A6">
      <w:r>
        <w:t xml:space="preserve">Community biomass was the sum of species biovolumes multiplied by the density of water (1 g cm⁻³). Because biomass declined across species during the experiment (Supplementary Information 3, Figure S4), probably owing to resource depletion or waste accumulation, we removed long-term trends before estimating temporal instability </w:t>
      </w:r>
      <w:r>
        <w:fldChar w:fldCharType="begin"/>
      </w:r>
      <w:r>
        <w:instrText xml:space="preserve"> ADDIN ZOTERO_ITEM CSL_CITATION {"citationID":"Uu5N27C0","properties":{"unsorted":false,"formattedCitation":"(Isbell {\\i{}et al.} 2026)","plainCitation":"(Isbell et al. 2026)","noteIndex":0},"citationItems":[{"id":3590,"uris":["http://zotero.org/users/10426170/items/LFF5YPKF"],"itemData":{"id":3590,"type":"article-journal","abstract":"Stability can be desirable for many natural and social systems. Temporal stability, the invariability of a system over time, can be enhanced by resisting displacement during perturbations, accelerating recovery after them, or both1–4. Likewise, resilience (sensu proximity to unperturbed levels after a perturbation5–10) also has components of withstanding (resistance) and recovering after perturbations11,12. Here we develop and test new predictions for how temporal stability and resilience depend on their resistance and recovery components. We find that temporal stability could often be predicted from resistance, even without information about how quickly the system recovers. By contrast, resilience is predicted to depend at least as much on recovery as on resistance, as in earlier theory11,12. Using plant productivity data from the world’s longest-running biodiversity experiment, we find that long-term temporal stability, quantified over a quarter century at the ecosystem or species level, is predicted with moderate accuracy from single-year estimates of resistance alone, with only slight improvement by also considering recovery. Resilience was predicted with moderate accuracy by a combination of resistance and recovery at the ecosystem level. We also find that ecosystem drought resistance can be forecasted by monitoring temporal stability before the drought. Our results reveal that long-term temporal stability and short-term resistance may often be predicted from one another and clarify how resistance and recovery can be leveraged to enhance the stability of both natural and managed systems.","container-title":"Nature","DOI":"10.1038/s41586-026-10498-4","ISSN":"1476-4687","language":"en","license":"2026 The Author(s)","page":"1-7","publisher":"Nature Publishing Group","source":"www.nature.com","title":"Predicting temporal stability and resilience from resistance and recovery","author":[{"family":"Isbell","given":"Forest"},{"family":"Mori","given":"Akira S."},{"family":"Loreau","given":"Michel"},{"family":"Reich","given":"Peter B."},{"family":"Tilman","given":"David"},{"family":"Anderson","given":"Maggie I."},{"family":"Brophy","given":"Caroline"},{"family":"Castillioni","given":"Karen"},{"family":"Chen","given":"Qingqing"},{"family":"Churchill","given":"Amber C."},{"family":"Clark","given":"Adam T."},{"family":"Craven","given":"Dylan"},{"family":"Eisenhauer","given":"Nico"},{"family":"Farah","given":"Hanan C."},{"family":"Gherardi","given":"Lau A."},{"family":"Hautier","given":"Yann"},{"family":"He","given":"Miao"},{"family":"He","given":"Jin-Sheng"},{"family":"Hector","given":"Andy"},{"family":"Hedberg","given":"Sydney"},{"family":"Hobbie","given":"Sarah E."},{"family":"Hong","given":"Pubin"},{"family":"Liang","given":"Guopeng"},{"family":"Liang","given":"Maowei"},{"family":"Luo","given":"Shan"},{"family":"Mohanbabu","given":"Neha"},{"family":"Naeem","given":"Shahid"},{"family":"Niklaus","given":"Pascal A."},{"family":"Pan","given":"Xiaobin"},{"family":"Portales-Reyes","given":"Cristy"},{"family":"Schmid","given":"Bernhard"},{"family":"Shepherd","given":"Harry E. R."},{"family":"Varghese","given":"Steph"},{"family":"Veldhuis","given":"Michiel P."},{"family":"Wang","given":"Shaopeng"},{"family":"Watkins","given":"Carmen R. E."},{"family":"Xu","given":"Qianna"},{"family":"Zheng","given":"Liting"},{"family":"Zirbel","given":"Chad R."}],"issued":{"date-parts":[["2026",5,6]]}}}],"schema":"https://github.com/citation-style-language/schema/raw/master/csl-citation.json"} </w:instrText>
      </w:r>
      <w:r>
        <w:fldChar w:fldCharType="separate"/>
      </w:r>
      <w:r w:rsidRPr="00C67202">
        <w:rPr>
          <w:rFonts w:eastAsiaTheme="minorEastAsia"/>
          <w:szCs w:val="24"/>
        </w:rPr>
        <w:t xml:space="preserve">(Isbell </w:t>
      </w:r>
      <w:r w:rsidRPr="00C67202">
        <w:rPr>
          <w:rFonts w:eastAsiaTheme="minorEastAsia"/>
          <w:i/>
          <w:iCs/>
          <w:szCs w:val="24"/>
        </w:rPr>
        <w:t>et al.</w:t>
      </w:r>
      <w:r w:rsidRPr="00C67202">
        <w:rPr>
          <w:rFonts w:eastAsiaTheme="minorEastAsia"/>
          <w:szCs w:val="24"/>
        </w:rPr>
        <w:t xml:space="preserve"> 2026)</w:t>
      </w:r>
      <w:r>
        <w:fldChar w:fldCharType="end"/>
      </w:r>
      <w:r>
        <w:t>.</w:t>
      </w:r>
    </w:p>
    <w:p w14:paraId="2D8B36AE" w14:textId="77777777" w:rsidR="006800A6" w:rsidRDefault="006800A6" w:rsidP="006800A6">
      <w:pPr>
        <w:pStyle w:val="BodyText"/>
      </w:pPr>
      <w:r>
        <w:t xml:space="preserve">Species-level biomass was detrended with generalised additive models fitted separately to each species-by-composition combination </w:t>
      </w:r>
      <w:r>
        <w:fldChar w:fldCharType="begin"/>
      </w:r>
      <w:r>
        <w:instrText xml:space="preserve"> ADDIN ZOTERO_ITEM CSL_CITATION {"citationID":"gIMPwY4K","properties":{"unsorted":false,"formattedCitation":"(Fewster {\\i{}et al.} 2000; Simpson 2018)","plainCitation":"(Fewster et al. 2000; Simpson 2018)","noteIndex":0},"citationItems":[{"id":3568,"uris":["http://zotero.org/users/10426170/items/FHLH7MU3"],"itemData":{"id":3568,"type":"article-journal","abstract":"Knowledge of the direction, magnitude, and timing of changes in bird population abundance is essential to enable species of priority conservation concern to be identified, and reasons for the population changes to be understood. We give a brief review of previous techniques for the analysis of large-scale survey data and present a new approach based on generalized additive models (GAMs). GAMs are used to model trend as a smooth, nonlinear function of time, and they provide a framework for testing the statistical significance of changes in abundance. In addition, the second derivatives of the modeled trend curve may be used to identify key years in which the direction of the population trajectory was seen to change significantly. The inclusion of covariates into models for population abundance is also discussed and illustrated, and tests for the significance of covariate terms are given. We apply the methods to data from the Common Birds Census of the British Trust for Ornithology for 13 species of farmland birds. Seven of the species are shown to have experienced statistically significant declines since the mid-1960s. Two species exhibited a significant increase. The population trajectories of all but three species turned downward in the 1970s, although in most cases the 1980s brought either some recovery or a decrease in the rate of decline. The majority of populations have remained relatively stable in the 1990s. The results are comparable with those from other analysis techniques, although the new approach is shown to have advantages in generality and precision. We suggest extensions of the methods and make recommendations for the design of future surveys.","container-title":"Ecology","DOI":"10.1890/0012-9658(2000)081[1970:AOPTFF]2.0.CO;2","ISSN":"1939-9170","issue":"7","language":"en","note":"_eprint: https://esajournals.onlinelibrary.wiley.com/doi/pdf/10.1890/0012-9658%282000%29081%5B1970%3AAOPTFF%5D2.0.CO%3B2","page":"1970-1984","source":"Wiley Online Library","title":"Analysis of Population Trends for Farmland Birds Using Generalized Additive Models","volume":"81","author":[{"family":"Fewster","given":"Rachel M."},{"family":"Buckland","given":"Stephen T."},{"family":"Siriwardena","given":"Gavin M."},{"family":"Baillie","given":"Stephen R."},{"family":"Wilson","given":"Jeremy D."}],"issued":{"date-parts":[["2000"]]}}},{"id":3564,"uris":["http://zotero.org/users/10426170/items/LZXVWHXM"],"itemData":{"id":3564,"type":"article-journal","abstract":"In the absence of annual laminations, time series generated from lake sediments or other similar stratigraphic sequences are irregularly spaced in time, which complicates formal analysis using classical statistical time series models. In lieu, statistical analyses of trends in palaeoenvironmental time series, if done at all, have typically used simpler linear regressions or (non-) parametric correlations with little regard for the violation of assumptions that almost surely occurs due to temporal dependencies in the data or that correlations do not provide estimates of the magnitude of change, just whether or not there is a linear or monotonic trend. Alternative approaches have used LOESS-estimated trends to justify data interpretations or test hypotheses as to the causal factors without considering the inherent subjectivity of the choice of parameters used to achieve the LOESS fit (e.g. span width, degree of polynomial). Generalized additive models (GAMs) are statistical models that can be used to estimate trends as smooth functions of time. Unlike LOESS, GAMs use automatic smoothness selection methods to objectively determine the complexity of the fitted trend, and as formal statistical models, GAMs, allow for potentially complex, non-linear trends, a proper accounting of model uncertainty, and the identification of periods of significant temporal change. Here, I present a consistent and modern approach to the estimation of trends in palaeoenvironmental time series using GAMs, illustrating features of the methodology with two example time series of contrasting complexity; a 150-year bulk organic matter δ15N time series from Small Water, UK, and a 3000-year alkenone record from Braya-Sø, Greenland. I discuss the underlying mechanics of GAMs that allow them to learn the shape of the trend from the data themselves and how simultaneous confidence intervals and the first derivatives of the trend are used to properly account for model uncertainty and identify periods of change. It is hoped that by using GAMs greater attention is paid to the statistical estimation of trends in palaeoenvironmental time series leading to more a robust and reproducible palaeoscience.","container-title":"Frontiers in Ecology and Evolution","DOI":"10.3389/fevo.2018.00149","ISSN":"2296-701X","journalAbbreviation":"Front. Ecol. Evol.","language":"English","publisher":"Frontiers","source":"Frontiers","title":"Modelling Palaeoecological Time Series Using Generalised Additive Models","URL":"https://www.frontiersin.org/journals/ecology-and-evolution/articles/10.3389/fevo.2018.00149/full","volume":"6","author":[{"family":"Simpson","given":"Gavin L."}],"accessed":{"date-parts":[["2026",3,25]]},"issued":{"date-parts":[["2018",10,26]]}}}],"schema":"https://github.com/citation-style-language/schema/raw/master/csl-citation.json"} </w:instrText>
      </w:r>
      <w:r>
        <w:fldChar w:fldCharType="separate"/>
      </w:r>
      <w:r w:rsidRPr="002E69E0">
        <w:rPr>
          <w:rFonts w:eastAsiaTheme="minorEastAsia"/>
          <w:szCs w:val="24"/>
        </w:rPr>
        <w:t xml:space="preserve">(Fewster </w:t>
      </w:r>
      <w:r w:rsidRPr="002E69E0">
        <w:rPr>
          <w:rFonts w:eastAsiaTheme="minorEastAsia"/>
          <w:i/>
          <w:iCs/>
          <w:szCs w:val="24"/>
        </w:rPr>
        <w:t>et al.</w:t>
      </w:r>
      <w:r w:rsidRPr="002E69E0">
        <w:rPr>
          <w:rFonts w:eastAsiaTheme="minorEastAsia"/>
          <w:szCs w:val="24"/>
        </w:rPr>
        <w:t xml:space="preserve"> 2000; Simpson 2018)</w:t>
      </w:r>
      <w:r>
        <w:fldChar w:fldCharType="end"/>
      </w:r>
      <w:r>
        <w:t>. We summed detrended species deviations within each microcosm and day and quantified empirical variability as the standard deviation of detrended total community biomass:</w:t>
      </w:r>
    </w:p>
    <w:tbl>
      <w:tblPr>
        <w:tblW w:w="9360" w:type="dxa"/>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1080"/>
        <w:gridCol w:w="7200"/>
        <w:gridCol w:w="1080"/>
      </w:tblGrid>
      <w:tr w:rsidR="006800A6" w14:paraId="09046141" w14:textId="77777777" w:rsidTr="007B5724">
        <w:tc>
          <w:tcPr>
            <w:tcW w:w="1080" w:type="dxa"/>
            <w:vAlign w:val="center"/>
          </w:tcPr>
          <w:p w14:paraId="50BD6FDA" w14:textId="77777777" w:rsidR="006800A6" w:rsidRDefault="006800A6" w:rsidP="007B5724">
            <w:pPr>
              <w:spacing w:after="0"/>
            </w:pPr>
          </w:p>
        </w:tc>
        <w:tc>
          <w:tcPr>
            <w:tcW w:w="7200" w:type="dxa"/>
            <w:vAlign w:val="center"/>
          </w:tcPr>
          <w:p w14:paraId="0E78D258" w14:textId="77777777" w:rsidR="006800A6" w:rsidRPr="00345F4E" w:rsidRDefault="006800A6" w:rsidP="007B5724">
            <w:pPr>
              <w:pStyle w:val="BodyText"/>
              <w:spacing w:after="0"/>
              <w:jc w:val="center"/>
            </w:pPr>
            <m:oMathPara>
              <m:oMath>
                <m:sSub>
                  <m:sSubPr>
                    <m:ctrlPr>
                      <w:rPr>
                        <w:rFonts w:ascii="Cambria Math" w:hAnsi="Cambria Math"/>
                        <w:i/>
                      </w:rPr>
                    </m:ctrlPr>
                  </m:sSubPr>
                  <m:e>
                    <m:r>
                      <w:rPr>
                        <w:rFonts w:ascii="Cambria Math" w:hAnsi="Cambria Math"/>
                      </w:rPr>
                      <m:t>σ</m:t>
                    </m:r>
                  </m:e>
                  <m:sub>
                    <m:r>
                      <w:rPr>
                        <w:rFonts w:ascii="Cambria Math" w:hAnsi="Cambria Math"/>
                      </w:rPr>
                      <m:t>biom</m:t>
                    </m:r>
                  </m:sub>
                </m:sSub>
                <m:r>
                  <w:rPr>
                    <w:rFonts w:ascii="Cambria Math" w:hAnsi="Cambria Math"/>
                  </w:rPr>
                  <m:t>=sd</m:t>
                </m:r>
                <m:d>
                  <m:dPr>
                    <m:ctrlPr>
                      <w:rPr>
                        <w:rFonts w:ascii="Cambria Math" w:hAnsi="Cambria Math"/>
                        <w:i/>
                      </w:rPr>
                    </m:ctrlPr>
                  </m:dPr>
                  <m:e>
                    <m:nary>
                      <m:naryPr>
                        <m:chr m:val="∑"/>
                        <m:limLoc m:val="undOvr"/>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b</m:t>
                            </m:r>
                          </m:e>
                          <m:sub>
                            <m:r>
                              <w:rPr>
                                <w:rFonts w:ascii="Cambria Math" w:hAnsi="Cambria Math"/>
                              </w:rPr>
                              <m:t>i,t</m:t>
                            </m:r>
                          </m:sub>
                        </m:sSub>
                      </m:e>
                    </m:nary>
                  </m:e>
                </m:d>
              </m:oMath>
            </m:oMathPara>
          </w:p>
        </w:tc>
        <w:tc>
          <w:tcPr>
            <w:tcW w:w="1080" w:type="dxa"/>
            <w:vAlign w:val="center"/>
          </w:tcPr>
          <w:p w14:paraId="4C2A2CC5" w14:textId="77777777" w:rsidR="006800A6" w:rsidRDefault="006800A6" w:rsidP="007B5724">
            <w:pPr>
              <w:spacing w:after="0"/>
              <w:jc w:val="right"/>
            </w:pPr>
            <w:r>
              <w:t>(18)</w:t>
            </w:r>
          </w:p>
        </w:tc>
      </w:tr>
    </w:tbl>
    <w:p w14:paraId="0813AC5F" w14:textId="77777777" w:rsidR="006800A6" w:rsidRDefault="006800A6" w:rsidP="006800A6">
      <w:pPr>
        <w:pStyle w:val="BodyText"/>
      </w:pPr>
      <w:r>
        <w:t xml:space="preserve">where </w:t>
      </w:r>
      <w:r w:rsidRPr="00F20860">
        <w:rPr>
          <w:i/>
          <w:iCs/>
        </w:rPr>
        <w:t>bᵢ,ₜ</w:t>
      </w:r>
      <w:r>
        <w:t xml:space="preserve"> is the detrended biomass of species </w:t>
      </w:r>
      <w:r w:rsidRPr="00F20860">
        <w:rPr>
          <w:i/>
          <w:iCs/>
        </w:rPr>
        <w:t xml:space="preserve">i </w:t>
      </w:r>
      <w:r>
        <w:t>at time t.</w:t>
      </w:r>
    </w:p>
    <w:p w14:paraId="75C85D00" w14:textId="77777777" w:rsidR="006800A6" w:rsidRPr="00420102" w:rsidRDefault="006800A6" w:rsidP="006800A6">
      <w:r>
        <w:t>Because detrending centres deviations around the fitted long-term trend, we used standard deviation rather than the coefficient of variation since the mean of the detrended series approaches zero which can cause the coefficient of variation to be unstable.</w:t>
      </w:r>
    </w:p>
    <w:p w14:paraId="22A4B473" w14:textId="77777777" w:rsidR="006800A6" w:rsidRPr="005A24FF" w:rsidRDefault="006800A6" w:rsidP="006800A6">
      <w:r w:rsidRPr="00D00E49">
        <w:t>Linear models related log10-transformed</w:t>
      </w:r>
      <w:r>
        <w:t xml:space="preserve"> community</w:t>
      </w:r>
      <w:r w:rsidRPr="00D00E49">
        <w:t xml:space="preserve"> </w:t>
      </w:r>
      <w:r>
        <w:t>biomass</w:t>
      </w:r>
      <w:r w:rsidRPr="00D00E49">
        <w:t xml:space="preserve"> </w:t>
      </w:r>
      <w:r>
        <w:t>variability</w:t>
      </w:r>
      <w:r w:rsidRPr="00D00E49">
        <w:t xml:space="preserve"> </w:t>
      </w:r>
      <w:r>
        <w:t>(</w:t>
      </w:r>
      <m:oMath>
        <m:sSub>
          <m:sSubPr>
            <m:ctrlPr>
              <w:rPr>
                <w:rFonts w:ascii="Cambria Math" w:hAnsi="Cambria Math"/>
                <w:i/>
              </w:rPr>
            </m:ctrlPr>
          </m:sSubPr>
          <m:e>
            <m:r>
              <w:rPr>
                <w:rFonts w:ascii="Cambria Math" w:hAnsi="Cambria Math"/>
              </w:rPr>
              <m:t>σ</m:t>
            </m:r>
          </m:e>
          <m:sub>
            <m:r>
              <w:rPr>
                <w:rFonts w:ascii="Cambria Math" w:hAnsi="Cambria Math"/>
              </w:rPr>
              <m:t>biom</m:t>
            </m:r>
          </m:sub>
        </m:sSub>
      </m:oMath>
      <w:r>
        <w:t xml:space="preserve">) to </w:t>
      </w:r>
      <m:oMath>
        <m:r>
          <w:rPr>
            <w:rFonts w:ascii="Cambria Math" w:hAnsi="Cambria Math"/>
          </w:rPr>
          <m:t>CV(</m:t>
        </m:r>
        <m:sSub>
          <m:sSubPr>
            <m:ctrlPr>
              <w:rPr>
                <w:rFonts w:ascii="Cambria Math" w:hAnsi="Cambria Math"/>
                <w:i/>
              </w:rPr>
            </m:ctrlPr>
          </m:sSubPr>
          <m:e>
            <m:r>
              <w:rPr>
                <w:rFonts w:ascii="Cambria Math" w:hAnsi="Cambria Math"/>
              </w:rPr>
              <m:t>CP</m:t>
            </m:r>
          </m:e>
          <m:sub>
            <m:r>
              <w:rPr>
                <w:rFonts w:ascii="Cambria Math" w:hAnsi="Cambria Math"/>
              </w:rPr>
              <m:t>actual</m:t>
            </m:r>
          </m:sub>
        </m:sSub>
        <m:r>
          <w:rPr>
            <w:rFonts w:ascii="Cambria Math" w:hAnsi="Cambria Math"/>
          </w:rPr>
          <m:t>)</m:t>
        </m:r>
      </m:oMath>
      <w:r w:rsidRPr="00D00E49">
        <w:t xml:space="preserve">, </w:t>
      </w:r>
      <m:oMath>
        <m:r>
          <w:rPr>
            <w:rFonts w:ascii="Cambria Math" w:hAnsi="Cambria Math"/>
          </w:rPr>
          <m:t>CV(</m:t>
        </m:r>
        <m:sSub>
          <m:sSubPr>
            <m:ctrlPr>
              <w:rPr>
                <w:rFonts w:ascii="Cambria Math" w:hAnsi="Cambria Math"/>
                <w:i/>
              </w:rPr>
            </m:ctrlPr>
          </m:sSubPr>
          <m:e>
            <m:r>
              <w:rPr>
                <w:rFonts w:ascii="Cambria Math" w:hAnsi="Cambria Math"/>
              </w:rPr>
              <m:t>CP</m:t>
            </m:r>
          </m:e>
          <m:sub>
            <m:r>
              <w:rPr>
                <w:rFonts w:ascii="Cambria Math" w:hAnsi="Cambria Math"/>
              </w:rPr>
              <m:t>null</m:t>
            </m:r>
          </m:sub>
        </m:sSub>
        <m:r>
          <w:rPr>
            <w:rFonts w:ascii="Cambria Math" w:hAnsi="Cambria Math"/>
          </w:rPr>
          <m:t>)</m:t>
        </m:r>
      </m:oMath>
      <w:r w:rsidRPr="00D00E49">
        <w:t>,</w:t>
      </w:r>
      <w:r>
        <w:t xml:space="preserve"> </w:t>
      </w:r>
      <m:oMath>
        <m:d>
          <m:dPr>
            <m:begChr m:val="|"/>
            <m:endChr m:val="|"/>
            <m:ctrlPr>
              <w:rPr>
                <w:rFonts w:ascii="Cambria Math" w:hAnsi="Cambria Math"/>
              </w:rPr>
            </m:ctrlPr>
          </m:dPr>
          <m:e>
            <m:sSub>
              <m:sSubPr>
                <m:ctrlPr>
                  <w:rPr>
                    <w:rFonts w:ascii="Cambria Math" w:hAnsi="Cambria Math"/>
                  </w:rPr>
                </m:ctrlPr>
              </m:sSubPr>
              <m:e>
                <m:bar>
                  <m:barPr>
                    <m:pos m:val="top"/>
                    <m:ctrlPr>
                      <w:rPr>
                        <w:rFonts w:ascii="Cambria Math" w:hAnsi="Cambria Math"/>
                      </w:rPr>
                    </m:ctrlPr>
                  </m:barPr>
                  <m:e>
                    <m:r>
                      <w:rPr>
                        <w:rFonts w:ascii="Cambria Math" w:hAnsi="Cambria Math"/>
                      </w:rPr>
                      <m:t>T</m:t>
                    </m:r>
                  </m:e>
                </m:bar>
              </m:e>
              <m:sub>
                <m:r>
                  <m:rPr>
                    <m:sty m:val="p"/>
                  </m:rPr>
                  <w:rPr>
                    <w:rFonts w:ascii="Cambria Math" w:hAnsi="Cambria Math"/>
                  </w:rPr>
                  <m:t>opt</m:t>
                </m:r>
              </m:sub>
            </m:sSub>
            <m:r>
              <m:rPr>
                <m:sty m:val="p"/>
              </m:rPr>
              <w:rPr>
                <w:rFonts w:ascii="Cambria Math" w:hAnsi="Cambria Math"/>
              </w:rPr>
              <m:t>-</m:t>
            </m:r>
            <m:bar>
              <m:barPr>
                <m:pos m:val="top"/>
                <m:ctrlPr>
                  <w:rPr>
                    <w:rFonts w:ascii="Cambria Math" w:hAnsi="Cambria Math"/>
                  </w:rPr>
                </m:ctrlPr>
              </m:barPr>
              <m:e>
                <m:r>
                  <w:rPr>
                    <w:rFonts w:ascii="Cambria Math" w:hAnsi="Cambria Math"/>
                  </w:rPr>
                  <m:t>T</m:t>
                </m:r>
              </m:e>
            </m:bar>
          </m:e>
        </m:d>
      </m:oMath>
      <w:r w:rsidRPr="00D00E49">
        <w:t xml:space="preserve">, and </w:t>
      </w:r>
      <m:oMath>
        <m:r>
          <w:rPr>
            <w:rFonts w:ascii="Cambria Math" w:hAnsi="Cambria Math"/>
          </w:rPr>
          <m:t>sd</m:t>
        </m:r>
        <m:r>
          <m:rPr>
            <m:sty m:val="p"/>
          </m:rPr>
          <w:rPr>
            <w:rFonts w:ascii="Cambria Math" w:hAnsi="Cambria Math"/>
          </w:rPr>
          <m:t>(</m:t>
        </m:r>
        <m:sSub>
          <m:sSubPr>
            <m:ctrlPr>
              <w:rPr>
                <w:rFonts w:ascii="Cambria Math" w:hAnsi="Cambria Math"/>
              </w:rPr>
            </m:ctrlPr>
          </m:sSubPr>
          <m:e>
            <m:r>
              <w:rPr>
                <w:rFonts w:ascii="Cambria Math" w:hAnsi="Cambria Math"/>
              </w:rPr>
              <m:t>T</m:t>
            </m:r>
          </m:e>
          <m:sub>
            <m:r>
              <m:rPr>
                <m:sty m:val="p"/>
              </m:rPr>
              <w:rPr>
                <w:rFonts w:ascii="Cambria Math" w:hAnsi="Cambria Math"/>
              </w:rPr>
              <m:t>opt</m:t>
            </m:r>
          </m:sub>
        </m:sSub>
        <m:r>
          <m:rPr>
            <m:sty m:val="p"/>
          </m:rPr>
          <w:rPr>
            <w:rFonts w:ascii="Cambria Math" w:hAnsi="Cambria Math"/>
          </w:rPr>
          <m:t>)</m:t>
        </m:r>
      </m:oMath>
      <w:r w:rsidRPr="00D00E49">
        <w:t>. CP predictors were log10-transformed</w:t>
      </w:r>
      <w:r>
        <w:t xml:space="preserve"> to improve normality of residuals</w:t>
      </w:r>
      <w:r w:rsidRPr="00D00E49">
        <w:t>; trait-summary predictors were analysed on their original scales. We fitted single-predictor models for each predictor. The main richness-aware model included</w:t>
      </w:r>
      <w:r>
        <w:t xml:space="preserve"> log10-transformed</w:t>
      </w:r>
      <w:r w:rsidRPr="00D00E49">
        <w:t xml:space="preserve"> </w:t>
      </w:r>
      <m:oMath>
        <m:r>
          <w:rPr>
            <w:rFonts w:ascii="Cambria Math" w:hAnsi="Cambria Math"/>
          </w:rPr>
          <m:t>CV(</m:t>
        </m:r>
        <m:sSub>
          <m:sSubPr>
            <m:ctrlPr>
              <w:rPr>
                <w:rFonts w:ascii="Cambria Math" w:hAnsi="Cambria Math"/>
                <w:i/>
              </w:rPr>
            </m:ctrlPr>
          </m:sSubPr>
          <m:e>
            <m:r>
              <w:rPr>
                <w:rFonts w:ascii="Cambria Math" w:hAnsi="Cambria Math"/>
              </w:rPr>
              <m:t>CP</m:t>
            </m:r>
          </m:e>
          <m:sub>
            <m:r>
              <w:rPr>
                <w:rFonts w:ascii="Cambria Math" w:hAnsi="Cambria Math"/>
              </w:rPr>
              <m:t>actual</m:t>
            </m:r>
          </m:sub>
        </m:sSub>
        <m:r>
          <w:rPr>
            <w:rFonts w:ascii="Cambria Math" w:hAnsi="Cambria Math"/>
          </w:rPr>
          <m:t>)</m:t>
        </m:r>
      </m:oMath>
      <w:r w:rsidRPr="00D00E49">
        <w:t xml:space="preserve">, richness, temperature time series, and the interaction between </w:t>
      </w:r>
      <m:oMath>
        <m:r>
          <w:rPr>
            <w:rFonts w:ascii="Cambria Math" w:hAnsi="Cambria Math"/>
          </w:rPr>
          <m:t>CV(</m:t>
        </m:r>
        <m:sSub>
          <m:sSubPr>
            <m:ctrlPr>
              <w:rPr>
                <w:rFonts w:ascii="Cambria Math" w:hAnsi="Cambria Math"/>
                <w:i/>
              </w:rPr>
            </m:ctrlPr>
          </m:sSubPr>
          <m:e>
            <m:r>
              <w:rPr>
                <w:rFonts w:ascii="Cambria Math" w:hAnsi="Cambria Math"/>
              </w:rPr>
              <m:t>CP</m:t>
            </m:r>
          </m:e>
          <m:sub>
            <m:r>
              <w:rPr>
                <w:rFonts w:ascii="Cambria Math" w:hAnsi="Cambria Math"/>
              </w:rPr>
              <m:t>actual</m:t>
            </m:r>
          </m:sub>
        </m:sSub>
        <m:r>
          <w:rPr>
            <w:rFonts w:ascii="Cambria Math" w:hAnsi="Cambria Math"/>
          </w:rPr>
          <m:t>)</m:t>
        </m:r>
      </m:oMath>
      <w:r w:rsidRPr="00D00E49">
        <w:t xml:space="preserve"> and richness.</w:t>
      </w:r>
      <w:r>
        <w:t xml:space="preserve"> We included the interaction term considering the results of a previous study where the effect of species’ responses was dependent on the number of species in a community</w:t>
      </w:r>
      <w:r>
        <w:fldChar w:fldCharType="begin"/>
      </w:r>
      <w:r>
        <w:instrText xml:space="preserve"> ADDIN ZOTERO_TEMP </w:instrText>
      </w:r>
      <w:r>
        <w:fldChar w:fldCharType="separate"/>
      </w:r>
      <w:r>
        <w:fldChar w:fldCharType="end"/>
      </w:r>
      <w:r>
        <w:t xml:space="preserve"> (Polazzo </w:t>
      </w:r>
      <w:r w:rsidRPr="006E04C3">
        <w:rPr>
          <w:i/>
          <w:iCs/>
        </w:rPr>
        <w:t>et al.</w:t>
      </w:r>
      <w:r>
        <w:t xml:space="preserve"> 2025). Lastly, we used structural equation modelling (SEM) to investigate hypothesized pathways from </w:t>
      </w:r>
      <m:oMath>
        <m:r>
          <w:rPr>
            <w:rFonts w:ascii="Cambria Math" w:hAnsi="Cambria Math"/>
          </w:rPr>
          <m:t>CV(</m:t>
        </m:r>
        <m:sSub>
          <m:sSubPr>
            <m:ctrlPr>
              <w:rPr>
                <w:rFonts w:ascii="Cambria Math" w:hAnsi="Cambria Math"/>
                <w:i/>
              </w:rPr>
            </m:ctrlPr>
          </m:sSubPr>
          <m:e>
            <m:r>
              <w:rPr>
                <w:rFonts w:ascii="Cambria Math" w:hAnsi="Cambria Math"/>
              </w:rPr>
              <m:t>CP</m:t>
            </m:r>
          </m:e>
          <m:sub>
            <m:r>
              <w:rPr>
                <w:rFonts w:ascii="Cambria Math" w:hAnsi="Cambria Math"/>
              </w:rPr>
              <m:t>actual</m:t>
            </m:r>
          </m:sub>
        </m:sSub>
        <m:r>
          <w:rPr>
            <w:rFonts w:ascii="Cambria Math" w:hAnsi="Cambria Math"/>
          </w:rPr>
          <m:t>)</m:t>
        </m:r>
      </m:oMath>
      <w:r>
        <w:t xml:space="preserve"> to (</w:t>
      </w:r>
      <m:oMath>
        <m:sSub>
          <m:sSubPr>
            <m:ctrlPr>
              <w:rPr>
                <w:rFonts w:ascii="Cambria Math" w:hAnsi="Cambria Math"/>
                <w:i/>
              </w:rPr>
            </m:ctrlPr>
          </m:sSubPr>
          <m:e>
            <m:r>
              <w:rPr>
                <w:rFonts w:ascii="Cambria Math" w:hAnsi="Cambria Math"/>
              </w:rPr>
              <m:t>σ</m:t>
            </m:r>
          </m:e>
          <m:sub>
            <m:r>
              <w:rPr>
                <w:rFonts w:ascii="Cambria Math" w:hAnsi="Cambria Math"/>
              </w:rPr>
              <m:t>biom</m:t>
            </m:r>
          </m:sub>
        </m:sSub>
      </m:oMath>
      <w:r>
        <w:t xml:space="preserve">) through synchrony and population variability (Supplementary Information 3, section 2.3.4). </w:t>
      </w:r>
    </w:p>
    <w:bookmarkEnd w:id="15"/>
    <w:p w14:paraId="07F1A838" w14:textId="77777777" w:rsidR="006800A6" w:rsidRDefault="006800A6"/>
    <w:p w14:paraId="40899D16" w14:textId="77777777" w:rsidR="000A5E99" w:rsidRDefault="000A5E99" w:rsidP="000A5E99">
      <w:pPr>
        <w:pStyle w:val="Heading1"/>
      </w:pPr>
      <w:r>
        <w:t>References</w:t>
      </w:r>
    </w:p>
    <w:p w14:paraId="11E0D613" w14:textId="77777777" w:rsidR="009C579B" w:rsidRPr="009C579B" w:rsidRDefault="00086E1B" w:rsidP="009C579B">
      <w:pPr>
        <w:pStyle w:val="Bibliography"/>
        <w:rPr>
          <w:rFonts w:eastAsiaTheme="minorEastAsia"/>
        </w:rPr>
      </w:pPr>
      <w:r>
        <w:rPr>
          <w:rFonts w:eastAsiaTheme="minorEastAsia"/>
        </w:rPr>
        <w:fldChar w:fldCharType="begin"/>
      </w:r>
      <w:r w:rsidR="00673929">
        <w:rPr>
          <w:rFonts w:eastAsiaTheme="minorEastAsia"/>
        </w:rPr>
        <w:instrText xml:space="preserve"> ADDIN ZOTERO_BIBL {"uncited":[],"omitted":[],"custom":[]} CSL_BIBLIOGRAPHY </w:instrText>
      </w:r>
      <w:r>
        <w:rPr>
          <w:rFonts w:eastAsiaTheme="minorEastAsia"/>
        </w:rPr>
        <w:fldChar w:fldCharType="separate"/>
      </w:r>
      <w:r w:rsidR="009C579B" w:rsidRPr="009C579B">
        <w:rPr>
          <w:rFonts w:eastAsiaTheme="minorEastAsia"/>
        </w:rPr>
        <w:t xml:space="preserve">Allesina, S. &amp; Tang, S. (2012). Stability criteria for complex ecosystems. </w:t>
      </w:r>
      <w:r w:rsidR="009C579B" w:rsidRPr="009C579B">
        <w:rPr>
          <w:rFonts w:eastAsiaTheme="minorEastAsia"/>
          <w:i/>
          <w:iCs/>
        </w:rPr>
        <w:t>Nature</w:t>
      </w:r>
      <w:r w:rsidR="009C579B" w:rsidRPr="009C579B">
        <w:rPr>
          <w:rFonts w:eastAsiaTheme="minorEastAsia"/>
        </w:rPr>
        <w:t>, 483, 205–208.</w:t>
      </w:r>
    </w:p>
    <w:p w14:paraId="798161E7" w14:textId="77777777" w:rsidR="009C579B" w:rsidRPr="009C579B" w:rsidRDefault="009C579B" w:rsidP="009C579B">
      <w:pPr>
        <w:pStyle w:val="Bibliography"/>
        <w:rPr>
          <w:rFonts w:eastAsiaTheme="minorEastAsia"/>
        </w:rPr>
      </w:pPr>
      <w:r w:rsidRPr="009C579B">
        <w:rPr>
          <w:rFonts w:eastAsiaTheme="minorEastAsia"/>
        </w:rPr>
        <w:t xml:space="preserve">Angilletta, M.J. (2006). Estimating and comparing thermal performance curves. </w:t>
      </w:r>
      <w:r w:rsidRPr="009C579B">
        <w:rPr>
          <w:rFonts w:eastAsiaTheme="minorEastAsia"/>
          <w:i/>
          <w:iCs/>
        </w:rPr>
        <w:t>J. Therm. Biol.</w:t>
      </w:r>
      <w:r w:rsidRPr="009C579B">
        <w:rPr>
          <w:rFonts w:eastAsiaTheme="minorEastAsia"/>
        </w:rPr>
        <w:t>, 31, 541–545.</w:t>
      </w:r>
    </w:p>
    <w:p w14:paraId="7395D44D" w14:textId="77777777" w:rsidR="009C579B" w:rsidRPr="009C579B" w:rsidRDefault="009C579B" w:rsidP="009C579B">
      <w:pPr>
        <w:pStyle w:val="Bibliography"/>
        <w:rPr>
          <w:rFonts w:eastAsiaTheme="minorEastAsia"/>
        </w:rPr>
      </w:pPr>
      <w:r w:rsidRPr="009C579B">
        <w:rPr>
          <w:rFonts w:eastAsiaTheme="minorEastAsia"/>
        </w:rPr>
        <w:t xml:space="preserve">Arnoldi, J.-F., Jackson, A.L., Peralta-Maraver, I. &amp; Payne, N.L. (2025). A universal thermal performance curve arises in biology and ecology. </w:t>
      </w:r>
      <w:r w:rsidRPr="009C579B">
        <w:rPr>
          <w:rFonts w:eastAsiaTheme="minorEastAsia"/>
          <w:i/>
          <w:iCs/>
        </w:rPr>
        <w:t>Proc. Natl. Acad. Sci.</w:t>
      </w:r>
      <w:r w:rsidRPr="009C579B">
        <w:rPr>
          <w:rFonts w:eastAsiaTheme="minorEastAsia"/>
        </w:rPr>
        <w:t>, 122, e2513099122.</w:t>
      </w:r>
    </w:p>
    <w:p w14:paraId="55FE71B4" w14:textId="77777777" w:rsidR="009C579B" w:rsidRPr="009C579B" w:rsidRDefault="009C579B" w:rsidP="009C579B">
      <w:pPr>
        <w:pStyle w:val="Bibliography"/>
        <w:rPr>
          <w:rFonts w:eastAsiaTheme="minorEastAsia"/>
        </w:rPr>
      </w:pPr>
      <w:r w:rsidRPr="009C579B">
        <w:rPr>
          <w:rFonts w:eastAsiaTheme="minorEastAsia"/>
        </w:rPr>
        <w:t xml:space="preserve">Danet, A., Kéfi, S., Johnson, T.F. &amp; Beckerman, A.P. (2025). Response diversity is a major driver of temporal stability in complex food webs. </w:t>
      </w:r>
      <w:r w:rsidRPr="009C579B">
        <w:rPr>
          <w:rFonts w:eastAsiaTheme="minorEastAsia"/>
          <w:i/>
          <w:iCs/>
        </w:rPr>
        <w:t>Proc. R. Soc. B Biol. Sci.</w:t>
      </w:r>
      <w:r w:rsidRPr="009C579B">
        <w:rPr>
          <w:rFonts w:eastAsiaTheme="minorEastAsia"/>
        </w:rPr>
        <w:t>, 292, 20250730.</w:t>
      </w:r>
    </w:p>
    <w:p w14:paraId="1D5CD73E" w14:textId="77777777" w:rsidR="009C579B" w:rsidRPr="009C579B" w:rsidRDefault="009C579B" w:rsidP="009C579B">
      <w:pPr>
        <w:pStyle w:val="Bibliography"/>
        <w:rPr>
          <w:rFonts w:eastAsiaTheme="minorEastAsia"/>
        </w:rPr>
      </w:pPr>
      <w:r w:rsidRPr="009C579B">
        <w:rPr>
          <w:rFonts w:eastAsiaTheme="minorEastAsia"/>
        </w:rPr>
        <w:t xml:space="preserve">Dell, A.I., Pawar, S. &amp; Savage, V.M. (2011). Systematic variation in the temperature dependence of physiological and ecological traits. </w:t>
      </w:r>
      <w:r w:rsidRPr="009C579B">
        <w:rPr>
          <w:rFonts w:eastAsiaTheme="minorEastAsia"/>
          <w:i/>
          <w:iCs/>
        </w:rPr>
        <w:t>Proc. Natl. Acad. Sci.</w:t>
      </w:r>
      <w:r w:rsidRPr="009C579B">
        <w:rPr>
          <w:rFonts w:eastAsiaTheme="minorEastAsia"/>
        </w:rPr>
        <w:t>, 108, 10591–10596.</w:t>
      </w:r>
    </w:p>
    <w:p w14:paraId="0DBA18A1" w14:textId="77777777" w:rsidR="009C579B" w:rsidRPr="009C579B" w:rsidRDefault="009C579B" w:rsidP="009C579B">
      <w:pPr>
        <w:pStyle w:val="Bibliography"/>
        <w:rPr>
          <w:rFonts w:eastAsiaTheme="minorEastAsia"/>
        </w:rPr>
      </w:pPr>
      <w:r w:rsidRPr="009C579B">
        <w:rPr>
          <w:rFonts w:eastAsiaTheme="minorEastAsia"/>
        </w:rPr>
        <w:t xml:space="preserve">Doak, D.F., Bigger, D., Harding, E.K., Marvier, M.A., O’Malley, R.E. &amp; Thomson, D. (1998). The Statistical Inevitability of Stability‐Diversity Relationships in Community Ecology. </w:t>
      </w:r>
      <w:r w:rsidRPr="009C579B">
        <w:rPr>
          <w:rFonts w:eastAsiaTheme="minorEastAsia"/>
          <w:i/>
          <w:iCs/>
        </w:rPr>
        <w:t>Am. Nat.</w:t>
      </w:r>
      <w:r w:rsidRPr="009C579B">
        <w:rPr>
          <w:rFonts w:eastAsiaTheme="minorEastAsia"/>
        </w:rPr>
        <w:t>, 151, 264–276.</w:t>
      </w:r>
    </w:p>
    <w:p w14:paraId="374F8752" w14:textId="77777777" w:rsidR="009C579B" w:rsidRPr="009C579B" w:rsidRDefault="009C579B" w:rsidP="009C579B">
      <w:pPr>
        <w:pStyle w:val="Bibliography"/>
        <w:rPr>
          <w:rFonts w:eastAsiaTheme="minorEastAsia"/>
        </w:rPr>
      </w:pPr>
      <w:r w:rsidRPr="009C579B">
        <w:rPr>
          <w:rFonts w:eastAsiaTheme="minorEastAsia"/>
        </w:rPr>
        <w:t xml:space="preserve">Dowd, W.W., King, F.A. &amp; Denny, M.W. (2015). Thermal variation, thermal extremes and the physiological performance of individuals. </w:t>
      </w:r>
      <w:r w:rsidRPr="009C579B">
        <w:rPr>
          <w:rFonts w:eastAsiaTheme="minorEastAsia"/>
          <w:i/>
          <w:iCs/>
        </w:rPr>
        <w:t>J. Exp. Biol.</w:t>
      </w:r>
      <w:r w:rsidRPr="009C579B">
        <w:rPr>
          <w:rFonts w:eastAsiaTheme="minorEastAsia"/>
        </w:rPr>
        <w:t>, 218, 1956–1967.</w:t>
      </w:r>
    </w:p>
    <w:p w14:paraId="01071C6D" w14:textId="77777777" w:rsidR="009C579B" w:rsidRPr="009C579B" w:rsidRDefault="009C579B" w:rsidP="009C579B">
      <w:pPr>
        <w:pStyle w:val="Bibliography"/>
        <w:rPr>
          <w:rFonts w:eastAsiaTheme="minorEastAsia"/>
        </w:rPr>
      </w:pPr>
      <w:r w:rsidRPr="009C579B">
        <w:rPr>
          <w:rFonts w:eastAsiaTheme="minorEastAsia"/>
        </w:rPr>
        <w:t>Duan, Q., Harcombe, W., Savage, V., Mustri, M., Smith, T.P. &amp; Pawar, S. (2025). A General Framework for Predicting the Temperature-Dependence of Microbial Interactions.</w:t>
      </w:r>
    </w:p>
    <w:p w14:paraId="08DA2797" w14:textId="77777777" w:rsidR="009C579B" w:rsidRPr="009C579B" w:rsidRDefault="009C579B" w:rsidP="009C579B">
      <w:pPr>
        <w:pStyle w:val="Bibliography"/>
        <w:rPr>
          <w:rFonts w:eastAsiaTheme="minorEastAsia"/>
        </w:rPr>
      </w:pPr>
      <w:r w:rsidRPr="009C579B">
        <w:rPr>
          <w:rFonts w:eastAsiaTheme="minorEastAsia"/>
        </w:rPr>
        <w:t xml:space="preserve">Elmqvist, T., Folke, C., Nyström, M., Peterson, G., Bengtsson, J., Walker, B., </w:t>
      </w:r>
      <w:r w:rsidRPr="009C579B">
        <w:rPr>
          <w:rFonts w:eastAsiaTheme="minorEastAsia"/>
          <w:i/>
          <w:iCs/>
        </w:rPr>
        <w:t>et al.</w:t>
      </w:r>
      <w:r w:rsidRPr="009C579B">
        <w:rPr>
          <w:rFonts w:eastAsiaTheme="minorEastAsia"/>
        </w:rPr>
        <w:t xml:space="preserve"> (2003). Response diversity, ecosystem change, and resilience. </w:t>
      </w:r>
      <w:r w:rsidRPr="009C579B">
        <w:rPr>
          <w:rFonts w:eastAsiaTheme="minorEastAsia"/>
          <w:i/>
          <w:iCs/>
        </w:rPr>
        <w:t>Front. Ecol. Environ.</w:t>
      </w:r>
      <w:r w:rsidRPr="009C579B">
        <w:rPr>
          <w:rFonts w:eastAsiaTheme="minorEastAsia"/>
        </w:rPr>
        <w:t>, 1, 488–494.</w:t>
      </w:r>
    </w:p>
    <w:p w14:paraId="342D82DB" w14:textId="77777777" w:rsidR="009C579B" w:rsidRPr="009C579B" w:rsidRDefault="009C579B" w:rsidP="009C579B">
      <w:pPr>
        <w:pStyle w:val="Bibliography"/>
        <w:rPr>
          <w:rFonts w:eastAsiaTheme="minorEastAsia"/>
        </w:rPr>
      </w:pPr>
      <w:r w:rsidRPr="009C579B">
        <w:rPr>
          <w:rFonts w:eastAsiaTheme="minorEastAsia"/>
        </w:rPr>
        <w:t xml:space="preserve">Fewster, R.M., Buckland, S.T., Siriwardena, G.M., Baillie, S.R. &amp; Wilson, J.D. (2000). Analysis of Population Trends for Farmland Birds Using Generalized Additive Models. </w:t>
      </w:r>
      <w:r w:rsidRPr="009C579B">
        <w:rPr>
          <w:rFonts w:eastAsiaTheme="minorEastAsia"/>
          <w:i/>
          <w:iCs/>
        </w:rPr>
        <w:t>Ecology</w:t>
      </w:r>
      <w:r w:rsidRPr="009C579B">
        <w:rPr>
          <w:rFonts w:eastAsiaTheme="minorEastAsia"/>
        </w:rPr>
        <w:t>, 81, 1970–1984.</w:t>
      </w:r>
    </w:p>
    <w:p w14:paraId="5101D6F9" w14:textId="77777777" w:rsidR="009C579B" w:rsidRPr="009C579B" w:rsidRDefault="009C579B" w:rsidP="009C579B">
      <w:pPr>
        <w:pStyle w:val="Bibliography"/>
        <w:rPr>
          <w:rFonts w:eastAsiaTheme="minorEastAsia"/>
        </w:rPr>
      </w:pPr>
      <w:r w:rsidRPr="009C579B">
        <w:rPr>
          <w:rFonts w:eastAsiaTheme="minorEastAsia"/>
        </w:rPr>
        <w:t>Gonzalez, A. &amp; Feo, O. (2007). Environmental Variability Modulates the Insurance Effects of Diversity in Non-equilibrium Communities. pp. 159–177.</w:t>
      </w:r>
    </w:p>
    <w:p w14:paraId="4EA0F49F" w14:textId="77777777" w:rsidR="009C579B" w:rsidRPr="009C579B" w:rsidRDefault="009C579B" w:rsidP="009C579B">
      <w:pPr>
        <w:pStyle w:val="Bibliography"/>
        <w:rPr>
          <w:rFonts w:eastAsiaTheme="minorEastAsia"/>
        </w:rPr>
      </w:pPr>
      <w:r w:rsidRPr="009C579B">
        <w:rPr>
          <w:rFonts w:eastAsiaTheme="minorEastAsia"/>
        </w:rPr>
        <w:lastRenderedPageBreak/>
        <w:t xml:space="preserve">Gonzalez, A. &amp; Loreau, M. (2009). The causes and consequences of compensatory dynamics in ecological communities. </w:t>
      </w:r>
      <w:r w:rsidRPr="009C579B">
        <w:rPr>
          <w:rFonts w:eastAsiaTheme="minorEastAsia"/>
          <w:i/>
          <w:iCs/>
        </w:rPr>
        <w:t>Annu. Rev. Ecol. Evol. Syst.</w:t>
      </w:r>
      <w:r w:rsidRPr="009C579B">
        <w:rPr>
          <w:rFonts w:eastAsiaTheme="minorEastAsia"/>
        </w:rPr>
        <w:t>, 40.</w:t>
      </w:r>
    </w:p>
    <w:p w14:paraId="0FD5580C" w14:textId="77777777" w:rsidR="009C579B" w:rsidRPr="009C579B" w:rsidRDefault="009C579B" w:rsidP="009C579B">
      <w:pPr>
        <w:pStyle w:val="Bibliography"/>
        <w:rPr>
          <w:rFonts w:eastAsiaTheme="minorEastAsia"/>
        </w:rPr>
      </w:pPr>
      <w:r w:rsidRPr="009C579B">
        <w:rPr>
          <w:rFonts w:eastAsiaTheme="minorEastAsia"/>
        </w:rPr>
        <w:t xml:space="preserve">Grilli, J., Rogers, T. &amp; Allesina, S. (2016). Modularity and stability in ecological communities. </w:t>
      </w:r>
      <w:r w:rsidRPr="009C579B">
        <w:rPr>
          <w:rFonts w:eastAsiaTheme="minorEastAsia"/>
          <w:i/>
          <w:iCs/>
        </w:rPr>
        <w:t>Nat. Commun.</w:t>
      </w:r>
      <w:r w:rsidRPr="009C579B">
        <w:rPr>
          <w:rFonts w:eastAsiaTheme="minorEastAsia"/>
        </w:rPr>
        <w:t>, 7.</w:t>
      </w:r>
    </w:p>
    <w:p w14:paraId="069F8780" w14:textId="77777777" w:rsidR="009C579B" w:rsidRPr="009C579B" w:rsidRDefault="009C579B" w:rsidP="009C579B">
      <w:pPr>
        <w:pStyle w:val="Bibliography"/>
        <w:rPr>
          <w:rFonts w:eastAsiaTheme="minorEastAsia"/>
        </w:rPr>
      </w:pPr>
      <w:r w:rsidRPr="009C579B">
        <w:rPr>
          <w:rFonts w:eastAsiaTheme="minorEastAsia"/>
        </w:rPr>
        <w:t xml:space="preserve">Huey, R.B. &amp; Kingsolver, J.G. (1989). Evolution of thermal sensitivity of ectotherm performance. </w:t>
      </w:r>
      <w:r w:rsidRPr="009C579B">
        <w:rPr>
          <w:rFonts w:eastAsiaTheme="minorEastAsia"/>
          <w:i/>
          <w:iCs/>
        </w:rPr>
        <w:t>Trends Ecol. Evol.</w:t>
      </w:r>
      <w:r w:rsidRPr="009C579B">
        <w:rPr>
          <w:rFonts w:eastAsiaTheme="minorEastAsia"/>
        </w:rPr>
        <w:t>, 4, 131–135.</w:t>
      </w:r>
    </w:p>
    <w:p w14:paraId="311DE363" w14:textId="77777777" w:rsidR="009C579B" w:rsidRPr="009C579B" w:rsidRDefault="009C579B" w:rsidP="009C579B">
      <w:pPr>
        <w:pStyle w:val="Bibliography"/>
        <w:rPr>
          <w:rFonts w:eastAsiaTheme="minorEastAsia"/>
        </w:rPr>
      </w:pPr>
      <w:r w:rsidRPr="009C579B">
        <w:rPr>
          <w:rFonts w:eastAsiaTheme="minorEastAsia"/>
        </w:rPr>
        <w:t xml:space="preserve">Hughes, J.B. &amp; Roughgarden, J. (1998). Aggregate community properties and the strength of species’ interactions. </w:t>
      </w:r>
      <w:r w:rsidRPr="009C579B">
        <w:rPr>
          <w:rFonts w:eastAsiaTheme="minorEastAsia"/>
          <w:i/>
          <w:iCs/>
        </w:rPr>
        <w:t>Proc. Natl. Acad. Sci.</w:t>
      </w:r>
      <w:r w:rsidRPr="009C579B">
        <w:rPr>
          <w:rFonts w:eastAsiaTheme="minorEastAsia"/>
        </w:rPr>
        <w:t>, 95, 6837–6842.</w:t>
      </w:r>
    </w:p>
    <w:p w14:paraId="62A9150B" w14:textId="77777777" w:rsidR="009C579B" w:rsidRPr="009C579B" w:rsidRDefault="009C579B" w:rsidP="009C579B">
      <w:pPr>
        <w:pStyle w:val="Bibliography"/>
        <w:rPr>
          <w:rFonts w:eastAsiaTheme="minorEastAsia"/>
        </w:rPr>
      </w:pPr>
      <w:r w:rsidRPr="009C579B">
        <w:rPr>
          <w:rFonts w:eastAsiaTheme="minorEastAsia"/>
        </w:rPr>
        <w:t xml:space="preserve">Isbell, F., Craven, D., Connolly, J., Loreau, M., Schmid, B., Beierkuhnlein, C., </w:t>
      </w:r>
      <w:r w:rsidRPr="009C579B">
        <w:rPr>
          <w:rFonts w:eastAsiaTheme="minorEastAsia"/>
          <w:i/>
          <w:iCs/>
        </w:rPr>
        <w:t>et al.</w:t>
      </w:r>
      <w:r w:rsidRPr="009C579B">
        <w:rPr>
          <w:rFonts w:eastAsiaTheme="minorEastAsia"/>
        </w:rPr>
        <w:t xml:space="preserve"> (2015). Biodiversity increases the resistance of ecosystem productivity to climate extremes. </w:t>
      </w:r>
      <w:r w:rsidRPr="009C579B">
        <w:rPr>
          <w:rFonts w:eastAsiaTheme="minorEastAsia"/>
          <w:i/>
          <w:iCs/>
        </w:rPr>
        <w:t>Nature</w:t>
      </w:r>
      <w:r w:rsidRPr="009C579B">
        <w:rPr>
          <w:rFonts w:eastAsiaTheme="minorEastAsia"/>
        </w:rPr>
        <w:t>, 526, 574–577.</w:t>
      </w:r>
    </w:p>
    <w:p w14:paraId="0B993D29" w14:textId="77777777" w:rsidR="009C579B" w:rsidRPr="009C579B" w:rsidRDefault="009C579B" w:rsidP="009C579B">
      <w:pPr>
        <w:pStyle w:val="Bibliography"/>
        <w:rPr>
          <w:rFonts w:eastAsiaTheme="minorEastAsia"/>
        </w:rPr>
      </w:pPr>
      <w:r w:rsidRPr="009C579B">
        <w:rPr>
          <w:rFonts w:eastAsiaTheme="minorEastAsia"/>
        </w:rPr>
        <w:t xml:space="preserve">Isbell, F., Mori, A.S., Loreau, M., Reich, P.B., Tilman, D., Anderson, M.I., </w:t>
      </w:r>
      <w:r w:rsidRPr="009C579B">
        <w:rPr>
          <w:rFonts w:eastAsiaTheme="minorEastAsia"/>
          <w:i/>
          <w:iCs/>
        </w:rPr>
        <w:t>et al.</w:t>
      </w:r>
      <w:r w:rsidRPr="009C579B">
        <w:rPr>
          <w:rFonts w:eastAsiaTheme="minorEastAsia"/>
        </w:rPr>
        <w:t xml:space="preserve"> (2026). Predicting temporal stability and resilience from resistance and recovery. </w:t>
      </w:r>
      <w:r w:rsidRPr="009C579B">
        <w:rPr>
          <w:rFonts w:eastAsiaTheme="minorEastAsia"/>
          <w:i/>
          <w:iCs/>
        </w:rPr>
        <w:t>Nature</w:t>
      </w:r>
      <w:r w:rsidRPr="009C579B">
        <w:rPr>
          <w:rFonts w:eastAsiaTheme="minorEastAsia"/>
        </w:rPr>
        <w:t>, 1–7.</w:t>
      </w:r>
    </w:p>
    <w:p w14:paraId="10CC1288" w14:textId="77777777" w:rsidR="009C579B" w:rsidRPr="009C579B" w:rsidRDefault="009C579B" w:rsidP="009C579B">
      <w:pPr>
        <w:pStyle w:val="Bibliography"/>
        <w:rPr>
          <w:rFonts w:eastAsiaTheme="minorEastAsia"/>
        </w:rPr>
      </w:pPr>
      <w:r w:rsidRPr="009C579B">
        <w:rPr>
          <w:rFonts w:eastAsiaTheme="minorEastAsia"/>
        </w:rPr>
        <w:t xml:space="preserve">Ives, A.R., Gross, K. &amp; Klug, J.L. (1999). Stability and variability in competitive communities. </w:t>
      </w:r>
      <w:r w:rsidRPr="009C579B">
        <w:rPr>
          <w:rFonts w:eastAsiaTheme="minorEastAsia"/>
          <w:i/>
          <w:iCs/>
        </w:rPr>
        <w:t>Science</w:t>
      </w:r>
      <w:r w:rsidRPr="009C579B">
        <w:rPr>
          <w:rFonts w:eastAsiaTheme="minorEastAsia"/>
        </w:rPr>
        <w:t>, 286.</w:t>
      </w:r>
    </w:p>
    <w:p w14:paraId="7FEFAD90" w14:textId="77777777" w:rsidR="009C579B" w:rsidRPr="009C579B" w:rsidRDefault="009C579B" w:rsidP="009C579B">
      <w:pPr>
        <w:pStyle w:val="Bibliography"/>
        <w:rPr>
          <w:rFonts w:eastAsiaTheme="minorEastAsia"/>
          <w:lang w:val="de-CH"/>
        </w:rPr>
      </w:pPr>
      <w:r w:rsidRPr="009C579B">
        <w:rPr>
          <w:rFonts w:eastAsiaTheme="minorEastAsia"/>
        </w:rPr>
        <w:t xml:space="preserve">L.  Lehman, C. &amp; Tilman, D. (2000). Biodiversity, Stability, and Productivity in Competitive Communities. </w:t>
      </w:r>
      <w:r w:rsidRPr="009C579B">
        <w:rPr>
          <w:rFonts w:eastAsiaTheme="minorEastAsia"/>
          <w:i/>
          <w:iCs/>
          <w:lang w:val="de-CH"/>
        </w:rPr>
        <w:t>Am. Nat.</w:t>
      </w:r>
    </w:p>
    <w:p w14:paraId="28E27C6D" w14:textId="77777777" w:rsidR="009C579B" w:rsidRPr="009C579B" w:rsidRDefault="009C579B" w:rsidP="009C579B">
      <w:pPr>
        <w:pStyle w:val="Bibliography"/>
        <w:rPr>
          <w:rFonts w:eastAsiaTheme="minorEastAsia"/>
        </w:rPr>
      </w:pPr>
      <w:r w:rsidRPr="009C579B">
        <w:rPr>
          <w:rFonts w:eastAsiaTheme="minorEastAsia"/>
          <w:lang w:val="de-CH"/>
        </w:rPr>
        <w:t xml:space="preserve">Limberger, R., Daugaard, U., Choffat, Y., Gupta, A., Jelić, M., Jyrkinen, S., </w:t>
      </w:r>
      <w:r w:rsidRPr="009C579B">
        <w:rPr>
          <w:rFonts w:eastAsiaTheme="minorEastAsia"/>
          <w:i/>
          <w:iCs/>
          <w:lang w:val="de-CH"/>
        </w:rPr>
        <w:t>et al.</w:t>
      </w:r>
      <w:r w:rsidRPr="009C579B">
        <w:rPr>
          <w:rFonts w:eastAsiaTheme="minorEastAsia"/>
          <w:lang w:val="de-CH"/>
        </w:rPr>
        <w:t xml:space="preserve"> </w:t>
      </w:r>
      <w:r w:rsidRPr="009C579B">
        <w:rPr>
          <w:rFonts w:eastAsiaTheme="minorEastAsia"/>
        </w:rPr>
        <w:t xml:space="preserve">(2025). Mixed Evidence for Species Diversity Affecting Ecological Forecasts in Constant Versus Declining Light. </w:t>
      </w:r>
      <w:r w:rsidRPr="009C579B">
        <w:rPr>
          <w:rFonts w:eastAsiaTheme="minorEastAsia"/>
          <w:i/>
          <w:iCs/>
        </w:rPr>
        <w:t>Glob. Change Biol.</w:t>
      </w:r>
      <w:r w:rsidRPr="009C579B">
        <w:rPr>
          <w:rFonts w:eastAsiaTheme="minorEastAsia"/>
        </w:rPr>
        <w:t>, 31, e70364.</w:t>
      </w:r>
    </w:p>
    <w:p w14:paraId="13CC38E4" w14:textId="77777777" w:rsidR="009C579B" w:rsidRPr="009C579B" w:rsidRDefault="009C579B" w:rsidP="009C579B">
      <w:pPr>
        <w:pStyle w:val="Bibliography"/>
        <w:rPr>
          <w:rFonts w:eastAsiaTheme="minorEastAsia"/>
        </w:rPr>
      </w:pPr>
      <w:r w:rsidRPr="009C579B">
        <w:rPr>
          <w:rFonts w:eastAsiaTheme="minorEastAsia"/>
        </w:rPr>
        <w:t xml:space="preserve">Loreau, M. &amp; de Mazancourt, C. (2008). Species Synchrony and Its Drivers: Neutral and Nonneutral Community Dynamics in Fluctuating Environments. </w:t>
      </w:r>
      <w:r w:rsidRPr="009C579B">
        <w:rPr>
          <w:rFonts w:eastAsiaTheme="minorEastAsia"/>
          <w:i/>
          <w:iCs/>
        </w:rPr>
        <w:t>Am. Nat.</w:t>
      </w:r>
      <w:r w:rsidRPr="009C579B">
        <w:rPr>
          <w:rFonts w:eastAsiaTheme="minorEastAsia"/>
        </w:rPr>
        <w:t>, 172, E48–E66.</w:t>
      </w:r>
    </w:p>
    <w:p w14:paraId="1CAF4DC2" w14:textId="77777777" w:rsidR="009C579B" w:rsidRPr="009C579B" w:rsidRDefault="009C579B" w:rsidP="009C579B">
      <w:pPr>
        <w:pStyle w:val="Bibliography"/>
        <w:rPr>
          <w:rFonts w:eastAsiaTheme="minorEastAsia"/>
        </w:rPr>
      </w:pPr>
      <w:r w:rsidRPr="009C579B">
        <w:rPr>
          <w:rFonts w:eastAsiaTheme="minorEastAsia"/>
        </w:rPr>
        <w:t xml:space="preserve">Loreau, M. &amp; de Mazancourt, C. (2013). Biodiversity and ecosystem stability: A synthesis of underlying mechanisms. </w:t>
      </w:r>
      <w:r w:rsidRPr="009C579B">
        <w:rPr>
          <w:rFonts w:eastAsiaTheme="minorEastAsia"/>
          <w:i/>
          <w:iCs/>
        </w:rPr>
        <w:t>Ecol. Lett.</w:t>
      </w:r>
      <w:r w:rsidRPr="009C579B">
        <w:rPr>
          <w:rFonts w:eastAsiaTheme="minorEastAsia"/>
        </w:rPr>
        <w:t>, 16, 106–115.</w:t>
      </w:r>
    </w:p>
    <w:p w14:paraId="0C46D788" w14:textId="77777777" w:rsidR="009C579B" w:rsidRPr="009C579B" w:rsidRDefault="009C579B" w:rsidP="009C579B">
      <w:pPr>
        <w:pStyle w:val="Bibliography"/>
        <w:rPr>
          <w:rFonts w:eastAsiaTheme="minorEastAsia"/>
        </w:rPr>
      </w:pPr>
      <w:r w:rsidRPr="009C579B">
        <w:rPr>
          <w:rFonts w:eastAsiaTheme="minorEastAsia"/>
        </w:rPr>
        <w:t xml:space="preserve">May, R.M. (1973). Stability and complexity in model ecosystems. </w:t>
      </w:r>
      <w:r w:rsidRPr="009C579B">
        <w:rPr>
          <w:rFonts w:eastAsiaTheme="minorEastAsia"/>
          <w:i/>
          <w:iCs/>
        </w:rPr>
        <w:t>Monogr. Popul. Biol.</w:t>
      </w:r>
      <w:r w:rsidRPr="009C579B">
        <w:rPr>
          <w:rFonts w:eastAsiaTheme="minorEastAsia"/>
        </w:rPr>
        <w:t>, 6.</w:t>
      </w:r>
    </w:p>
    <w:p w14:paraId="14C73DE6" w14:textId="77777777" w:rsidR="009C579B" w:rsidRPr="009C579B" w:rsidRDefault="009C579B" w:rsidP="009C579B">
      <w:pPr>
        <w:pStyle w:val="Bibliography"/>
        <w:rPr>
          <w:rFonts w:eastAsiaTheme="minorEastAsia"/>
        </w:rPr>
      </w:pPr>
      <w:r w:rsidRPr="009C579B">
        <w:rPr>
          <w:rFonts w:eastAsiaTheme="minorEastAsia"/>
        </w:rPr>
        <w:t xml:space="preserve">de Mazancourt, C., Isbell, F., Larocque, A., Berendse, F., De Luca, E., Grace, J.B., </w:t>
      </w:r>
      <w:r w:rsidRPr="009C579B">
        <w:rPr>
          <w:rFonts w:eastAsiaTheme="minorEastAsia"/>
          <w:i/>
          <w:iCs/>
        </w:rPr>
        <w:t>et al.</w:t>
      </w:r>
      <w:r w:rsidRPr="009C579B">
        <w:rPr>
          <w:rFonts w:eastAsiaTheme="minorEastAsia"/>
        </w:rPr>
        <w:t xml:space="preserve"> (2013). Predicting ecosystem stability from community composition and biodiversity. </w:t>
      </w:r>
      <w:r w:rsidRPr="009C579B">
        <w:rPr>
          <w:rFonts w:eastAsiaTheme="minorEastAsia"/>
          <w:i/>
          <w:iCs/>
        </w:rPr>
        <w:t>Ecol. Lett.</w:t>
      </w:r>
      <w:r w:rsidRPr="009C579B">
        <w:rPr>
          <w:rFonts w:eastAsiaTheme="minorEastAsia"/>
        </w:rPr>
        <w:t>, 16, 617–625.</w:t>
      </w:r>
    </w:p>
    <w:p w14:paraId="3A9E4A97" w14:textId="77777777" w:rsidR="009C579B" w:rsidRPr="009C579B" w:rsidRDefault="009C579B" w:rsidP="009C579B">
      <w:pPr>
        <w:pStyle w:val="Bibliography"/>
        <w:rPr>
          <w:rFonts w:eastAsiaTheme="minorEastAsia"/>
          <w:lang w:val="de-CH"/>
        </w:rPr>
      </w:pPr>
      <w:r w:rsidRPr="009C579B">
        <w:rPr>
          <w:rFonts w:eastAsiaTheme="minorEastAsia"/>
        </w:rPr>
        <w:t xml:space="preserve">McCann, K., Hastings, A. &amp; Huxel, G.R. (1998). Weak trophic interactions and the balance of nature. </w:t>
      </w:r>
      <w:r w:rsidRPr="009C579B">
        <w:rPr>
          <w:rFonts w:eastAsiaTheme="minorEastAsia"/>
          <w:i/>
          <w:iCs/>
          <w:lang w:val="de-CH"/>
        </w:rPr>
        <w:t>Nature</w:t>
      </w:r>
      <w:r w:rsidRPr="009C579B">
        <w:rPr>
          <w:rFonts w:eastAsiaTheme="minorEastAsia"/>
          <w:lang w:val="de-CH"/>
        </w:rPr>
        <w:t>, 395.</w:t>
      </w:r>
    </w:p>
    <w:p w14:paraId="65A058DF" w14:textId="77777777" w:rsidR="009C579B" w:rsidRPr="009C579B" w:rsidRDefault="009C579B" w:rsidP="009C579B">
      <w:pPr>
        <w:pStyle w:val="Bibliography"/>
        <w:rPr>
          <w:rFonts w:eastAsiaTheme="minorEastAsia"/>
        </w:rPr>
      </w:pPr>
      <w:r w:rsidRPr="009C579B">
        <w:rPr>
          <w:rFonts w:eastAsiaTheme="minorEastAsia"/>
          <w:lang w:val="de-CH"/>
        </w:rPr>
        <w:t xml:space="preserve">Meng, B., Luo, M., Loreau, M., Hong, P., Craven, D., Eisenhauer, N., </w:t>
      </w:r>
      <w:r w:rsidRPr="009C579B">
        <w:rPr>
          <w:rFonts w:eastAsiaTheme="minorEastAsia"/>
          <w:i/>
          <w:iCs/>
          <w:lang w:val="de-CH"/>
        </w:rPr>
        <w:t>et al.</w:t>
      </w:r>
      <w:r w:rsidRPr="009C579B">
        <w:rPr>
          <w:rFonts w:eastAsiaTheme="minorEastAsia"/>
          <w:lang w:val="de-CH"/>
        </w:rPr>
        <w:t xml:space="preserve"> </w:t>
      </w:r>
      <w:r w:rsidRPr="009C579B">
        <w:rPr>
          <w:rFonts w:eastAsiaTheme="minorEastAsia"/>
        </w:rPr>
        <w:t xml:space="preserve">(2025). Stabilizing effects of biodiversity arise from species-specific dynamics rather than interspecific interactions in grasslands. </w:t>
      </w:r>
      <w:r w:rsidRPr="009C579B">
        <w:rPr>
          <w:rFonts w:eastAsiaTheme="minorEastAsia"/>
          <w:i/>
          <w:iCs/>
        </w:rPr>
        <w:t>Nat. Ecol. Evol.</w:t>
      </w:r>
      <w:r w:rsidRPr="009C579B">
        <w:rPr>
          <w:rFonts w:eastAsiaTheme="minorEastAsia"/>
        </w:rPr>
        <w:t>, 1–11.</w:t>
      </w:r>
    </w:p>
    <w:p w14:paraId="537E50EE" w14:textId="77777777" w:rsidR="009C579B" w:rsidRPr="009C579B" w:rsidRDefault="009C579B" w:rsidP="009C579B">
      <w:pPr>
        <w:pStyle w:val="Bibliography"/>
        <w:rPr>
          <w:rFonts w:eastAsiaTheme="minorEastAsia"/>
          <w:lang w:val="de-CH"/>
        </w:rPr>
      </w:pPr>
      <w:r w:rsidRPr="009C579B">
        <w:rPr>
          <w:rFonts w:eastAsiaTheme="minorEastAsia"/>
        </w:rPr>
        <w:t xml:space="preserve">Mori, A.S., Furukawa, T. &amp; Sasaki, T. (2013). Response diversity determines the resilience of ecosystems to environmental change. </w:t>
      </w:r>
      <w:r w:rsidRPr="009C579B">
        <w:rPr>
          <w:rFonts w:eastAsiaTheme="minorEastAsia"/>
          <w:i/>
          <w:iCs/>
          <w:lang w:val="de-CH"/>
        </w:rPr>
        <w:t>Biol. Rev.</w:t>
      </w:r>
      <w:r w:rsidRPr="009C579B">
        <w:rPr>
          <w:rFonts w:eastAsiaTheme="minorEastAsia"/>
          <w:lang w:val="de-CH"/>
        </w:rPr>
        <w:t>, 88, 349–364.</w:t>
      </w:r>
    </w:p>
    <w:p w14:paraId="2FF3A636" w14:textId="77777777" w:rsidR="009C579B" w:rsidRPr="009C579B" w:rsidRDefault="009C579B" w:rsidP="009C579B">
      <w:pPr>
        <w:pStyle w:val="Bibliography"/>
        <w:rPr>
          <w:rFonts w:eastAsiaTheme="minorEastAsia"/>
        </w:rPr>
      </w:pPr>
      <w:r w:rsidRPr="009C579B">
        <w:rPr>
          <w:rFonts w:eastAsiaTheme="minorEastAsia"/>
          <w:lang w:val="de-CH"/>
        </w:rPr>
        <w:t xml:space="preserve">Ntetsika, P., Eyring, S., Merz, E., Reyes, M., Käch, B., Munch, S.B., </w:t>
      </w:r>
      <w:r w:rsidRPr="009C579B">
        <w:rPr>
          <w:rFonts w:eastAsiaTheme="minorEastAsia"/>
          <w:i/>
          <w:iCs/>
          <w:lang w:val="de-CH"/>
        </w:rPr>
        <w:t>et al.</w:t>
      </w:r>
      <w:r w:rsidRPr="009C579B">
        <w:rPr>
          <w:rFonts w:eastAsiaTheme="minorEastAsia"/>
          <w:lang w:val="de-CH"/>
        </w:rPr>
        <w:t xml:space="preserve"> </w:t>
      </w:r>
      <w:r w:rsidRPr="009C579B">
        <w:rPr>
          <w:rFonts w:eastAsiaTheme="minorEastAsia"/>
        </w:rPr>
        <w:t xml:space="preserve">(2026). Biotic interactions shape the realized niche of toxic cyanobacteria. </w:t>
      </w:r>
      <w:r w:rsidRPr="009C579B">
        <w:rPr>
          <w:rFonts w:eastAsiaTheme="minorEastAsia"/>
          <w:i/>
          <w:iCs/>
        </w:rPr>
        <w:t>Nat. Ecol. Evol.</w:t>
      </w:r>
      <w:r w:rsidRPr="009C579B">
        <w:rPr>
          <w:rFonts w:eastAsiaTheme="minorEastAsia"/>
        </w:rPr>
        <w:t>, 1–15.</w:t>
      </w:r>
    </w:p>
    <w:p w14:paraId="313C20BD" w14:textId="77777777" w:rsidR="009C579B" w:rsidRPr="009C579B" w:rsidRDefault="009C579B" w:rsidP="009C579B">
      <w:pPr>
        <w:pStyle w:val="Bibliography"/>
        <w:rPr>
          <w:rFonts w:eastAsiaTheme="minorEastAsia"/>
        </w:rPr>
      </w:pPr>
      <w:r w:rsidRPr="009C579B">
        <w:rPr>
          <w:rFonts w:eastAsiaTheme="minorEastAsia"/>
        </w:rPr>
        <w:t xml:space="preserve">Pennekamp, F., Griffiths, J.I., Fronhofer, E.A., Garnier, A., Seymour, M., Altermatt, F., </w:t>
      </w:r>
      <w:r w:rsidRPr="009C579B">
        <w:rPr>
          <w:rFonts w:eastAsiaTheme="minorEastAsia"/>
          <w:i/>
          <w:iCs/>
        </w:rPr>
        <w:t>et al.</w:t>
      </w:r>
      <w:r w:rsidRPr="009C579B">
        <w:rPr>
          <w:rFonts w:eastAsiaTheme="minorEastAsia"/>
        </w:rPr>
        <w:t xml:space="preserve"> (2017). Dynamic species classification of microorganisms across time, abiotic and biotic environmentsηA sliding window approach. </w:t>
      </w:r>
      <w:r w:rsidRPr="009C579B">
        <w:rPr>
          <w:rFonts w:eastAsiaTheme="minorEastAsia"/>
          <w:i/>
          <w:iCs/>
        </w:rPr>
        <w:t>PLoS ONE</w:t>
      </w:r>
      <w:r w:rsidRPr="009C579B">
        <w:rPr>
          <w:rFonts w:eastAsiaTheme="minorEastAsia"/>
        </w:rPr>
        <w:t>, 12.</w:t>
      </w:r>
    </w:p>
    <w:p w14:paraId="6AC0B232" w14:textId="77777777" w:rsidR="009C579B" w:rsidRPr="009C579B" w:rsidRDefault="009C579B" w:rsidP="009C579B">
      <w:pPr>
        <w:pStyle w:val="Bibliography"/>
        <w:rPr>
          <w:rFonts w:eastAsiaTheme="minorEastAsia"/>
        </w:rPr>
      </w:pPr>
      <w:r w:rsidRPr="009C579B">
        <w:rPr>
          <w:rFonts w:eastAsiaTheme="minorEastAsia"/>
        </w:rPr>
        <w:t xml:space="preserve">Pennekamp, F., Pontarp, M., Tabi, A., Altermatt, F., Alther, R., Choffat, Y., </w:t>
      </w:r>
      <w:r w:rsidRPr="009C579B">
        <w:rPr>
          <w:rFonts w:eastAsiaTheme="minorEastAsia"/>
          <w:i/>
          <w:iCs/>
        </w:rPr>
        <w:t>et al.</w:t>
      </w:r>
      <w:r w:rsidRPr="009C579B">
        <w:rPr>
          <w:rFonts w:eastAsiaTheme="minorEastAsia"/>
        </w:rPr>
        <w:t xml:space="preserve"> (2018). Biodiversity increases and decreases ecosystem stability. </w:t>
      </w:r>
      <w:r w:rsidRPr="009C579B">
        <w:rPr>
          <w:rFonts w:eastAsiaTheme="minorEastAsia"/>
          <w:i/>
          <w:iCs/>
        </w:rPr>
        <w:t>Nature</w:t>
      </w:r>
      <w:r w:rsidRPr="009C579B">
        <w:rPr>
          <w:rFonts w:eastAsiaTheme="minorEastAsia"/>
        </w:rPr>
        <w:t>, 563, 109–112.</w:t>
      </w:r>
    </w:p>
    <w:p w14:paraId="7D812990" w14:textId="77777777" w:rsidR="009C579B" w:rsidRPr="009C579B" w:rsidRDefault="009C579B" w:rsidP="009C579B">
      <w:pPr>
        <w:pStyle w:val="Bibliography"/>
        <w:rPr>
          <w:rFonts w:eastAsiaTheme="minorEastAsia"/>
        </w:rPr>
      </w:pPr>
      <w:r w:rsidRPr="009C579B">
        <w:rPr>
          <w:rFonts w:eastAsiaTheme="minorEastAsia"/>
        </w:rPr>
        <w:t xml:space="preserve">Pennekamp, F., Schtickzelle, N. &amp; Petchey, O.L. (2015). BEMOVI, software for extracting behavior and morphology from videos, illustrated with analyses of microbes. </w:t>
      </w:r>
      <w:r w:rsidRPr="009C579B">
        <w:rPr>
          <w:rFonts w:eastAsiaTheme="minorEastAsia"/>
          <w:i/>
          <w:iCs/>
        </w:rPr>
        <w:t>Ecol. Evol.</w:t>
      </w:r>
      <w:r w:rsidRPr="009C579B">
        <w:rPr>
          <w:rFonts w:eastAsiaTheme="minorEastAsia"/>
        </w:rPr>
        <w:t>, 5.</w:t>
      </w:r>
    </w:p>
    <w:p w14:paraId="5F246DC0" w14:textId="77777777" w:rsidR="009C579B" w:rsidRPr="009C579B" w:rsidRDefault="009C579B" w:rsidP="009C579B">
      <w:pPr>
        <w:pStyle w:val="Bibliography"/>
        <w:rPr>
          <w:rFonts w:eastAsiaTheme="minorEastAsia"/>
        </w:rPr>
      </w:pPr>
      <w:r w:rsidRPr="009C579B">
        <w:rPr>
          <w:rFonts w:eastAsiaTheme="minorEastAsia"/>
        </w:rPr>
        <w:t xml:space="preserve">Polazzo, F., Hämmig, T., Petchey, O.L. &amp; Pennekamp, F. (2025). The Imbalance of Nature: The Role of Species Environmental Responses for Community Stability. </w:t>
      </w:r>
      <w:r w:rsidRPr="009C579B">
        <w:rPr>
          <w:rFonts w:eastAsiaTheme="minorEastAsia"/>
          <w:i/>
          <w:iCs/>
        </w:rPr>
        <w:t>Ecol. Lett.</w:t>
      </w:r>
      <w:r w:rsidRPr="009C579B">
        <w:rPr>
          <w:rFonts w:eastAsiaTheme="minorEastAsia"/>
        </w:rPr>
        <w:t>, 28, e70224.</w:t>
      </w:r>
    </w:p>
    <w:p w14:paraId="139342EF" w14:textId="77777777" w:rsidR="009C579B" w:rsidRPr="009C579B" w:rsidRDefault="009C579B" w:rsidP="009C579B">
      <w:pPr>
        <w:pStyle w:val="Bibliography"/>
        <w:rPr>
          <w:rFonts w:eastAsiaTheme="minorEastAsia"/>
        </w:rPr>
      </w:pPr>
      <w:r w:rsidRPr="009C579B">
        <w:rPr>
          <w:rFonts w:eastAsiaTheme="minorEastAsia"/>
        </w:rPr>
        <w:t xml:space="preserve">Ross, S.R.P.-J., Barros, C., Dee, L.E., Fowler, M.S., Petchey, O.L., Sasaki, T., </w:t>
      </w:r>
      <w:r w:rsidRPr="009C579B">
        <w:rPr>
          <w:rFonts w:eastAsiaTheme="minorEastAsia"/>
          <w:i/>
          <w:iCs/>
        </w:rPr>
        <w:t>et al.</w:t>
      </w:r>
      <w:r w:rsidRPr="009C579B">
        <w:rPr>
          <w:rFonts w:eastAsiaTheme="minorEastAsia"/>
        </w:rPr>
        <w:t xml:space="preserve"> (2026). Expert-led priorities for a response diversity research agenda in ecology. </w:t>
      </w:r>
      <w:r w:rsidRPr="009C579B">
        <w:rPr>
          <w:rFonts w:eastAsiaTheme="minorEastAsia"/>
          <w:i/>
          <w:iCs/>
        </w:rPr>
        <w:t>Oikos</w:t>
      </w:r>
      <w:r w:rsidRPr="009C579B">
        <w:rPr>
          <w:rFonts w:eastAsiaTheme="minorEastAsia"/>
        </w:rPr>
        <w:t>, e11358.</w:t>
      </w:r>
    </w:p>
    <w:p w14:paraId="137B78AF" w14:textId="77777777" w:rsidR="009C579B" w:rsidRPr="009C579B" w:rsidRDefault="009C579B" w:rsidP="009C579B">
      <w:pPr>
        <w:pStyle w:val="Bibliography"/>
        <w:rPr>
          <w:rFonts w:eastAsiaTheme="minorEastAsia"/>
        </w:rPr>
      </w:pPr>
      <w:r w:rsidRPr="009C579B">
        <w:rPr>
          <w:rFonts w:eastAsiaTheme="minorEastAsia"/>
        </w:rPr>
        <w:t xml:space="preserve">Ruel, J.J. &amp; Ayres, M.P. (1999). Jensen’s inequality predicts effects of environmental variation. </w:t>
      </w:r>
      <w:r w:rsidRPr="009C579B">
        <w:rPr>
          <w:rFonts w:eastAsiaTheme="minorEastAsia"/>
          <w:i/>
          <w:iCs/>
        </w:rPr>
        <w:t>Trends Ecol. Evol.</w:t>
      </w:r>
      <w:r w:rsidRPr="009C579B">
        <w:rPr>
          <w:rFonts w:eastAsiaTheme="minorEastAsia"/>
        </w:rPr>
        <w:t>, 14.</w:t>
      </w:r>
    </w:p>
    <w:p w14:paraId="02D18B59" w14:textId="77777777" w:rsidR="009C579B" w:rsidRPr="009C579B" w:rsidRDefault="009C579B" w:rsidP="009C579B">
      <w:pPr>
        <w:pStyle w:val="Bibliography"/>
        <w:rPr>
          <w:rFonts w:eastAsiaTheme="minorEastAsia"/>
        </w:rPr>
      </w:pPr>
      <w:r w:rsidRPr="009C579B">
        <w:rPr>
          <w:rFonts w:eastAsiaTheme="minorEastAsia"/>
        </w:rPr>
        <w:t xml:space="preserve">Ruiz-Moreno, A., Emslie, M.J. &amp; Connolly, S.R. (2024). High response diversity and conspecific density-dependence, not species interactions, drive dynamics of coral reef fish communities. </w:t>
      </w:r>
      <w:r w:rsidRPr="009C579B">
        <w:rPr>
          <w:rFonts w:eastAsiaTheme="minorEastAsia"/>
          <w:i/>
          <w:iCs/>
        </w:rPr>
        <w:t>Ecol. Lett.</w:t>
      </w:r>
      <w:r w:rsidRPr="009C579B">
        <w:rPr>
          <w:rFonts w:eastAsiaTheme="minorEastAsia"/>
        </w:rPr>
        <w:t>, 27, e14424.</w:t>
      </w:r>
    </w:p>
    <w:p w14:paraId="3BDB8A88" w14:textId="77777777" w:rsidR="009C579B" w:rsidRPr="009C579B" w:rsidRDefault="009C579B" w:rsidP="009C579B">
      <w:pPr>
        <w:pStyle w:val="Bibliography"/>
        <w:rPr>
          <w:rFonts w:eastAsiaTheme="minorEastAsia"/>
        </w:rPr>
      </w:pPr>
      <w:r w:rsidRPr="009C579B">
        <w:rPr>
          <w:rFonts w:eastAsiaTheme="minorEastAsia"/>
        </w:rPr>
        <w:t xml:space="preserve">Simpson, G.L. (2018). Modelling Palaeoecological Time Series Using Generalised Additive Models. </w:t>
      </w:r>
      <w:r w:rsidRPr="009C579B">
        <w:rPr>
          <w:rFonts w:eastAsiaTheme="minorEastAsia"/>
          <w:i/>
          <w:iCs/>
        </w:rPr>
        <w:t>Front. Ecol. Evol.</w:t>
      </w:r>
      <w:r w:rsidRPr="009C579B">
        <w:rPr>
          <w:rFonts w:eastAsiaTheme="minorEastAsia"/>
        </w:rPr>
        <w:t>, 6.</w:t>
      </w:r>
    </w:p>
    <w:p w14:paraId="705E5BE5" w14:textId="77777777" w:rsidR="009C579B" w:rsidRPr="009C579B" w:rsidRDefault="009C579B" w:rsidP="009C579B">
      <w:pPr>
        <w:pStyle w:val="Bibliography"/>
        <w:rPr>
          <w:rFonts w:eastAsiaTheme="minorEastAsia"/>
        </w:rPr>
      </w:pPr>
      <w:r w:rsidRPr="009C579B">
        <w:rPr>
          <w:rFonts w:eastAsiaTheme="minorEastAsia"/>
        </w:rPr>
        <w:t xml:space="preserve">Soetaert, K., Petzoldt, T. &amp; Setzer, R.W. (2010). Solving Differential Equations in R: Package deSolve. </w:t>
      </w:r>
      <w:r w:rsidRPr="009C579B">
        <w:rPr>
          <w:rFonts w:eastAsiaTheme="minorEastAsia"/>
          <w:i/>
          <w:iCs/>
        </w:rPr>
        <w:t>J. Stat. Softw.</w:t>
      </w:r>
      <w:r w:rsidRPr="009C579B">
        <w:rPr>
          <w:rFonts w:eastAsiaTheme="minorEastAsia"/>
        </w:rPr>
        <w:t>, 33, 1–25.</w:t>
      </w:r>
    </w:p>
    <w:p w14:paraId="6EF864E3" w14:textId="77777777" w:rsidR="009C579B" w:rsidRPr="009C579B" w:rsidRDefault="009C579B" w:rsidP="009C579B">
      <w:pPr>
        <w:pStyle w:val="Bibliography"/>
        <w:rPr>
          <w:rFonts w:eastAsiaTheme="minorEastAsia"/>
        </w:rPr>
      </w:pPr>
      <w:r w:rsidRPr="009C579B">
        <w:rPr>
          <w:rFonts w:eastAsiaTheme="minorEastAsia"/>
        </w:rPr>
        <w:t xml:space="preserve">Thibaut, L.M. &amp; Connolly, S.R. (2013). Understanding diversity–stability relationships: towards a unified model of portfolio effects. </w:t>
      </w:r>
      <w:r w:rsidRPr="009C579B">
        <w:rPr>
          <w:rFonts w:eastAsiaTheme="minorEastAsia"/>
          <w:i/>
          <w:iCs/>
        </w:rPr>
        <w:t>Ecol. Lett.</w:t>
      </w:r>
      <w:r w:rsidRPr="009C579B">
        <w:rPr>
          <w:rFonts w:eastAsiaTheme="minorEastAsia"/>
        </w:rPr>
        <w:t>, 16, 140–150.</w:t>
      </w:r>
    </w:p>
    <w:p w14:paraId="4A434CAE" w14:textId="77777777" w:rsidR="009C579B" w:rsidRPr="009C579B" w:rsidRDefault="009C579B" w:rsidP="009C579B">
      <w:pPr>
        <w:pStyle w:val="Bibliography"/>
        <w:rPr>
          <w:rFonts w:eastAsiaTheme="minorEastAsia"/>
        </w:rPr>
      </w:pPr>
      <w:r w:rsidRPr="009C579B">
        <w:rPr>
          <w:rFonts w:eastAsiaTheme="minorEastAsia"/>
        </w:rPr>
        <w:t xml:space="preserve">Vasseur, D.A. (2020). The impact of temperature on population and community dynamics. In: </w:t>
      </w:r>
      <w:r w:rsidRPr="009C579B">
        <w:rPr>
          <w:rFonts w:eastAsiaTheme="minorEastAsia"/>
          <w:i/>
          <w:iCs/>
        </w:rPr>
        <w:t>Theoretical Ecology: concepts and applications</w:t>
      </w:r>
      <w:r w:rsidRPr="009C579B">
        <w:rPr>
          <w:rFonts w:eastAsiaTheme="minorEastAsia"/>
        </w:rPr>
        <w:t xml:space="preserve"> (eds. McCann, K.S. &amp; Gellner, G.). Oxford University Press, p. 0.</w:t>
      </w:r>
    </w:p>
    <w:p w14:paraId="12E17E90" w14:textId="77777777" w:rsidR="009C579B" w:rsidRPr="009C579B" w:rsidRDefault="009C579B" w:rsidP="009C579B">
      <w:pPr>
        <w:pStyle w:val="Bibliography"/>
        <w:rPr>
          <w:rFonts w:eastAsiaTheme="minorEastAsia"/>
        </w:rPr>
      </w:pPr>
      <w:r w:rsidRPr="009C579B">
        <w:rPr>
          <w:rFonts w:eastAsiaTheme="minorEastAsia"/>
        </w:rPr>
        <w:t xml:space="preserve">Wood, S.N. (2022). </w:t>
      </w:r>
      <w:r w:rsidRPr="009C579B">
        <w:rPr>
          <w:rFonts w:eastAsiaTheme="minorEastAsia"/>
          <w:i/>
          <w:iCs/>
        </w:rPr>
        <w:t>mgcv: Mixed GAM Computation Vehicle with Automatic Smoothness Estimation. R package version</w:t>
      </w:r>
      <w:r w:rsidRPr="009C579B">
        <w:rPr>
          <w:rFonts w:eastAsiaTheme="minorEastAsia"/>
        </w:rPr>
        <w:t xml:space="preserve">. </w:t>
      </w:r>
      <w:r w:rsidRPr="009C579B">
        <w:rPr>
          <w:rFonts w:eastAsiaTheme="minorEastAsia"/>
          <w:i/>
          <w:iCs/>
        </w:rPr>
        <w:t>Gen. Addit. Models Introd. R Second Ed.</w:t>
      </w:r>
    </w:p>
    <w:p w14:paraId="6FC11B7F" w14:textId="77777777" w:rsidR="009C579B" w:rsidRPr="009C579B" w:rsidRDefault="009C579B" w:rsidP="009C579B">
      <w:pPr>
        <w:pStyle w:val="Bibliography"/>
        <w:rPr>
          <w:rFonts w:eastAsiaTheme="minorEastAsia"/>
          <w:lang w:val="de-CH"/>
        </w:rPr>
      </w:pPr>
      <w:r w:rsidRPr="009C579B">
        <w:rPr>
          <w:rFonts w:eastAsiaTheme="minorEastAsia"/>
        </w:rPr>
        <w:t xml:space="preserve">Wright, M.N. &amp; Ziegler, A. (2017). ranger: A Fast Implementation of Random Forests for High Dimensional Data in C++ and R. </w:t>
      </w:r>
      <w:r w:rsidRPr="009C579B">
        <w:rPr>
          <w:rFonts w:eastAsiaTheme="minorEastAsia"/>
          <w:i/>
          <w:iCs/>
        </w:rPr>
        <w:t xml:space="preserve">J. Stat. </w:t>
      </w:r>
      <w:r w:rsidRPr="009C579B">
        <w:rPr>
          <w:rFonts w:eastAsiaTheme="minorEastAsia"/>
          <w:i/>
          <w:iCs/>
          <w:lang w:val="de-CH"/>
        </w:rPr>
        <w:t>Softw.</w:t>
      </w:r>
      <w:r w:rsidRPr="009C579B">
        <w:rPr>
          <w:rFonts w:eastAsiaTheme="minorEastAsia"/>
          <w:lang w:val="de-CH"/>
        </w:rPr>
        <w:t>, 77.</w:t>
      </w:r>
    </w:p>
    <w:p w14:paraId="5E48D863" w14:textId="77777777" w:rsidR="009C579B" w:rsidRPr="009C579B" w:rsidRDefault="009C579B" w:rsidP="009C579B">
      <w:pPr>
        <w:pStyle w:val="Bibliography"/>
        <w:rPr>
          <w:rFonts w:eastAsiaTheme="minorEastAsia"/>
        </w:rPr>
      </w:pPr>
      <w:r w:rsidRPr="009C579B">
        <w:rPr>
          <w:rFonts w:eastAsiaTheme="minorEastAsia"/>
          <w:lang w:val="de-CH"/>
        </w:rPr>
        <w:t xml:space="preserve">Xu, Q., Yang, X., Yan, Y., Wang, S., Loreau, M. &amp; Jiang, L. (2021). </w:t>
      </w:r>
      <w:r w:rsidRPr="009C579B">
        <w:rPr>
          <w:rFonts w:eastAsiaTheme="minorEastAsia"/>
        </w:rPr>
        <w:t xml:space="preserve">Consistently positive effect of species diversity on ecosystem, but not population, temporal stability. </w:t>
      </w:r>
      <w:r w:rsidRPr="009C579B">
        <w:rPr>
          <w:rFonts w:eastAsiaTheme="minorEastAsia"/>
          <w:i/>
          <w:iCs/>
        </w:rPr>
        <w:t>Ecol. Lett.</w:t>
      </w:r>
      <w:r w:rsidRPr="009C579B">
        <w:rPr>
          <w:rFonts w:eastAsiaTheme="minorEastAsia"/>
        </w:rPr>
        <w:t>, 24, 2256–2266.</w:t>
      </w:r>
    </w:p>
    <w:p w14:paraId="2BA2348B" w14:textId="77777777" w:rsidR="009C579B" w:rsidRPr="009C579B" w:rsidRDefault="009C579B" w:rsidP="009C579B">
      <w:pPr>
        <w:pStyle w:val="Bibliography"/>
        <w:rPr>
          <w:rFonts w:eastAsiaTheme="minorEastAsia"/>
        </w:rPr>
      </w:pPr>
      <w:r w:rsidRPr="009C579B">
        <w:rPr>
          <w:rFonts w:eastAsiaTheme="minorEastAsia"/>
        </w:rPr>
        <w:lastRenderedPageBreak/>
        <w:t xml:space="preserve">Yachi, S. &amp; Loreau, M. (1999). Biodiversity and ecosystem productivity in a fluctuating environment: The insurance hypothesis. </w:t>
      </w:r>
      <w:r w:rsidRPr="009C579B">
        <w:rPr>
          <w:rFonts w:eastAsiaTheme="minorEastAsia"/>
          <w:i/>
          <w:iCs/>
        </w:rPr>
        <w:t>Proc. Natl. Acad. Sci. U. S. A.</w:t>
      </w:r>
      <w:r w:rsidRPr="009C579B">
        <w:rPr>
          <w:rFonts w:eastAsiaTheme="minorEastAsia"/>
        </w:rPr>
        <w:t>, 96, 1463–1468.</w:t>
      </w:r>
    </w:p>
    <w:p w14:paraId="08C68587" w14:textId="77777777" w:rsidR="009C579B" w:rsidRPr="009C579B" w:rsidRDefault="009C579B" w:rsidP="009C579B">
      <w:pPr>
        <w:pStyle w:val="Bibliography"/>
        <w:rPr>
          <w:rFonts w:eastAsiaTheme="minorEastAsia"/>
        </w:rPr>
      </w:pPr>
      <w:r w:rsidRPr="009C579B">
        <w:rPr>
          <w:rFonts w:eastAsiaTheme="minorEastAsia"/>
        </w:rPr>
        <w:t>Ye, Z., Hooker, G. &amp; Ellner, S. (2019). The Jensen Effect and Functional Single Index Models: Estimating the Ecological Implications of Nonlinear Reaction Norms.</w:t>
      </w:r>
    </w:p>
    <w:p w14:paraId="2EDF52F7" w14:textId="42FD3507" w:rsidR="00A11762" w:rsidRPr="00A11762" w:rsidRDefault="00086E1B" w:rsidP="009C579B">
      <w:pPr>
        <w:pStyle w:val="Bibliography"/>
        <w:rPr>
          <w:rFonts w:eastAsiaTheme="minorEastAsia"/>
        </w:rPr>
      </w:pPr>
      <w:r>
        <w:rPr>
          <w:rFonts w:eastAsiaTheme="minorEastAsia"/>
        </w:rPr>
        <w:fldChar w:fldCharType="end"/>
      </w:r>
    </w:p>
    <w:sectPr w:rsidR="00A11762" w:rsidRPr="00A11762" w:rsidSect="00F80B9F">
      <w:pgSz w:w="12240" w:h="15840"/>
      <w:pgMar w:top="1152" w:right="1296" w:bottom="1152" w:left="1296"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Owen Petchey" w:date="2026-09-21T13:40:00Z" w:initials="OP">
    <w:p w14:paraId="7D0758BB" w14:textId="77777777" w:rsidR="005E711E" w:rsidRDefault="005E711E" w:rsidP="005E2B8F">
      <w:r>
        <w:rPr>
          <w:rStyle w:val="CommentReference"/>
        </w:rPr>
        <w:annotationRef/>
      </w:r>
      <w:r>
        <w:rPr>
          <w:sz w:val="20"/>
          <w:szCs w:val="20"/>
        </w:rPr>
        <w:t>added by Owen</w:t>
      </w:r>
    </w:p>
  </w:comment>
  <w:comment w:id="1" w:author="Owen Petchey" w:date="2026-09-21T13:41:00Z" w:initials="OP">
    <w:p w14:paraId="1DE3ECFB" w14:textId="77777777" w:rsidR="005E711E" w:rsidRDefault="005E711E" w:rsidP="005E711E">
      <w:pPr>
        <w:rPr>
          <w:sz w:val="20"/>
          <w:szCs w:val="20"/>
        </w:rPr>
      </w:pPr>
      <w:r>
        <w:rPr>
          <w:rStyle w:val="CommentReference"/>
        </w:rPr>
        <w:annotationRef/>
      </w:r>
      <w:r>
        <w:rPr>
          <w:sz w:val="20"/>
          <w:szCs w:val="20"/>
        </w:rPr>
        <w:fldChar w:fldCharType="begin"/>
      </w:r>
      <w:r>
        <w:rPr>
          <w:sz w:val="20"/>
          <w:szCs w:val="20"/>
        </w:rPr>
        <w:instrText>HYPERLINK "mailto:francesco.polazzo@uzh.ch"</w:instrText>
      </w:r>
      <w:r>
        <w:rPr>
          <w:sz w:val="20"/>
          <w:szCs w:val="20"/>
        </w:rPr>
      </w:r>
      <w:bookmarkStart w:id="2" w:name="_@_1A3D95A842D61545B5B91885741021CFZ"/>
      <w:r>
        <w:rPr>
          <w:sz w:val="20"/>
          <w:szCs w:val="20"/>
        </w:rPr>
        <w:fldChar w:fldCharType="separate"/>
      </w:r>
      <w:bookmarkEnd w:id="2"/>
      <w:r w:rsidRPr="00957080">
        <w:rPr>
          <w:rStyle w:val="Mention"/>
          <w:noProof/>
          <w:sz w:val="20"/>
          <w:szCs w:val="20"/>
        </w:rPr>
        <w:t>@Francesco Polazzo</w:t>
      </w:r>
      <w:r>
        <w:rPr>
          <w:sz w:val="20"/>
          <w:szCs w:val="20"/>
        </w:rPr>
        <w:fldChar w:fldCharType="end"/>
      </w:r>
    </w:p>
    <w:p w14:paraId="4C071400" w14:textId="77777777" w:rsidR="005E711E" w:rsidRDefault="005E711E" w:rsidP="005E711E">
      <w:r>
        <w:rPr>
          <w:sz w:val="20"/>
          <w:szCs w:val="20"/>
        </w:rPr>
        <w:t>Hi Francesco, I added this, a paragraph in the results and supplement 4 to the repo. Please take a look.</w:t>
      </w:r>
    </w:p>
  </w:comment>
  <w:comment w:id="6" w:author="Owen Petchey" w:date="2026-07-26T12:08:00Z" w:initials="OP">
    <w:p w14:paraId="6315EBD3" w14:textId="77777777" w:rsidR="00E14BA9" w:rsidRDefault="00E14BA9" w:rsidP="00E14BA9">
      <w:r>
        <w:rPr>
          <w:rStyle w:val="CommentReference"/>
        </w:rPr>
        <w:annotationRef/>
      </w:r>
      <w:r>
        <w:rPr>
          <w:sz w:val="20"/>
          <w:szCs w:val="20"/>
        </w:rPr>
        <w:t>Very nice.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7D0758BB" w15:done="1"/>
  <w15:commentEx w15:paraId="4C071400" w15:paraIdParent="7D0758BB" w15:done="1"/>
  <w15:commentEx w15:paraId="6315EBD3"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4F2A9A03" w16cex:dateUtc="2026-09-21T11:40:00Z"/>
  <w16cex:commentExtensible w16cex:durableId="605216C0" w16cex:dateUtc="2026-09-21T11:41:00Z"/>
  <w16cex:commentExtensible w16cex:durableId="57257EB4" w16cex:dateUtc="2026-07-26T10:0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7D0758BB" w16cid:durableId="4F2A9A03"/>
  <w16cid:commentId w16cid:paraId="4C071400" w16cid:durableId="605216C0"/>
  <w16cid:commentId w16cid:paraId="6315EBD3" w16cid:durableId="57257EB4"/>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ACFF" w:usb2="00000009" w:usb3="00000000" w:csb0="000001FF" w:csb1="00000000"/>
  </w:font>
  <w:font w:name="Courier">
    <w:panose1 w:val="02070309020205020404"/>
    <w:charset w:val="00"/>
    <w:family w:val="modern"/>
    <w:pitch w:val="fixed"/>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EAA0932"/>
    <w:multiLevelType w:val="multilevel"/>
    <w:tmpl w:val="CBE23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9391192">
    <w:abstractNumId w:val="8"/>
  </w:num>
  <w:num w:numId="2" w16cid:durableId="1931617226">
    <w:abstractNumId w:val="6"/>
  </w:num>
  <w:num w:numId="3" w16cid:durableId="1659649617">
    <w:abstractNumId w:val="5"/>
  </w:num>
  <w:num w:numId="4" w16cid:durableId="77529881">
    <w:abstractNumId w:val="4"/>
  </w:num>
  <w:num w:numId="5" w16cid:durableId="1737588323">
    <w:abstractNumId w:val="7"/>
  </w:num>
  <w:num w:numId="6" w16cid:durableId="1304657474">
    <w:abstractNumId w:val="3"/>
  </w:num>
  <w:num w:numId="7" w16cid:durableId="944767981">
    <w:abstractNumId w:val="2"/>
  </w:num>
  <w:num w:numId="8" w16cid:durableId="837815487">
    <w:abstractNumId w:val="1"/>
  </w:num>
  <w:num w:numId="9" w16cid:durableId="1851681459">
    <w:abstractNumId w:val="0"/>
  </w:num>
  <w:num w:numId="10" w16cid:durableId="1313094981">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Owen Petchey">
    <w15:presenceInfo w15:providerId="AD" w15:userId="S::owen.petchey@ieu.uzh.ch::9c0adbac-50b3-4e0d-a421-9f8bbebbac20"/>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4113"/>
    <w:rsid w:val="00010166"/>
    <w:rsid w:val="00012A26"/>
    <w:rsid w:val="000208EE"/>
    <w:rsid w:val="000258C5"/>
    <w:rsid w:val="00027262"/>
    <w:rsid w:val="00034616"/>
    <w:rsid w:val="00043190"/>
    <w:rsid w:val="0006063C"/>
    <w:rsid w:val="000607B9"/>
    <w:rsid w:val="00066AC6"/>
    <w:rsid w:val="00066AEA"/>
    <w:rsid w:val="00066B71"/>
    <w:rsid w:val="0007281E"/>
    <w:rsid w:val="00075787"/>
    <w:rsid w:val="00075C05"/>
    <w:rsid w:val="000761A7"/>
    <w:rsid w:val="00077B47"/>
    <w:rsid w:val="000845BA"/>
    <w:rsid w:val="00085918"/>
    <w:rsid w:val="00086E1B"/>
    <w:rsid w:val="000945D6"/>
    <w:rsid w:val="000A198B"/>
    <w:rsid w:val="000A1E9C"/>
    <w:rsid w:val="000A3018"/>
    <w:rsid w:val="000A5E99"/>
    <w:rsid w:val="000B1D2D"/>
    <w:rsid w:val="000B2C64"/>
    <w:rsid w:val="000B2E75"/>
    <w:rsid w:val="000B6BC8"/>
    <w:rsid w:val="000C06E8"/>
    <w:rsid w:val="000C79F5"/>
    <w:rsid w:val="000D1311"/>
    <w:rsid w:val="000D4BA1"/>
    <w:rsid w:val="000D5687"/>
    <w:rsid w:val="000D7749"/>
    <w:rsid w:val="000E09D0"/>
    <w:rsid w:val="000E3CE7"/>
    <w:rsid w:val="000E4C7E"/>
    <w:rsid w:val="000F143D"/>
    <w:rsid w:val="000F3E8F"/>
    <w:rsid w:val="000F47FA"/>
    <w:rsid w:val="001001D1"/>
    <w:rsid w:val="00100F9A"/>
    <w:rsid w:val="00102087"/>
    <w:rsid w:val="00107565"/>
    <w:rsid w:val="00113DF6"/>
    <w:rsid w:val="00114388"/>
    <w:rsid w:val="00122F07"/>
    <w:rsid w:val="00125FA5"/>
    <w:rsid w:val="00131218"/>
    <w:rsid w:val="001314EC"/>
    <w:rsid w:val="00135171"/>
    <w:rsid w:val="00140077"/>
    <w:rsid w:val="00140518"/>
    <w:rsid w:val="001415BE"/>
    <w:rsid w:val="0015074B"/>
    <w:rsid w:val="0015558C"/>
    <w:rsid w:val="0015673B"/>
    <w:rsid w:val="001667A5"/>
    <w:rsid w:val="0017041B"/>
    <w:rsid w:val="001737B5"/>
    <w:rsid w:val="00181695"/>
    <w:rsid w:val="0018463C"/>
    <w:rsid w:val="00193314"/>
    <w:rsid w:val="001964D4"/>
    <w:rsid w:val="001A022F"/>
    <w:rsid w:val="001A2392"/>
    <w:rsid w:val="001A2476"/>
    <w:rsid w:val="001B5BC6"/>
    <w:rsid w:val="001C51D2"/>
    <w:rsid w:val="001C7649"/>
    <w:rsid w:val="001D1D0D"/>
    <w:rsid w:val="001E46AF"/>
    <w:rsid w:val="001E4770"/>
    <w:rsid w:val="001E577C"/>
    <w:rsid w:val="001F38B9"/>
    <w:rsid w:val="001F7861"/>
    <w:rsid w:val="00203302"/>
    <w:rsid w:val="002035F2"/>
    <w:rsid w:val="002037BD"/>
    <w:rsid w:val="00210CC1"/>
    <w:rsid w:val="00210F6C"/>
    <w:rsid w:val="0021232F"/>
    <w:rsid w:val="00212F93"/>
    <w:rsid w:val="0021456D"/>
    <w:rsid w:val="0021738F"/>
    <w:rsid w:val="00225B72"/>
    <w:rsid w:val="00236D48"/>
    <w:rsid w:val="00242158"/>
    <w:rsid w:val="00246A6D"/>
    <w:rsid w:val="00247766"/>
    <w:rsid w:val="002501C9"/>
    <w:rsid w:val="002506AE"/>
    <w:rsid w:val="00251E31"/>
    <w:rsid w:val="00257A24"/>
    <w:rsid w:val="0026037A"/>
    <w:rsid w:val="00261E36"/>
    <w:rsid w:val="002647BC"/>
    <w:rsid w:val="0027702D"/>
    <w:rsid w:val="00280028"/>
    <w:rsid w:val="0028259B"/>
    <w:rsid w:val="00285C75"/>
    <w:rsid w:val="0029639D"/>
    <w:rsid w:val="002972D4"/>
    <w:rsid w:val="002A3E3D"/>
    <w:rsid w:val="002A4702"/>
    <w:rsid w:val="002A73E3"/>
    <w:rsid w:val="002A7A89"/>
    <w:rsid w:val="002B385B"/>
    <w:rsid w:val="002B6377"/>
    <w:rsid w:val="002B7D95"/>
    <w:rsid w:val="002C1FAD"/>
    <w:rsid w:val="002C270F"/>
    <w:rsid w:val="002C5DEC"/>
    <w:rsid w:val="002D0CCE"/>
    <w:rsid w:val="002D3609"/>
    <w:rsid w:val="002D782E"/>
    <w:rsid w:val="002E3391"/>
    <w:rsid w:val="002E45F9"/>
    <w:rsid w:val="002E69E0"/>
    <w:rsid w:val="002E783D"/>
    <w:rsid w:val="002F364F"/>
    <w:rsid w:val="002F396C"/>
    <w:rsid w:val="002F3D01"/>
    <w:rsid w:val="002F5107"/>
    <w:rsid w:val="002F74B4"/>
    <w:rsid w:val="00302004"/>
    <w:rsid w:val="003038EF"/>
    <w:rsid w:val="0030466B"/>
    <w:rsid w:val="003118A1"/>
    <w:rsid w:val="003156E1"/>
    <w:rsid w:val="00320856"/>
    <w:rsid w:val="0032211E"/>
    <w:rsid w:val="00324442"/>
    <w:rsid w:val="0032568C"/>
    <w:rsid w:val="00326F90"/>
    <w:rsid w:val="00330D37"/>
    <w:rsid w:val="003338C1"/>
    <w:rsid w:val="003345B1"/>
    <w:rsid w:val="0034359D"/>
    <w:rsid w:val="00345F4E"/>
    <w:rsid w:val="00347297"/>
    <w:rsid w:val="003501F9"/>
    <w:rsid w:val="00350A55"/>
    <w:rsid w:val="0035471A"/>
    <w:rsid w:val="00355407"/>
    <w:rsid w:val="00361D5A"/>
    <w:rsid w:val="00372A9B"/>
    <w:rsid w:val="003732D4"/>
    <w:rsid w:val="00373A3A"/>
    <w:rsid w:val="0037429E"/>
    <w:rsid w:val="00376102"/>
    <w:rsid w:val="00376CC8"/>
    <w:rsid w:val="00381892"/>
    <w:rsid w:val="003826CB"/>
    <w:rsid w:val="00385870"/>
    <w:rsid w:val="00391E79"/>
    <w:rsid w:val="00396B4E"/>
    <w:rsid w:val="003A3EFF"/>
    <w:rsid w:val="003B4FC1"/>
    <w:rsid w:val="003C04A7"/>
    <w:rsid w:val="003C3809"/>
    <w:rsid w:val="003C48E0"/>
    <w:rsid w:val="003C4C88"/>
    <w:rsid w:val="003C59C7"/>
    <w:rsid w:val="003D251A"/>
    <w:rsid w:val="003E0A74"/>
    <w:rsid w:val="003E553E"/>
    <w:rsid w:val="003F05D3"/>
    <w:rsid w:val="00402FD6"/>
    <w:rsid w:val="004053B3"/>
    <w:rsid w:val="00410B33"/>
    <w:rsid w:val="00413A0F"/>
    <w:rsid w:val="00420102"/>
    <w:rsid w:val="0042199A"/>
    <w:rsid w:val="00423078"/>
    <w:rsid w:val="00426D36"/>
    <w:rsid w:val="0043684E"/>
    <w:rsid w:val="00436BE8"/>
    <w:rsid w:val="004457F7"/>
    <w:rsid w:val="00450CCC"/>
    <w:rsid w:val="00454AF5"/>
    <w:rsid w:val="00457C76"/>
    <w:rsid w:val="00462A5B"/>
    <w:rsid w:val="00470B9A"/>
    <w:rsid w:val="004761A2"/>
    <w:rsid w:val="0048300F"/>
    <w:rsid w:val="004868CA"/>
    <w:rsid w:val="0048764B"/>
    <w:rsid w:val="00491A64"/>
    <w:rsid w:val="004A1388"/>
    <w:rsid w:val="004A4120"/>
    <w:rsid w:val="004B1A3C"/>
    <w:rsid w:val="004B1FAA"/>
    <w:rsid w:val="004B338A"/>
    <w:rsid w:val="004B5654"/>
    <w:rsid w:val="004C0840"/>
    <w:rsid w:val="004D132F"/>
    <w:rsid w:val="004D14CE"/>
    <w:rsid w:val="004D1BFD"/>
    <w:rsid w:val="004D4878"/>
    <w:rsid w:val="004D56C0"/>
    <w:rsid w:val="004D7E8B"/>
    <w:rsid w:val="004E1844"/>
    <w:rsid w:val="004E62CC"/>
    <w:rsid w:val="004F1128"/>
    <w:rsid w:val="004F25F5"/>
    <w:rsid w:val="004F3FAC"/>
    <w:rsid w:val="004F4719"/>
    <w:rsid w:val="004F7C03"/>
    <w:rsid w:val="005006BD"/>
    <w:rsid w:val="00501A9F"/>
    <w:rsid w:val="0050416F"/>
    <w:rsid w:val="00504ADE"/>
    <w:rsid w:val="00504FDA"/>
    <w:rsid w:val="0050617A"/>
    <w:rsid w:val="005102A6"/>
    <w:rsid w:val="005108CA"/>
    <w:rsid w:val="00510CFA"/>
    <w:rsid w:val="00511CC4"/>
    <w:rsid w:val="00512648"/>
    <w:rsid w:val="00512BCB"/>
    <w:rsid w:val="00513B38"/>
    <w:rsid w:val="00513E55"/>
    <w:rsid w:val="005154DA"/>
    <w:rsid w:val="00515541"/>
    <w:rsid w:val="00517E01"/>
    <w:rsid w:val="0052110D"/>
    <w:rsid w:val="00530361"/>
    <w:rsid w:val="00530639"/>
    <w:rsid w:val="00530F14"/>
    <w:rsid w:val="00530F22"/>
    <w:rsid w:val="00532452"/>
    <w:rsid w:val="00533E0F"/>
    <w:rsid w:val="00536E6A"/>
    <w:rsid w:val="00541065"/>
    <w:rsid w:val="005456C2"/>
    <w:rsid w:val="00545DD0"/>
    <w:rsid w:val="00552763"/>
    <w:rsid w:val="00553CD4"/>
    <w:rsid w:val="00562718"/>
    <w:rsid w:val="00572871"/>
    <w:rsid w:val="005748DD"/>
    <w:rsid w:val="0058264E"/>
    <w:rsid w:val="0058442A"/>
    <w:rsid w:val="00585D67"/>
    <w:rsid w:val="0059067B"/>
    <w:rsid w:val="00591B51"/>
    <w:rsid w:val="005948FF"/>
    <w:rsid w:val="00594E8D"/>
    <w:rsid w:val="005B16F7"/>
    <w:rsid w:val="005B21EF"/>
    <w:rsid w:val="005B6D4B"/>
    <w:rsid w:val="005C3716"/>
    <w:rsid w:val="005C5070"/>
    <w:rsid w:val="005C5C08"/>
    <w:rsid w:val="005D13F6"/>
    <w:rsid w:val="005D3825"/>
    <w:rsid w:val="005D6619"/>
    <w:rsid w:val="005E06C8"/>
    <w:rsid w:val="005E3223"/>
    <w:rsid w:val="005E38D5"/>
    <w:rsid w:val="005E4197"/>
    <w:rsid w:val="005E4EFF"/>
    <w:rsid w:val="005E6205"/>
    <w:rsid w:val="005E711E"/>
    <w:rsid w:val="005F3FF6"/>
    <w:rsid w:val="005F5A9A"/>
    <w:rsid w:val="005F623A"/>
    <w:rsid w:val="005F70C7"/>
    <w:rsid w:val="005F7218"/>
    <w:rsid w:val="00601BB7"/>
    <w:rsid w:val="00603179"/>
    <w:rsid w:val="00603415"/>
    <w:rsid w:val="006039DD"/>
    <w:rsid w:val="00607987"/>
    <w:rsid w:val="00610A17"/>
    <w:rsid w:val="0061341E"/>
    <w:rsid w:val="00614653"/>
    <w:rsid w:val="006152D3"/>
    <w:rsid w:val="00620B77"/>
    <w:rsid w:val="00621686"/>
    <w:rsid w:val="006245B6"/>
    <w:rsid w:val="00624E84"/>
    <w:rsid w:val="00624EED"/>
    <w:rsid w:val="00631FB2"/>
    <w:rsid w:val="00635C35"/>
    <w:rsid w:val="00642AB2"/>
    <w:rsid w:val="0064451D"/>
    <w:rsid w:val="0064542C"/>
    <w:rsid w:val="00645498"/>
    <w:rsid w:val="00647456"/>
    <w:rsid w:val="00647FF3"/>
    <w:rsid w:val="00652470"/>
    <w:rsid w:val="00652604"/>
    <w:rsid w:val="00654026"/>
    <w:rsid w:val="00655052"/>
    <w:rsid w:val="00661498"/>
    <w:rsid w:val="006656CD"/>
    <w:rsid w:val="00673357"/>
    <w:rsid w:val="00673929"/>
    <w:rsid w:val="006800A6"/>
    <w:rsid w:val="00681192"/>
    <w:rsid w:val="00681AAE"/>
    <w:rsid w:val="00685E3E"/>
    <w:rsid w:val="00686D69"/>
    <w:rsid w:val="00687A83"/>
    <w:rsid w:val="00694165"/>
    <w:rsid w:val="006A02C6"/>
    <w:rsid w:val="006A0FDA"/>
    <w:rsid w:val="006A581A"/>
    <w:rsid w:val="006A769E"/>
    <w:rsid w:val="006C0C88"/>
    <w:rsid w:val="006C318F"/>
    <w:rsid w:val="006C52D1"/>
    <w:rsid w:val="006D1871"/>
    <w:rsid w:val="006D2EC8"/>
    <w:rsid w:val="006D36D7"/>
    <w:rsid w:val="006D41A8"/>
    <w:rsid w:val="006D6926"/>
    <w:rsid w:val="006D77E4"/>
    <w:rsid w:val="006E04C3"/>
    <w:rsid w:val="006E5D6C"/>
    <w:rsid w:val="006F0029"/>
    <w:rsid w:val="006F0726"/>
    <w:rsid w:val="006F45D3"/>
    <w:rsid w:val="006F45E3"/>
    <w:rsid w:val="006F5A44"/>
    <w:rsid w:val="006F7042"/>
    <w:rsid w:val="006F74D0"/>
    <w:rsid w:val="00700589"/>
    <w:rsid w:val="00711110"/>
    <w:rsid w:val="00712430"/>
    <w:rsid w:val="00714788"/>
    <w:rsid w:val="00714C3F"/>
    <w:rsid w:val="00715C0D"/>
    <w:rsid w:val="00721CC3"/>
    <w:rsid w:val="00726FC2"/>
    <w:rsid w:val="007421E9"/>
    <w:rsid w:val="00747068"/>
    <w:rsid w:val="0075116F"/>
    <w:rsid w:val="0075655A"/>
    <w:rsid w:val="00762110"/>
    <w:rsid w:val="0076388E"/>
    <w:rsid w:val="00764EC3"/>
    <w:rsid w:val="007666B5"/>
    <w:rsid w:val="007668E3"/>
    <w:rsid w:val="00770289"/>
    <w:rsid w:val="0078244E"/>
    <w:rsid w:val="00790A74"/>
    <w:rsid w:val="0079139A"/>
    <w:rsid w:val="00791ABF"/>
    <w:rsid w:val="00793167"/>
    <w:rsid w:val="0079389C"/>
    <w:rsid w:val="007A112B"/>
    <w:rsid w:val="007A3BB8"/>
    <w:rsid w:val="007A46BA"/>
    <w:rsid w:val="007A58C8"/>
    <w:rsid w:val="007B1B6D"/>
    <w:rsid w:val="007B4916"/>
    <w:rsid w:val="007B670C"/>
    <w:rsid w:val="007B75ED"/>
    <w:rsid w:val="007C04E0"/>
    <w:rsid w:val="007C2849"/>
    <w:rsid w:val="007C3299"/>
    <w:rsid w:val="007D7C6C"/>
    <w:rsid w:val="007D7FD8"/>
    <w:rsid w:val="007E1D67"/>
    <w:rsid w:val="007E2BE4"/>
    <w:rsid w:val="007E5FF3"/>
    <w:rsid w:val="007F08ED"/>
    <w:rsid w:val="007F1D74"/>
    <w:rsid w:val="007F2262"/>
    <w:rsid w:val="007F586D"/>
    <w:rsid w:val="007F6E47"/>
    <w:rsid w:val="00803D9B"/>
    <w:rsid w:val="00810190"/>
    <w:rsid w:val="00811269"/>
    <w:rsid w:val="008136F0"/>
    <w:rsid w:val="008170ED"/>
    <w:rsid w:val="00824567"/>
    <w:rsid w:val="0082794A"/>
    <w:rsid w:val="008333F0"/>
    <w:rsid w:val="00834803"/>
    <w:rsid w:val="008349FA"/>
    <w:rsid w:val="00835E74"/>
    <w:rsid w:val="008379DE"/>
    <w:rsid w:val="00843B06"/>
    <w:rsid w:val="00843DBC"/>
    <w:rsid w:val="00852F39"/>
    <w:rsid w:val="00856E5A"/>
    <w:rsid w:val="00857FCC"/>
    <w:rsid w:val="00870267"/>
    <w:rsid w:val="00870C91"/>
    <w:rsid w:val="008719FC"/>
    <w:rsid w:val="0087267B"/>
    <w:rsid w:val="00872721"/>
    <w:rsid w:val="00875444"/>
    <w:rsid w:val="0087623A"/>
    <w:rsid w:val="00877B5B"/>
    <w:rsid w:val="00887E4E"/>
    <w:rsid w:val="00890597"/>
    <w:rsid w:val="00891B27"/>
    <w:rsid w:val="00897A57"/>
    <w:rsid w:val="008A115E"/>
    <w:rsid w:val="008A5623"/>
    <w:rsid w:val="008B1AD0"/>
    <w:rsid w:val="008B5351"/>
    <w:rsid w:val="008B79A3"/>
    <w:rsid w:val="008C3789"/>
    <w:rsid w:val="008D12AA"/>
    <w:rsid w:val="008D25C9"/>
    <w:rsid w:val="008D5DFD"/>
    <w:rsid w:val="008D69D2"/>
    <w:rsid w:val="008E11C5"/>
    <w:rsid w:val="008E251B"/>
    <w:rsid w:val="008E589B"/>
    <w:rsid w:val="008E5E5A"/>
    <w:rsid w:val="008E5ED3"/>
    <w:rsid w:val="008F0F9E"/>
    <w:rsid w:val="008F255B"/>
    <w:rsid w:val="00900E09"/>
    <w:rsid w:val="00902756"/>
    <w:rsid w:val="00906659"/>
    <w:rsid w:val="00912805"/>
    <w:rsid w:val="00916C4E"/>
    <w:rsid w:val="009171E6"/>
    <w:rsid w:val="00921AAA"/>
    <w:rsid w:val="009309E3"/>
    <w:rsid w:val="00943A68"/>
    <w:rsid w:val="00943E3B"/>
    <w:rsid w:val="009446ED"/>
    <w:rsid w:val="00946425"/>
    <w:rsid w:val="009503DF"/>
    <w:rsid w:val="009513BA"/>
    <w:rsid w:val="00954528"/>
    <w:rsid w:val="00960367"/>
    <w:rsid w:val="00961679"/>
    <w:rsid w:val="00961A91"/>
    <w:rsid w:val="00961EAF"/>
    <w:rsid w:val="009643A7"/>
    <w:rsid w:val="009651C7"/>
    <w:rsid w:val="009667F8"/>
    <w:rsid w:val="0098324E"/>
    <w:rsid w:val="00986091"/>
    <w:rsid w:val="00991EEB"/>
    <w:rsid w:val="009921B6"/>
    <w:rsid w:val="00996138"/>
    <w:rsid w:val="009A29BA"/>
    <w:rsid w:val="009A3AC0"/>
    <w:rsid w:val="009A3F63"/>
    <w:rsid w:val="009A5A94"/>
    <w:rsid w:val="009A6F56"/>
    <w:rsid w:val="009A7010"/>
    <w:rsid w:val="009B1059"/>
    <w:rsid w:val="009B419D"/>
    <w:rsid w:val="009B5BFC"/>
    <w:rsid w:val="009B7CF4"/>
    <w:rsid w:val="009C1E15"/>
    <w:rsid w:val="009C5615"/>
    <w:rsid w:val="009C579B"/>
    <w:rsid w:val="009C7C1D"/>
    <w:rsid w:val="009D5477"/>
    <w:rsid w:val="009D5E11"/>
    <w:rsid w:val="009E6D08"/>
    <w:rsid w:val="00A02563"/>
    <w:rsid w:val="00A0298D"/>
    <w:rsid w:val="00A048AD"/>
    <w:rsid w:val="00A05590"/>
    <w:rsid w:val="00A05936"/>
    <w:rsid w:val="00A06823"/>
    <w:rsid w:val="00A07DE0"/>
    <w:rsid w:val="00A11762"/>
    <w:rsid w:val="00A14677"/>
    <w:rsid w:val="00A14797"/>
    <w:rsid w:val="00A16420"/>
    <w:rsid w:val="00A30139"/>
    <w:rsid w:val="00A3434E"/>
    <w:rsid w:val="00A4086D"/>
    <w:rsid w:val="00A40941"/>
    <w:rsid w:val="00A44310"/>
    <w:rsid w:val="00A44DE1"/>
    <w:rsid w:val="00A53187"/>
    <w:rsid w:val="00A537F6"/>
    <w:rsid w:val="00A53946"/>
    <w:rsid w:val="00A55153"/>
    <w:rsid w:val="00A56CB6"/>
    <w:rsid w:val="00A61D2C"/>
    <w:rsid w:val="00A62CA1"/>
    <w:rsid w:val="00A71C97"/>
    <w:rsid w:val="00A72140"/>
    <w:rsid w:val="00A74FCA"/>
    <w:rsid w:val="00A75D7F"/>
    <w:rsid w:val="00A76ED3"/>
    <w:rsid w:val="00A77D33"/>
    <w:rsid w:val="00A816A0"/>
    <w:rsid w:val="00A864AC"/>
    <w:rsid w:val="00A87807"/>
    <w:rsid w:val="00A902E0"/>
    <w:rsid w:val="00A91414"/>
    <w:rsid w:val="00A917D2"/>
    <w:rsid w:val="00A91FB6"/>
    <w:rsid w:val="00A94A36"/>
    <w:rsid w:val="00AA1D8D"/>
    <w:rsid w:val="00AA3131"/>
    <w:rsid w:val="00AA49D6"/>
    <w:rsid w:val="00AB16A7"/>
    <w:rsid w:val="00AB67E6"/>
    <w:rsid w:val="00AC1025"/>
    <w:rsid w:val="00AC173C"/>
    <w:rsid w:val="00AD173D"/>
    <w:rsid w:val="00AD388C"/>
    <w:rsid w:val="00AD3C0A"/>
    <w:rsid w:val="00AD4286"/>
    <w:rsid w:val="00AD6EBE"/>
    <w:rsid w:val="00AE3564"/>
    <w:rsid w:val="00AE46FC"/>
    <w:rsid w:val="00AE6880"/>
    <w:rsid w:val="00AF36A1"/>
    <w:rsid w:val="00AF4AFD"/>
    <w:rsid w:val="00AF6784"/>
    <w:rsid w:val="00B0167C"/>
    <w:rsid w:val="00B01F7D"/>
    <w:rsid w:val="00B157C4"/>
    <w:rsid w:val="00B248AE"/>
    <w:rsid w:val="00B25644"/>
    <w:rsid w:val="00B2712A"/>
    <w:rsid w:val="00B30E60"/>
    <w:rsid w:val="00B3309E"/>
    <w:rsid w:val="00B339A7"/>
    <w:rsid w:val="00B40165"/>
    <w:rsid w:val="00B41651"/>
    <w:rsid w:val="00B42B7F"/>
    <w:rsid w:val="00B42F82"/>
    <w:rsid w:val="00B47730"/>
    <w:rsid w:val="00B56012"/>
    <w:rsid w:val="00B566F3"/>
    <w:rsid w:val="00B63FB8"/>
    <w:rsid w:val="00B64B5D"/>
    <w:rsid w:val="00B651F0"/>
    <w:rsid w:val="00B74195"/>
    <w:rsid w:val="00B80845"/>
    <w:rsid w:val="00B8471A"/>
    <w:rsid w:val="00B938DF"/>
    <w:rsid w:val="00B94153"/>
    <w:rsid w:val="00B9479A"/>
    <w:rsid w:val="00BA2B43"/>
    <w:rsid w:val="00BA4377"/>
    <w:rsid w:val="00BB3D16"/>
    <w:rsid w:val="00BB5581"/>
    <w:rsid w:val="00BC0434"/>
    <w:rsid w:val="00BC2515"/>
    <w:rsid w:val="00BC26C7"/>
    <w:rsid w:val="00BC4AAD"/>
    <w:rsid w:val="00BD3BBB"/>
    <w:rsid w:val="00BE0CA3"/>
    <w:rsid w:val="00BF3686"/>
    <w:rsid w:val="00BF3D2C"/>
    <w:rsid w:val="00BF64D7"/>
    <w:rsid w:val="00BF6ACA"/>
    <w:rsid w:val="00BF6E42"/>
    <w:rsid w:val="00C02503"/>
    <w:rsid w:val="00C03D5E"/>
    <w:rsid w:val="00C04109"/>
    <w:rsid w:val="00C043B5"/>
    <w:rsid w:val="00C05C83"/>
    <w:rsid w:val="00C07156"/>
    <w:rsid w:val="00C0756C"/>
    <w:rsid w:val="00C10237"/>
    <w:rsid w:val="00C15B2B"/>
    <w:rsid w:val="00C15CC2"/>
    <w:rsid w:val="00C17A12"/>
    <w:rsid w:val="00C212AD"/>
    <w:rsid w:val="00C21990"/>
    <w:rsid w:val="00C24D40"/>
    <w:rsid w:val="00C27062"/>
    <w:rsid w:val="00C3123D"/>
    <w:rsid w:val="00C323A0"/>
    <w:rsid w:val="00C3253E"/>
    <w:rsid w:val="00C3399D"/>
    <w:rsid w:val="00C34040"/>
    <w:rsid w:val="00C37D06"/>
    <w:rsid w:val="00C4012D"/>
    <w:rsid w:val="00C412CB"/>
    <w:rsid w:val="00C41819"/>
    <w:rsid w:val="00C43580"/>
    <w:rsid w:val="00C45297"/>
    <w:rsid w:val="00C45A53"/>
    <w:rsid w:val="00C50748"/>
    <w:rsid w:val="00C5177B"/>
    <w:rsid w:val="00C52AC9"/>
    <w:rsid w:val="00C6000D"/>
    <w:rsid w:val="00C6076E"/>
    <w:rsid w:val="00C6375B"/>
    <w:rsid w:val="00C66342"/>
    <w:rsid w:val="00C67202"/>
    <w:rsid w:val="00C74B70"/>
    <w:rsid w:val="00C751E9"/>
    <w:rsid w:val="00C804C4"/>
    <w:rsid w:val="00C80DB0"/>
    <w:rsid w:val="00C93F32"/>
    <w:rsid w:val="00C948E5"/>
    <w:rsid w:val="00CA1173"/>
    <w:rsid w:val="00CA31CE"/>
    <w:rsid w:val="00CA4569"/>
    <w:rsid w:val="00CA526C"/>
    <w:rsid w:val="00CA67A4"/>
    <w:rsid w:val="00CA780B"/>
    <w:rsid w:val="00CB0664"/>
    <w:rsid w:val="00CB466B"/>
    <w:rsid w:val="00CC0F1D"/>
    <w:rsid w:val="00CC4E23"/>
    <w:rsid w:val="00CC7572"/>
    <w:rsid w:val="00CD5585"/>
    <w:rsid w:val="00CD69F4"/>
    <w:rsid w:val="00CD6DC3"/>
    <w:rsid w:val="00CE5A6E"/>
    <w:rsid w:val="00CF0949"/>
    <w:rsid w:val="00CF0BBC"/>
    <w:rsid w:val="00CF15DF"/>
    <w:rsid w:val="00D00301"/>
    <w:rsid w:val="00D00E49"/>
    <w:rsid w:val="00D01813"/>
    <w:rsid w:val="00D0417B"/>
    <w:rsid w:val="00D04B07"/>
    <w:rsid w:val="00D134BF"/>
    <w:rsid w:val="00D13EF9"/>
    <w:rsid w:val="00D14AEA"/>
    <w:rsid w:val="00D164ED"/>
    <w:rsid w:val="00D2179A"/>
    <w:rsid w:val="00D21F78"/>
    <w:rsid w:val="00D2536D"/>
    <w:rsid w:val="00D26F2F"/>
    <w:rsid w:val="00D33B42"/>
    <w:rsid w:val="00D37168"/>
    <w:rsid w:val="00D4139B"/>
    <w:rsid w:val="00D463F7"/>
    <w:rsid w:val="00D5210A"/>
    <w:rsid w:val="00D55ADE"/>
    <w:rsid w:val="00D55E15"/>
    <w:rsid w:val="00D55F76"/>
    <w:rsid w:val="00D72F64"/>
    <w:rsid w:val="00D74588"/>
    <w:rsid w:val="00D82277"/>
    <w:rsid w:val="00D83DE3"/>
    <w:rsid w:val="00D8427C"/>
    <w:rsid w:val="00D85AC1"/>
    <w:rsid w:val="00D86E7E"/>
    <w:rsid w:val="00D9144B"/>
    <w:rsid w:val="00D96FC5"/>
    <w:rsid w:val="00DA05CF"/>
    <w:rsid w:val="00DA13B9"/>
    <w:rsid w:val="00DA38A3"/>
    <w:rsid w:val="00DA4B98"/>
    <w:rsid w:val="00DA6D50"/>
    <w:rsid w:val="00DB4AB2"/>
    <w:rsid w:val="00DB5EFB"/>
    <w:rsid w:val="00DB6BD0"/>
    <w:rsid w:val="00DD0827"/>
    <w:rsid w:val="00DD72B7"/>
    <w:rsid w:val="00DE6113"/>
    <w:rsid w:val="00DE7DB6"/>
    <w:rsid w:val="00DE7DFD"/>
    <w:rsid w:val="00DF30D0"/>
    <w:rsid w:val="00E01416"/>
    <w:rsid w:val="00E02387"/>
    <w:rsid w:val="00E02F07"/>
    <w:rsid w:val="00E03DB4"/>
    <w:rsid w:val="00E105D0"/>
    <w:rsid w:val="00E108C0"/>
    <w:rsid w:val="00E13716"/>
    <w:rsid w:val="00E14BA9"/>
    <w:rsid w:val="00E151BB"/>
    <w:rsid w:val="00E221DE"/>
    <w:rsid w:val="00E22F47"/>
    <w:rsid w:val="00E231AE"/>
    <w:rsid w:val="00E33FE4"/>
    <w:rsid w:val="00E4028D"/>
    <w:rsid w:val="00E4111C"/>
    <w:rsid w:val="00E42EA0"/>
    <w:rsid w:val="00E443D5"/>
    <w:rsid w:val="00E45107"/>
    <w:rsid w:val="00E567E2"/>
    <w:rsid w:val="00E60CB7"/>
    <w:rsid w:val="00E63C90"/>
    <w:rsid w:val="00E71236"/>
    <w:rsid w:val="00E73B3D"/>
    <w:rsid w:val="00E73CA0"/>
    <w:rsid w:val="00E7460D"/>
    <w:rsid w:val="00E75D91"/>
    <w:rsid w:val="00E826F0"/>
    <w:rsid w:val="00E841C2"/>
    <w:rsid w:val="00E9286E"/>
    <w:rsid w:val="00E94B29"/>
    <w:rsid w:val="00E96930"/>
    <w:rsid w:val="00EA2466"/>
    <w:rsid w:val="00EA273C"/>
    <w:rsid w:val="00EA3D3D"/>
    <w:rsid w:val="00EB0B38"/>
    <w:rsid w:val="00EB34ED"/>
    <w:rsid w:val="00EB424A"/>
    <w:rsid w:val="00EB54C5"/>
    <w:rsid w:val="00EC0724"/>
    <w:rsid w:val="00EC299E"/>
    <w:rsid w:val="00EC3672"/>
    <w:rsid w:val="00EC65FD"/>
    <w:rsid w:val="00EC7EA9"/>
    <w:rsid w:val="00ED27A9"/>
    <w:rsid w:val="00ED6211"/>
    <w:rsid w:val="00ED6DBA"/>
    <w:rsid w:val="00EE339C"/>
    <w:rsid w:val="00EF1189"/>
    <w:rsid w:val="00EF4DE1"/>
    <w:rsid w:val="00EF5A9D"/>
    <w:rsid w:val="00F00FEE"/>
    <w:rsid w:val="00F019AD"/>
    <w:rsid w:val="00F02B8D"/>
    <w:rsid w:val="00F03940"/>
    <w:rsid w:val="00F05137"/>
    <w:rsid w:val="00F05435"/>
    <w:rsid w:val="00F0581D"/>
    <w:rsid w:val="00F05CD2"/>
    <w:rsid w:val="00F136F5"/>
    <w:rsid w:val="00F20860"/>
    <w:rsid w:val="00F21757"/>
    <w:rsid w:val="00F2180D"/>
    <w:rsid w:val="00F23A2B"/>
    <w:rsid w:val="00F30297"/>
    <w:rsid w:val="00F32094"/>
    <w:rsid w:val="00F425C5"/>
    <w:rsid w:val="00F4307B"/>
    <w:rsid w:val="00F5049C"/>
    <w:rsid w:val="00F518A4"/>
    <w:rsid w:val="00F542AB"/>
    <w:rsid w:val="00F57B8B"/>
    <w:rsid w:val="00F62D18"/>
    <w:rsid w:val="00F71FB2"/>
    <w:rsid w:val="00F7445B"/>
    <w:rsid w:val="00F75EE7"/>
    <w:rsid w:val="00F80B9F"/>
    <w:rsid w:val="00F859F1"/>
    <w:rsid w:val="00F86D3E"/>
    <w:rsid w:val="00F87CF0"/>
    <w:rsid w:val="00F96641"/>
    <w:rsid w:val="00FA48CB"/>
    <w:rsid w:val="00FA77DA"/>
    <w:rsid w:val="00FA799A"/>
    <w:rsid w:val="00FA7AFB"/>
    <w:rsid w:val="00FB1E07"/>
    <w:rsid w:val="00FB222D"/>
    <w:rsid w:val="00FB270D"/>
    <w:rsid w:val="00FB57F8"/>
    <w:rsid w:val="00FB64D3"/>
    <w:rsid w:val="00FC35E6"/>
    <w:rsid w:val="00FC4452"/>
    <w:rsid w:val="00FC58E8"/>
    <w:rsid w:val="00FC693F"/>
    <w:rsid w:val="00FD3F05"/>
    <w:rsid w:val="00FD4464"/>
    <w:rsid w:val="00FD649A"/>
    <w:rsid w:val="00FE2DDA"/>
    <w:rsid w:val="00FE3359"/>
    <w:rsid w:val="00FE4B8B"/>
    <w:rsid w:val="00FE5A03"/>
    <w:rsid w:val="00FF1E98"/>
    <w:rsid w:val="00FF2675"/>
    <w:rsid w:val="00FF27C9"/>
    <w:rsid w:val="00FF6159"/>
    <w:rsid w:val="00FF72EC"/>
    <w:rsid w:val="00FF7BA0"/>
    <w:rsid w:val="016E7D8E"/>
    <w:rsid w:val="08A61CCD"/>
    <w:rsid w:val="08CA999D"/>
    <w:rsid w:val="093BB9C7"/>
    <w:rsid w:val="0A6D3BCC"/>
    <w:rsid w:val="0ABE7EA9"/>
    <w:rsid w:val="0B0328FA"/>
    <w:rsid w:val="0B27D57F"/>
    <w:rsid w:val="0B3E32F4"/>
    <w:rsid w:val="0CEE2A60"/>
    <w:rsid w:val="0DB52258"/>
    <w:rsid w:val="0F34C86A"/>
    <w:rsid w:val="0FB72439"/>
    <w:rsid w:val="10BBBB3A"/>
    <w:rsid w:val="113F3ADD"/>
    <w:rsid w:val="134287B8"/>
    <w:rsid w:val="13684A48"/>
    <w:rsid w:val="14806336"/>
    <w:rsid w:val="169D96CA"/>
    <w:rsid w:val="176C64F5"/>
    <w:rsid w:val="1A34205D"/>
    <w:rsid w:val="1B06C831"/>
    <w:rsid w:val="1C7C60C5"/>
    <w:rsid w:val="1CEF14D5"/>
    <w:rsid w:val="2079AA22"/>
    <w:rsid w:val="20B3A7FA"/>
    <w:rsid w:val="2353B46E"/>
    <w:rsid w:val="23D65E6E"/>
    <w:rsid w:val="249F477E"/>
    <w:rsid w:val="24C43381"/>
    <w:rsid w:val="266C2492"/>
    <w:rsid w:val="289376BB"/>
    <w:rsid w:val="2B43F23B"/>
    <w:rsid w:val="2CF46C5B"/>
    <w:rsid w:val="2F9FD495"/>
    <w:rsid w:val="308631BA"/>
    <w:rsid w:val="30C88AE4"/>
    <w:rsid w:val="3192E7C1"/>
    <w:rsid w:val="31B69407"/>
    <w:rsid w:val="32D5D1AF"/>
    <w:rsid w:val="33400FA7"/>
    <w:rsid w:val="3483522D"/>
    <w:rsid w:val="34C3C2CA"/>
    <w:rsid w:val="35C6BE2D"/>
    <w:rsid w:val="35DEC7FE"/>
    <w:rsid w:val="366ADC87"/>
    <w:rsid w:val="36C86331"/>
    <w:rsid w:val="37C5ED93"/>
    <w:rsid w:val="37D59EDC"/>
    <w:rsid w:val="3A38C348"/>
    <w:rsid w:val="3A39B019"/>
    <w:rsid w:val="3B6EA268"/>
    <w:rsid w:val="3C1B1B37"/>
    <w:rsid w:val="3D163F76"/>
    <w:rsid w:val="3DAA0AD9"/>
    <w:rsid w:val="416CD1C1"/>
    <w:rsid w:val="44D01B3E"/>
    <w:rsid w:val="4511595C"/>
    <w:rsid w:val="45E1D4C8"/>
    <w:rsid w:val="47800C65"/>
    <w:rsid w:val="4AD57AB3"/>
    <w:rsid w:val="4C70BC89"/>
    <w:rsid w:val="4C7121F3"/>
    <w:rsid w:val="4C72946D"/>
    <w:rsid w:val="4C99E340"/>
    <w:rsid w:val="4E8E282B"/>
    <w:rsid w:val="4F09054F"/>
    <w:rsid w:val="4F0E0BDB"/>
    <w:rsid w:val="52E32FBE"/>
    <w:rsid w:val="5302EEE2"/>
    <w:rsid w:val="53C5BEF0"/>
    <w:rsid w:val="53DCCDB7"/>
    <w:rsid w:val="56633F5F"/>
    <w:rsid w:val="571AF374"/>
    <w:rsid w:val="5817E5E7"/>
    <w:rsid w:val="586570A5"/>
    <w:rsid w:val="588C37C2"/>
    <w:rsid w:val="597F13A8"/>
    <w:rsid w:val="599154F7"/>
    <w:rsid w:val="5A0A86BA"/>
    <w:rsid w:val="5A63EDC9"/>
    <w:rsid w:val="5BE80E53"/>
    <w:rsid w:val="5C9F6621"/>
    <w:rsid w:val="5EE991C3"/>
    <w:rsid w:val="612DD0E5"/>
    <w:rsid w:val="623A9093"/>
    <w:rsid w:val="634FBCF4"/>
    <w:rsid w:val="645ACB6A"/>
    <w:rsid w:val="66A17CF2"/>
    <w:rsid w:val="694553C7"/>
    <w:rsid w:val="6A53A5C8"/>
    <w:rsid w:val="6A732A81"/>
    <w:rsid w:val="6A98C0B6"/>
    <w:rsid w:val="6AC1DA45"/>
    <w:rsid w:val="6B726BD8"/>
    <w:rsid w:val="6D8FBB8E"/>
    <w:rsid w:val="6F488D9A"/>
    <w:rsid w:val="700535B4"/>
    <w:rsid w:val="7175DBA5"/>
    <w:rsid w:val="73A1287F"/>
    <w:rsid w:val="73AF6CCC"/>
    <w:rsid w:val="7443A094"/>
    <w:rsid w:val="76906C5D"/>
    <w:rsid w:val="7C39D692"/>
    <w:rsid w:val="7C6692BC"/>
    <w:rsid w:val="7CC9CA48"/>
    <w:rsid w:val="7EABDA87"/>
    <w:rsid w:val="7EBE06C1"/>
    <w:rsid w:val="7F087F64"/>
    <w:rsid w:val="7F6EFE56"/>
    <w:rsid w:val="7FD0AA3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15ADD1"/>
  <w14:defaultImageDpi w14:val="300"/>
  <w15:docId w15:val="{DD70F709-17C6-429C-AF75-0C0A1A9BD7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3CA0"/>
    <w:pPr>
      <w:spacing w:after="120" w:line="254" w:lineRule="auto"/>
    </w:pPr>
    <w:rPr>
      <w:rFonts w:ascii="Times New Roman" w:eastAsia="Times New Roman" w:hAnsi="Times New Roman" w:cs="Times New Roman"/>
    </w:rPr>
  </w:style>
  <w:style w:type="paragraph" w:styleId="Heading1">
    <w:name w:val="heading 1"/>
    <w:basedOn w:val="Normal"/>
    <w:next w:val="Normal"/>
    <w:link w:val="Heading1Char"/>
    <w:uiPriority w:val="9"/>
    <w:qFormat/>
    <w:rsid w:val="000A5E99"/>
    <w:pPr>
      <w:keepNext/>
      <w:keepLines/>
      <w:spacing w:before="260" w:after="80"/>
      <w:outlineLvl w:val="0"/>
    </w:pPr>
    <w:rPr>
      <w:rFonts w:eastAsiaTheme="majorEastAsia" w:cstheme="majorBidi"/>
      <w:b/>
      <w:bCs/>
      <w:color w:val="000000" w:themeColor="text1"/>
      <w:sz w:val="28"/>
      <w:szCs w:val="28"/>
    </w:rPr>
  </w:style>
  <w:style w:type="paragraph" w:styleId="Heading2">
    <w:name w:val="heading 2"/>
    <w:basedOn w:val="Normal"/>
    <w:next w:val="Normal"/>
    <w:link w:val="Heading2Char"/>
    <w:uiPriority w:val="9"/>
    <w:unhideWhenUsed/>
    <w:qFormat/>
    <w:rsid w:val="000A5E99"/>
    <w:pPr>
      <w:keepNext/>
      <w:keepLines/>
      <w:spacing w:before="200" w:after="0"/>
      <w:outlineLvl w:val="1"/>
    </w:pPr>
    <w:rPr>
      <w:rFonts w:eastAsiaTheme="majorEastAsia" w:cstheme="majorBidi"/>
      <w:b/>
      <w:bCs/>
      <w:color w:val="000000" w:themeColor="text1"/>
      <w:sz w:val="26"/>
      <w:szCs w:val="26"/>
    </w:rPr>
  </w:style>
  <w:style w:type="paragraph" w:styleId="Heading3">
    <w:name w:val="heading 3"/>
    <w:basedOn w:val="Normal"/>
    <w:next w:val="Normal"/>
    <w:link w:val="Heading3Char"/>
    <w:uiPriority w:val="9"/>
    <w:unhideWhenUsed/>
    <w:qFormat/>
    <w:rsid w:val="000A5E99"/>
    <w:pPr>
      <w:keepNext/>
      <w:keepLines/>
      <w:spacing w:before="200" w:after="60"/>
      <w:outlineLvl w:val="2"/>
    </w:pPr>
    <w:rPr>
      <w:rFonts w:eastAsiaTheme="majorEastAsia" w:cstheme="majorBidi"/>
      <w:b/>
      <w:bCs/>
      <w:color w:val="000000" w:themeColor="tex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0A5E99"/>
    <w:rPr>
      <w:rFonts w:ascii="Times New Roman" w:eastAsiaTheme="majorEastAsia" w:hAnsi="Times New Roman" w:cstheme="majorBidi"/>
      <w:b/>
      <w:bCs/>
      <w:color w:val="000000" w:themeColor="text1"/>
      <w:sz w:val="28"/>
      <w:szCs w:val="28"/>
    </w:rPr>
  </w:style>
  <w:style w:type="character" w:customStyle="1" w:styleId="Heading2Char">
    <w:name w:val="Heading 2 Char"/>
    <w:basedOn w:val="DefaultParagraphFont"/>
    <w:link w:val="Heading2"/>
    <w:uiPriority w:val="9"/>
    <w:rsid w:val="000A5E99"/>
    <w:rPr>
      <w:rFonts w:ascii="Times New Roman" w:eastAsiaTheme="majorEastAsia" w:hAnsi="Times New Roman" w:cstheme="majorBidi"/>
      <w:b/>
      <w:bCs/>
      <w:color w:val="000000" w:themeColor="text1"/>
      <w:sz w:val="26"/>
      <w:szCs w:val="26"/>
    </w:rPr>
  </w:style>
  <w:style w:type="character" w:customStyle="1" w:styleId="Heading3Char">
    <w:name w:val="Heading 3 Char"/>
    <w:basedOn w:val="DefaultParagraphFont"/>
    <w:link w:val="Heading3"/>
    <w:uiPriority w:val="9"/>
    <w:rsid w:val="000A5E99"/>
    <w:rPr>
      <w:rFonts w:ascii="Times New Roman" w:eastAsiaTheme="majorEastAsia" w:hAnsi="Times New Roman" w:cstheme="majorBidi"/>
      <w:b/>
      <w:bCs/>
      <w:color w:val="000000" w:themeColor="text1"/>
      <w:sz w:val="24"/>
    </w:rPr>
  </w:style>
  <w:style w:type="paragraph" w:styleId="Title">
    <w:name w:val="Title"/>
    <w:basedOn w:val="Normal"/>
    <w:next w:val="Normal"/>
    <w:link w:val="TitleChar"/>
    <w:uiPriority w:val="10"/>
    <w:qFormat/>
    <w:rsid w:val="000A5E99"/>
    <w:pPr>
      <w:spacing w:after="320" w:line="240" w:lineRule="auto"/>
      <w:contextualSpacing/>
      <w:jc w:val="center"/>
    </w:pPr>
    <w:rPr>
      <w:rFonts w:eastAsiaTheme="majorEastAsia" w:cstheme="majorBidi"/>
      <w:b/>
      <w:color w:val="000000" w:themeColor="text1"/>
      <w:spacing w:val="5"/>
      <w:kern w:val="28"/>
      <w:sz w:val="44"/>
      <w:szCs w:val="52"/>
    </w:rPr>
  </w:style>
  <w:style w:type="character" w:customStyle="1" w:styleId="TitleChar">
    <w:name w:val="Title Char"/>
    <w:basedOn w:val="DefaultParagraphFont"/>
    <w:link w:val="Title"/>
    <w:uiPriority w:val="10"/>
    <w:rsid w:val="000A5E99"/>
    <w:rPr>
      <w:rFonts w:ascii="Times New Roman" w:eastAsiaTheme="majorEastAsia" w:hAnsi="Times New Roman" w:cstheme="majorBidi"/>
      <w:color w:val="000000" w:themeColor="text1"/>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name w:val="annotation reference"/>
    <w:basedOn w:val="DefaultParagraphFont"/>
    <w:uiPriority w:val="99"/>
    <w:semiHidden/>
    <w:unhideWhenUsed/>
    <w:rsid w:val="000A5E99"/>
    <w:rPr>
      <w:sz w:val="16"/>
      <w:szCs w:val="16"/>
    </w:rPr>
  </w:style>
  <w:style w:type="paragraph" w:styleId="CommentText">
    <w:name w:val="annotation text"/>
    <w:basedOn w:val="Normal"/>
    <w:link w:val="CommentTextChar"/>
    <w:uiPriority w:val="99"/>
    <w:semiHidden/>
    <w:unhideWhenUsed/>
    <w:rsid w:val="000A5E99"/>
    <w:pPr>
      <w:spacing w:line="240" w:lineRule="auto"/>
    </w:pPr>
    <w:rPr>
      <w:sz w:val="20"/>
      <w:szCs w:val="20"/>
    </w:rPr>
  </w:style>
  <w:style w:type="character" w:customStyle="1" w:styleId="CommentTextChar">
    <w:name w:val="Comment Text Char"/>
    <w:basedOn w:val="DefaultParagraphFont"/>
    <w:link w:val="CommentText"/>
    <w:uiPriority w:val="99"/>
    <w:semiHidden/>
    <w:rsid w:val="000A5E99"/>
    <w:rPr>
      <w:rFonts w:ascii="Times New Roman" w:eastAsia="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0A5E99"/>
    <w:rPr>
      <w:b/>
      <w:bCs/>
    </w:rPr>
  </w:style>
  <w:style w:type="character" w:customStyle="1" w:styleId="CommentSubjectChar">
    <w:name w:val="Comment Subject Char"/>
    <w:basedOn w:val="CommentTextChar"/>
    <w:link w:val="CommentSubject"/>
    <w:uiPriority w:val="99"/>
    <w:semiHidden/>
    <w:rsid w:val="000A5E99"/>
    <w:rPr>
      <w:rFonts w:ascii="Times New Roman" w:eastAsia="Times New Roman" w:hAnsi="Times New Roman"/>
      <w:b/>
      <w:bCs/>
      <w:sz w:val="20"/>
      <w:szCs w:val="20"/>
    </w:rPr>
  </w:style>
  <w:style w:type="character" w:styleId="Hyperlink">
    <w:name w:val="Hyperlink"/>
    <w:basedOn w:val="DefaultParagraphFont"/>
    <w:uiPriority w:val="99"/>
    <w:unhideWhenUsed/>
    <w:rsid w:val="000A5E99"/>
    <w:rPr>
      <w:color w:val="0000FF" w:themeColor="hyperlink"/>
      <w:u w:val="single"/>
    </w:rPr>
  </w:style>
  <w:style w:type="paragraph" w:customStyle="1" w:styleId="FirstParagraph">
    <w:name w:val="First Paragraph"/>
    <w:basedOn w:val="BodyText"/>
    <w:next w:val="BodyText"/>
    <w:qFormat/>
    <w:rsid w:val="000A5E99"/>
    <w:pPr>
      <w:spacing w:before="180"/>
    </w:pPr>
    <w:rPr>
      <w:rFonts w:asciiTheme="minorHAnsi" w:eastAsiaTheme="minorEastAsia" w:hAnsiTheme="minorHAnsi"/>
      <w:szCs w:val="24"/>
      <w:lang w:eastAsia="zh-CN"/>
    </w:rPr>
  </w:style>
  <w:style w:type="character" w:customStyle="1" w:styleId="VerbatimChar">
    <w:name w:val="Verbatim Char"/>
    <w:basedOn w:val="DefaultParagraphFont"/>
    <w:link w:val="SourceCode"/>
    <w:rsid w:val="000A5E99"/>
    <w:rPr>
      <w:rFonts w:ascii="Consolas" w:hAnsi="Consolas"/>
    </w:rPr>
  </w:style>
  <w:style w:type="paragraph" w:customStyle="1" w:styleId="SourceCode">
    <w:name w:val="Source Code"/>
    <w:basedOn w:val="Normal"/>
    <w:link w:val="VerbatimChar"/>
    <w:rsid w:val="000A5E99"/>
    <w:pPr>
      <w:wordWrap w:val="0"/>
      <w:spacing w:after="200" w:line="240" w:lineRule="auto"/>
    </w:pPr>
    <w:rPr>
      <w:rFonts w:ascii="Consolas" w:eastAsiaTheme="minorEastAsia" w:hAnsi="Consolas"/>
    </w:rPr>
  </w:style>
  <w:style w:type="paragraph" w:styleId="Bibliography">
    <w:name w:val="Bibliography"/>
    <w:basedOn w:val="Normal"/>
    <w:next w:val="Normal"/>
    <w:uiPriority w:val="37"/>
    <w:unhideWhenUsed/>
    <w:rsid w:val="000A5E99"/>
    <w:pPr>
      <w:spacing w:after="40" w:line="240" w:lineRule="auto"/>
      <w:ind w:left="280" w:hanging="280"/>
    </w:pPr>
    <w:rPr>
      <w:sz w:val="19"/>
    </w:rPr>
  </w:style>
  <w:style w:type="paragraph" w:customStyle="1" w:styleId="Figurecaption">
    <w:name w:val="Figure caption"/>
    <w:basedOn w:val="Normal"/>
    <w:qFormat/>
    <w:rsid w:val="000A5E99"/>
    <w:pPr>
      <w:spacing w:before="100" w:after="180" w:line="240" w:lineRule="auto"/>
    </w:pPr>
    <w:rPr>
      <w:b/>
      <w:bCs/>
      <w:sz w:val="19"/>
      <w:szCs w:val="20"/>
      <w:lang w:val="en-GB"/>
    </w:rPr>
  </w:style>
  <w:style w:type="paragraph" w:styleId="NormalWeb">
    <w:name w:val="Normal (Web)"/>
    <w:basedOn w:val="Normal"/>
    <w:uiPriority w:val="99"/>
    <w:semiHidden/>
    <w:unhideWhenUsed/>
    <w:rsid w:val="000A5E99"/>
    <w:rPr>
      <w:sz w:val="24"/>
      <w:szCs w:val="24"/>
    </w:rPr>
  </w:style>
  <w:style w:type="character" w:styleId="PlaceholderText">
    <w:name w:val="Placeholder Text"/>
    <w:basedOn w:val="DefaultParagraphFont"/>
    <w:uiPriority w:val="99"/>
    <w:semiHidden/>
    <w:rsid w:val="00345F4E"/>
    <w:rPr>
      <w:color w:val="666666"/>
    </w:rPr>
  </w:style>
  <w:style w:type="paragraph" w:customStyle="1" w:styleId="pdq2pgselectionanchorcontainer">
    <w:name w:val="pdq2pg_selectionanchorcontainer"/>
    <w:basedOn w:val="Normal"/>
    <w:rsid w:val="00624E84"/>
    <w:pPr>
      <w:spacing w:before="100" w:beforeAutospacing="1" w:after="100" w:afterAutospacing="1" w:line="240" w:lineRule="auto"/>
    </w:pPr>
    <w:rPr>
      <w:sz w:val="24"/>
      <w:szCs w:val="24"/>
    </w:rPr>
  </w:style>
  <w:style w:type="paragraph" w:styleId="Revision">
    <w:name w:val="Revision"/>
    <w:hidden/>
    <w:uiPriority w:val="99"/>
    <w:semiHidden/>
    <w:rsid w:val="00DB6BD0"/>
    <w:pPr>
      <w:spacing w:after="0" w:line="240" w:lineRule="auto"/>
    </w:pPr>
    <w:rPr>
      <w:rFonts w:ascii="Times New Roman" w:eastAsia="Times New Roman" w:hAnsi="Times New Roman" w:cs="Times New Roman"/>
    </w:rPr>
  </w:style>
  <w:style w:type="character" w:styleId="UnresolvedMention">
    <w:name w:val="Unresolved Mention"/>
    <w:basedOn w:val="DefaultParagraphFont"/>
    <w:uiPriority w:val="99"/>
    <w:semiHidden/>
    <w:unhideWhenUsed/>
    <w:rsid w:val="00236D48"/>
    <w:rPr>
      <w:color w:val="605E5C"/>
      <w:shd w:val="clear" w:color="auto" w:fill="E1DFDD"/>
    </w:rPr>
  </w:style>
  <w:style w:type="character" w:styleId="LineNumber">
    <w:name w:val="line number"/>
    <w:basedOn w:val="DefaultParagraphFont"/>
    <w:uiPriority w:val="99"/>
    <w:semiHidden/>
    <w:unhideWhenUsed/>
    <w:rsid w:val="00F80B9F"/>
  </w:style>
  <w:style w:type="character" w:styleId="Mention">
    <w:name w:val="Mention"/>
    <w:basedOn w:val="DefaultParagraphFont"/>
    <w:uiPriority w:val="99"/>
    <w:unhideWhenUsed/>
    <w:rsid w:val="005E711E"/>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3.png"/><Relationship Id="rId18" Type="http://schemas.microsoft.com/office/2019/05/relationships/documenttasks" Target="documenttasks/documenttasks1.xml"/><Relationship Id="rId3" Type="http://schemas.openxmlformats.org/officeDocument/2006/relationships/styles" Target="styles.xml"/><Relationship Id="rId7" Type="http://schemas.openxmlformats.org/officeDocument/2006/relationships/comments" Target="comment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hyperlink" Target="mailto:francesco.polazzo@uzh.ch" TargetMode="Externa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fontTable" Target="fontTable.xml"/><Relationship Id="rId10" Type="http://schemas.microsoft.com/office/2018/08/relationships/commentsExtensible" Target="commentsExtensible.xml"/><Relationship Id="rId4" Type="http://schemas.openxmlformats.org/officeDocument/2006/relationships/settings" Target="settings.xml"/><Relationship Id="rId9" Type="http://schemas.microsoft.com/office/2016/09/relationships/commentsIds" Target="commentsIds.xml"/><Relationship Id="rId14" Type="http://schemas.openxmlformats.org/officeDocument/2006/relationships/image" Target="media/image4.png"/></Relationships>
</file>

<file path=word/documenttasks/documenttasks1.xml><?xml version="1.0" encoding="utf-8"?>
<t:Tasks xmlns:t="http://schemas.microsoft.com/office/tasks/2019/documenttasks" xmlns:oel="http://schemas.microsoft.com/office/2019/extlst">
  <t:Task id="{320A9706-1990-214B-9182-6EE95B9389AB}">
    <t:Anchor>
      <t:Comment id="1328192003"/>
    </t:Anchor>
    <t:History>
      <t:Event id="{1847B970-E193-1040-8E6A-62EC04B269B1}" time="2026-09-21T11:41:30.806Z">
        <t:Attribution userId="S::owen.petchey@ieu.uzh.ch::9c0adbac-50b3-4e0d-a421-9f8bbebbac20" userProvider="AD" userName="Owen Petchey"/>
        <t:Anchor>
          <t:Comment id="1615992512"/>
        </t:Anchor>
        <t:Create/>
      </t:Event>
      <t:Event id="{7B66852C-D227-5F45-8B42-356FF36053C4}" time="2026-09-21T11:41:30.806Z">
        <t:Attribution userId="S::owen.petchey@ieu.uzh.ch::9c0adbac-50b3-4e0d-a421-9f8bbebbac20" userProvider="AD" userName="Owen Petchey"/>
        <t:Anchor>
          <t:Comment id="1615992512"/>
        </t:Anchor>
        <t:Assign userId="S::francesco.polazzo@uzh.ch::e76d7680-a5b1-4a89-858b-095b5bf4af9e" userProvider="AD" userName="Francesco Polazzo"/>
      </t:Event>
      <t:Event id="{E2DC9915-429D-8A47-821D-A800985BDB07}" time="2026-09-21T11:41:30.806Z">
        <t:Attribution userId="S::owen.petchey@ieu.uzh.ch::9c0adbac-50b3-4e0d-a421-9f8bbebbac20" userProvider="AD" userName="Owen Petchey"/>
        <t:Anchor>
          <t:Comment id="1615992512"/>
        </t:Anchor>
        <t:SetTitle title="@Francesco Polazzo Hi Francesco, I added this, a paragraph in the results and supplement 4 to the repo. Please take a look."/>
      </t:Event>
      <t:Event id="{C24B6D1F-D7D4-A049-8E00-A26974E03AA5}" time="2026-09-28T08:23:51.607Z">
        <t:Attribution userId="S::francesco.polazzo@uzh.ch::e76d7680-a5b1-4a89-858b-095b5bf4af9e" userProvider="AD" userName="Francesco Polazzo"/>
        <t:Progress percentComplete="100"/>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15</Pages>
  <Words>25969</Words>
  <Characters>148029</Characters>
  <Application>Microsoft Office Word</Application>
  <DocSecurity>0</DocSecurity>
  <Lines>1233</Lines>
  <Paragraphs>347</Paragraphs>
  <ScaleCrop>false</ScaleCrop>
  <Manager/>
  <Company/>
  <LinksUpToDate>false</LinksUpToDate>
  <CharactersWithSpaces>173651</CharactersWithSpaces>
  <SharedDoc>false</SharedDoc>
  <HyperlinkBase/>
  <HLinks>
    <vt:vector size="6" baseType="variant">
      <vt:variant>
        <vt:i4>7143454</vt:i4>
      </vt:variant>
      <vt:variant>
        <vt:i4>0</vt:i4>
      </vt:variant>
      <vt:variant>
        <vt:i4>0</vt:i4>
      </vt:variant>
      <vt:variant>
        <vt:i4>5</vt:i4>
      </vt:variant>
      <vt:variant>
        <vt:lpwstr>mailto:francesco.polazzo@uzh.ch</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Community performance curves forecast temporal stability despite interactions</dc:title>
  <dc:subject>Clean, fully revised manuscript for Science submission</dc:subject>
  <dc:creator>OpenAI</dc:creator>
  <cp:keywords/>
  <dc:description>Clean editorial revision.</dc:description>
  <cp:lastModifiedBy>Francesco Polazzo</cp:lastModifiedBy>
  <cp:revision>3</cp:revision>
  <dcterms:created xsi:type="dcterms:W3CDTF">2026-10-06T14:04:00Z</dcterms:created>
  <dcterms:modified xsi:type="dcterms:W3CDTF">2026-10-06T14:05:00Z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id="iYLcx6B4"/&gt;&lt;style id="http://www.zotero.org/styles/ecology-letters" hasBibliography="1" bibliographyStyleHasBeenSet="1"/&gt;&lt;prefs&gt;&lt;pref name="fieldType" value="Field"/&gt;&lt;pref name="automaticJournalAb</vt:lpwstr>
  </property>
  <property fmtid="{D5CDD505-2E9C-101B-9397-08002B2CF9AE}" pid="3" name="ZOTERO_PREF_2">
    <vt:lpwstr>breviations" value="true"/&gt;&lt;/prefs&gt;&lt;/data&gt;</vt:lpwstr>
  </property>
</Properties>
</file>