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Revised Lotka Volterra Simulation Methods</w:t>
      </w:r>
    </w:p>
    <w:bookmarkStart w:id="28" w:name="lotkavolterra-simulations"/>
    <w:p>
      <w:pPr>
        <w:pStyle w:val="Heading3"/>
      </w:pPr>
      <w:r>
        <w:t xml:space="preserve">Lotka–Volterra simulations</w:t>
      </w:r>
    </w:p>
    <w:p>
      <w:pPr>
        <w:pStyle w:val="FirstParagraph"/>
      </w:pPr>
      <w:r>
        <w:t xml:space="preserve">In the Lotka–Volterra simulations, species biomass was modelled in continuous time. The rate of change in the biomass of species</w:t>
      </w:r>
      <w:r>
        <w:t xml:space="preserve"> </w:t>
      </w:r>
      <m:oMath>
        <m:r>
          <m:t>i</m:t>
        </m:r>
      </m:oMath>
      <w:r>
        <w:t xml:space="preserve"> </w:t>
      </w:r>
      <w:r>
        <w:t xml:space="preserve">depended on its temperature-dependent intrinsic growth rate, its temperature-dependent carrying capacity, the competitive effects of all species in the community, and a constant immigration flux:</w:t>
      </w:r>
    </w:p>
    <w:p>
      <w:pPr>
        <w:pStyle w:val="BodyText"/>
      </w:pPr>
      <w:bookmarkStart w:id="23" w:name="eq-lv-dynamics"/>
      <m:oMathPara>
        <m:oMathParaPr>
          <m:jc m:val="center"/>
        </m:oMathParaPr>
        <m:oMath>
          <m:f>
            <m:fPr>
              <m:type m:val="bar"/>
            </m:fPr>
            <m:num>
              <m:r>
                <m:t>d</m:t>
              </m:r>
              <m:sSub>
                <m:e>
                  <m:r>
                    <m:t>N</m:t>
                  </m:r>
                </m:e>
                <m:sub>
                  <m:r>
                    <m:t>i</m:t>
                  </m:r>
                </m:sub>
              </m:sSub>
              <m:r>
                <m:rPr>
                  <m:sty m:val="p"/>
                </m:rPr>
                <m:t>(</m:t>
              </m:r>
              <m:r>
                <m:t>t</m:t>
              </m:r>
              <m:r>
                <m:rPr>
                  <m:sty m:val="p"/>
                </m:rPr>
                <m:t>)</m:t>
              </m:r>
            </m:num>
            <m:den>
              <m:r>
                <m:t>d</m:t>
              </m:r>
              <m:r>
                <m:t>t</m:t>
              </m:r>
            </m:den>
          </m:f>
          <m:r>
            <m:rPr>
              <m:sty m:val="p"/>
            </m:rPr>
            <m:t>=</m:t>
          </m:r>
          <m:sSub>
            <m:e>
              <m:r>
                <m:t>N</m:t>
              </m:r>
            </m:e>
            <m:sub>
              <m:r>
                <m:t>i</m:t>
              </m:r>
            </m:sub>
          </m:sSub>
          <m:r>
            <m:rPr>
              <m:sty m:val="p"/>
            </m:rPr>
            <m:t>(</m:t>
          </m:r>
          <m:r>
            <m:t>t</m:t>
          </m:r>
          <m:r>
            <m:rPr>
              <m:sty m:val="p"/>
            </m:rPr>
            <m:t>)</m:t>
          </m:r>
          <m:r>
            <m:t> </m:t>
          </m:r>
          <m:sSub>
            <m:e>
              <m:acc>
                <m:accPr>
                  <m:chr m:val="̃"/>
                </m:accPr>
                <m:e>
                  <m:r>
                    <m:t>r</m:t>
                  </m:r>
                </m:e>
              </m:acc>
            </m:e>
            <m:sub>
              <m:r>
                <m:t>i</m:t>
              </m:r>
            </m:sub>
          </m:sSub>
          <m:r>
            <m:rPr>
              <m:sty m:val="p"/>
            </m:rPr>
            <m:t>(</m:t>
          </m:r>
          <m:sSub>
            <m:e>
              <m:r>
                <m:t>T</m:t>
              </m:r>
            </m:e>
            <m:sub>
              <m:r>
                <m:t>t</m:t>
              </m:r>
            </m:sub>
          </m:sSub>
          <m:r>
            <m:rPr>
              <m:sty m:val="p"/>
            </m:rPr>
            <m:t>)</m:t>
          </m:r>
          <m:d>
            <m:dPr>
              <m:begChr m:val="["/>
              <m:sepChr m:val=""/>
              <m:endChr m:val="]"/>
              <m:grow/>
            </m:dPr>
            <m:e>
              <m:r>
                <m:t>1</m:t>
              </m:r>
              <m:r>
                <m:rPr>
                  <m:sty m:val="p"/>
                </m:rPr>
                <m:t>−</m:t>
              </m:r>
              <m:f>
                <m:fPr>
                  <m:type m:val="bar"/>
                </m:fPr>
                <m:num>
                  <m:nary>
                    <m:naryPr>
                      <m:chr m:val="∑"/>
                      <m:limLoc m:val="undOvr"/>
                      <m:subHide m:val="off"/>
                      <m:supHide m:val="off"/>
                    </m:naryPr>
                    <m:sub>
                      <m:r>
                        <m:t>j</m:t>
                      </m:r>
                      <m:r>
                        <m:rPr>
                          <m:sty m:val="p"/>
                        </m:rPr>
                        <m:t>=</m:t>
                      </m:r>
                      <m:r>
                        <m:t>1</m:t>
                      </m:r>
                    </m:sub>
                    <m:sup>
                      <m:r>
                        <m:t>S</m:t>
                      </m:r>
                    </m:sup>
                    <m:e>
                      <m:sSub>
                        <m:e>
                          <m:r>
                            <m:t>α</m:t>
                          </m:r>
                        </m:e>
                        <m:sub>
                          <m:r>
                            <m:t>i</m:t>
                          </m:r>
                          <m:r>
                            <m:t>j</m:t>
                          </m:r>
                        </m:sub>
                      </m:sSub>
                    </m:e>
                  </m:nary>
                  <m:sSub>
                    <m:e>
                      <m:r>
                        <m:t>N</m:t>
                      </m:r>
                    </m:e>
                    <m:sub>
                      <m:r>
                        <m:t>j</m:t>
                      </m:r>
                    </m:sub>
                  </m:sSub>
                  <m:r>
                    <m:rPr>
                      <m:sty m:val="p"/>
                    </m:rPr>
                    <m:t>(</m:t>
                  </m:r>
                  <m:r>
                    <m:t>t</m:t>
                  </m:r>
                  <m:r>
                    <m:rPr>
                      <m:sty m:val="p"/>
                    </m:rPr>
                    <m:t>)</m:t>
                  </m:r>
                </m:num>
                <m:den>
                  <m:sSub>
                    <m:e>
                      <m:r>
                        <m:t>K</m:t>
                      </m:r>
                    </m:e>
                    <m:sub>
                      <m:r>
                        <m:t>i</m:t>
                      </m:r>
                    </m:sub>
                  </m:sSub>
                  <m:r>
                    <m:rPr>
                      <m:sty m:val="p"/>
                    </m:rPr>
                    <m:t>(</m:t>
                  </m:r>
                  <m:sSub>
                    <m:e>
                      <m:r>
                        <m:t>T</m:t>
                      </m:r>
                    </m:e>
                    <m:sub>
                      <m:r>
                        <m:t>t</m:t>
                      </m:r>
                    </m:sub>
                  </m:sSub>
                  <m:r>
                    <m:rPr>
                      <m:sty m:val="p"/>
                    </m:rPr>
                    <m:t>)</m:t>
                  </m:r>
                </m:den>
              </m:f>
            </m:e>
          </m:d>
          <m:r>
            <m:rPr>
              <m:sty m:val="p"/>
            </m:rPr>
            <m:t>+</m:t>
          </m:r>
          <m:r>
            <m:t>I</m:t>
          </m:r>
          <m:r>
            <m:rPr>
              <m:sty m:val="p"/>
            </m:rPr>
            <m:t>.</m:t>
          </m:r>
          <m:r>
            <m:t>  </m:t>
          </m:r>
          <m:r>
            <m:rPr>
              <m:sty m:val="p"/>
            </m:rPr>
            <m:t>(</m:t>
          </m:r>
          <m:r>
            <m:t>1</m:t>
          </m:r>
          <m:r>
            <m:rPr>
              <m:sty m:val="p"/>
            </m:rPr>
            <m:t>)</m:t>
          </m:r>
        </m:oMath>
      </m:oMathPara>
      <w:bookmarkEnd w:id="23"/>
    </w:p>
    <w:p>
      <w:pPr>
        <w:pStyle w:val="FirstParagraph"/>
      </w:pPr>
      <w:r>
        <w:t xml:space="preserve">Here,</w:t>
      </w:r>
      <w:r>
        <w:t xml:space="preserve"> </w:t>
      </w:r>
      <m:oMath>
        <m:sSub>
          <m:e>
            <m:r>
              <m:t>N</m:t>
            </m:r>
          </m:e>
          <m:sub>
            <m:r>
              <m:t>i</m:t>
            </m:r>
          </m:sub>
        </m:sSub>
        <m:r>
          <m:rPr>
            <m:sty m:val="p"/>
          </m:rPr>
          <m:t>(</m:t>
        </m:r>
        <m:r>
          <m:t>t</m:t>
        </m:r>
        <m:r>
          <m:rPr>
            <m:sty m:val="p"/>
          </m:rPr>
          <m:t>)</m:t>
        </m:r>
      </m:oMath>
      <w:r>
        <w:t xml:space="preserve"> </w:t>
      </w:r>
      <w:r>
        <w:t xml:space="preserve">is the biomass of species</w:t>
      </w:r>
      <w:r>
        <w:t xml:space="preserve"> </w:t>
      </w:r>
      <m:oMath>
        <m:r>
          <m:t>i</m:t>
        </m:r>
      </m:oMath>
      <w:r>
        <w:t xml:space="preserve"> </w:t>
      </w:r>
      <w:r>
        <w:t xml:space="preserve">at time</w:t>
      </w:r>
      <w:r>
        <w:t xml:space="preserve"> </w:t>
      </w:r>
      <m:oMath>
        <m:r>
          <m:t>t</m:t>
        </m:r>
      </m:oMath>
      <w:r>
        <w:t xml:space="preserve">,</w:t>
      </w:r>
      <w:r>
        <w:t xml:space="preserve"> </w:t>
      </w:r>
      <m:oMath>
        <m:r>
          <m:t>S</m:t>
        </m:r>
      </m:oMath>
      <w:r>
        <w:t xml:space="preserve"> </w:t>
      </w:r>
      <w:r>
        <w:t xml:space="preserve">is species richness,</w:t>
      </w:r>
      <w:r>
        <w:t xml:space="preserve"> </w:t>
      </w:r>
      <m:oMath>
        <m:sSub>
          <m:e>
            <m:r>
              <m:t>α</m:t>
            </m:r>
          </m:e>
          <m:sub>
            <m:r>
              <m:t>i</m:t>
            </m:r>
            <m:r>
              <m:t>j</m:t>
            </m:r>
          </m:sub>
        </m:sSub>
      </m:oMath>
      <w:r>
        <w:t xml:space="preserve"> </w:t>
      </w:r>
      <w:r>
        <w:t xml:space="preserve">is the effect of species</w:t>
      </w:r>
      <w:r>
        <w:t xml:space="preserve"> </w:t>
      </w:r>
      <m:oMath>
        <m:r>
          <m:t>j</m:t>
        </m:r>
      </m:oMath>
      <w:r>
        <w:t xml:space="preserve"> </w:t>
      </w:r>
      <w:r>
        <w:t xml:space="preserve">on species</w:t>
      </w:r>
      <w:r>
        <w:t xml:space="preserve"> </w:t>
      </w:r>
      <m:oMath>
        <m:r>
          <m:t>i</m:t>
        </m:r>
      </m:oMath>
      <w:r>
        <w:t xml:space="preserve">,</w:t>
      </w:r>
      <w:r>
        <w:t xml:space="preserve"> </w:t>
      </w:r>
      <m:oMath>
        <m:sSub>
          <m:e>
            <m:r>
              <m:t>K</m:t>
            </m:r>
          </m:e>
          <m:sub>
            <m:r>
              <m:t>i</m:t>
            </m:r>
          </m:sub>
        </m:sSub>
        <m:r>
          <m:rPr>
            <m:sty m:val="p"/>
          </m:rPr>
          <m:t>(</m:t>
        </m:r>
        <m:sSub>
          <m:e>
            <m:r>
              <m:t>T</m:t>
            </m:r>
          </m:e>
          <m:sub>
            <m:r>
              <m:t>t</m:t>
            </m:r>
          </m:sub>
        </m:sSub>
        <m:r>
          <m:rPr>
            <m:sty m:val="p"/>
          </m:rPr>
          <m:t>)</m:t>
        </m:r>
      </m:oMath>
      <w:r>
        <w:t xml:space="preserve"> </w:t>
      </w:r>
      <w:r>
        <w:t xml:space="preserve">is the temperature-dependent carrying capacity of species</w:t>
      </w:r>
      <w:r>
        <w:t xml:space="preserve"> </w:t>
      </w:r>
      <m:oMath>
        <m:r>
          <m:t>i</m:t>
        </m:r>
      </m:oMath>
      <w:r>
        <w:t xml:space="preserve"> </w:t>
      </w:r>
      <w:r>
        <w:t xml:space="preserve">in the absence of interspecific effects, and</w:t>
      </w:r>
      <w:r>
        <w:t xml:space="preserve"> </w:t>
      </w:r>
      <m:oMath>
        <m:sSub>
          <m:e>
            <m:acc>
              <m:accPr>
                <m:chr m:val="̃"/>
              </m:accPr>
              <m:e>
                <m:r>
                  <m:t>r</m:t>
                </m:r>
              </m:e>
            </m:acc>
          </m:e>
          <m:sub>
            <m:r>
              <m:t>i</m:t>
            </m:r>
          </m:sub>
        </m:sSub>
        <m:r>
          <m:rPr>
            <m:sty m:val="p"/>
          </m:rPr>
          <m:t>(</m:t>
        </m:r>
        <m:sSub>
          <m:e>
            <m:r>
              <m:t>T</m:t>
            </m:r>
          </m:e>
          <m:sub>
            <m:r>
              <m:t>t</m:t>
            </m:r>
          </m:sub>
        </m:sSub>
        <m:r>
          <m:rPr>
            <m:sty m:val="p"/>
          </m:rPr>
          <m:t>)</m:t>
        </m:r>
      </m:oMath>
      <w:r>
        <w:t xml:space="preserve"> </w:t>
      </w:r>
      <w:r>
        <w:t xml:space="preserve">is its temperature-dependent intrinsic growth rate. The implementation defined</w:t>
      </w:r>
    </w:p>
    <w:p>
      <w:pPr>
        <w:pStyle w:val="BodyText"/>
      </w:pPr>
      <w:bookmarkStart w:id="24" w:name="eq-intrinsic-growth"/>
      <m:oMathPara>
        <m:oMathParaPr>
          <m:jc m:val="center"/>
        </m:oMathParaPr>
        <m:oMath>
          <m:sSub>
            <m:e>
              <m:acc>
                <m:accPr>
                  <m:chr m:val="̃"/>
                </m:accPr>
                <m:e>
                  <m:r>
                    <m:t>r</m:t>
                  </m:r>
                </m:e>
              </m:acc>
            </m:e>
            <m:sub>
              <m:r>
                <m:t>i</m:t>
              </m:r>
            </m:sub>
          </m:sSub>
          <m:r>
            <m:rPr>
              <m:sty m:val="p"/>
            </m:rPr>
            <m:t>(</m:t>
          </m:r>
          <m:r>
            <m:t>T</m:t>
          </m:r>
          <m:r>
            <m:rPr>
              <m:sty m:val="p"/>
            </m:rPr>
            <m:t>)</m:t>
          </m:r>
          <m:r>
            <m:rPr>
              <m:sty m:val="p"/>
            </m:rPr>
            <m:t>=</m:t>
          </m:r>
          <m:sSub>
            <m:e>
              <m:r>
                <m:t>b</m:t>
              </m:r>
            </m:e>
            <m:sub>
              <m:r>
                <m:t>i</m:t>
              </m:r>
            </m:sub>
          </m:sSub>
          <m:r>
            <m:rPr>
              <m:sty m:val="p"/>
            </m:rPr>
            <m:t>(</m:t>
          </m:r>
          <m:r>
            <m:t>T</m:t>
          </m:r>
          <m:r>
            <m:rPr>
              <m:sty m:val="p"/>
            </m:rPr>
            <m:t>)</m:t>
          </m:r>
          <m:r>
            <m:rPr>
              <m:sty m:val="p"/>
            </m:rPr>
            <m:t>−</m:t>
          </m:r>
          <m:sSub>
            <m:e>
              <m:r>
                <m:t>d</m:t>
              </m:r>
            </m:e>
            <m:sub>
              <m:r>
                <m:t>i</m:t>
              </m:r>
            </m:sub>
          </m:sSub>
          <m:r>
            <m:rPr>
              <m:sty m:val="p"/>
            </m:rPr>
            <m:t>(</m:t>
          </m:r>
          <m:r>
            <m:t>T</m:t>
          </m:r>
          <m:r>
            <m:rPr>
              <m:sty m:val="p"/>
            </m:rPr>
            <m:t>)</m:t>
          </m:r>
          <m:r>
            <m:rPr>
              <m:sty m:val="p"/>
            </m:rPr>
            <m:t>+</m:t>
          </m:r>
          <m:r>
            <m:t>ε</m:t>
          </m:r>
          <m:r>
            <m:rPr>
              <m:sty m:val="p"/>
            </m:rPr>
            <m:t>,</m:t>
          </m:r>
          <m:r>
            <m:t>  </m:t>
          </m:r>
          <m:r>
            <m:rPr>
              <m:sty m:val="p"/>
            </m:rPr>
            <m:t>(</m:t>
          </m:r>
          <m:r>
            <m:t>2</m:t>
          </m:r>
          <m:r>
            <m:rPr>
              <m:sty m:val="p"/>
            </m:rPr>
            <m:t>)</m:t>
          </m:r>
        </m:oMath>
      </m:oMathPara>
      <w:bookmarkEnd w:id="24"/>
    </w:p>
    <w:p>
      <w:pPr>
        <w:pStyle w:val="FirstParagraph"/>
      </w:pPr>
      <w:r>
        <w:t xml:space="preserve">where</w:t>
      </w:r>
      <w:r>
        <w:t xml:space="preserve"> </w:t>
      </w:r>
      <m:oMath>
        <m:r>
          <m:t>ε</m:t>
        </m:r>
        <m:r>
          <m:rPr>
            <m:sty m:val="p"/>
          </m:rPr>
          <m:t>=</m:t>
        </m:r>
        <m:sSup>
          <m:e>
            <m:r>
              <m:t>10</m:t>
            </m:r>
          </m:e>
          <m:sup>
            <m:r>
              <m:rPr>
                <m:sty m:val="p"/>
              </m:rPr>
              <m:t>−</m:t>
            </m:r>
            <m:r>
              <m:t>6</m:t>
            </m:r>
          </m:sup>
        </m:sSup>
      </m:oMath>
      <w:r>
        <w:t xml:space="preserve"> </w:t>
      </w:r>
      <w:r>
        <w:t xml:space="preserve">is a small numerical offset, and set carrying capacity to</w:t>
      </w:r>
    </w:p>
    <w:p>
      <w:pPr>
        <w:pStyle w:val="BodyText"/>
      </w:pPr>
      <w:bookmarkStart w:id="25" w:name="eq-carrying-capacity"/>
      <m:oMathPara>
        <m:oMathParaPr>
          <m:jc m:val="center"/>
        </m:oMathParaPr>
        <m:oMath>
          <m:sSub>
            <m:e>
              <m:r>
                <m:t>K</m:t>
              </m:r>
            </m:e>
            <m:sub>
              <m:r>
                <m:t>i</m:t>
              </m:r>
            </m:sub>
          </m:sSub>
          <m:r>
            <m:rPr>
              <m:sty m:val="p"/>
            </m:rPr>
            <m:t>(</m:t>
          </m:r>
          <m:r>
            <m:t>T</m:t>
          </m:r>
          <m:r>
            <m:rPr>
              <m:sty m:val="p"/>
            </m:rPr>
            <m:t>)</m:t>
          </m:r>
          <m:r>
            <m:rPr>
              <m:sty m:val="p"/>
            </m:rPr>
            <m:t>=</m:t>
          </m:r>
          <m:f>
            <m:fPr>
              <m:type m:val="bar"/>
            </m:fPr>
            <m:num>
              <m:sSub>
                <m:e>
                  <m:acc>
                    <m:accPr>
                      <m:chr m:val="̃"/>
                    </m:accPr>
                    <m:e>
                      <m:r>
                        <m:t>r</m:t>
                      </m:r>
                    </m:e>
                  </m:acc>
                </m:e>
                <m:sub>
                  <m:r>
                    <m:t>i</m:t>
                  </m:r>
                </m:sub>
              </m:sSub>
              <m:r>
                <m:rPr>
                  <m:sty m:val="p"/>
                </m:rPr>
                <m:t>(</m:t>
              </m:r>
              <m:r>
                <m:t>T</m:t>
              </m:r>
              <m:r>
                <m:rPr>
                  <m:sty m:val="p"/>
                </m:rPr>
                <m:t>)</m:t>
              </m:r>
            </m:num>
            <m:den>
              <m:r>
                <m:t>β</m:t>
              </m:r>
              <m:r>
                <m:rPr>
                  <m:sty m:val="p"/>
                </m:rPr>
                <m:t>+</m:t>
              </m:r>
              <m:r>
                <m:t>δ</m:t>
              </m:r>
            </m:den>
          </m:f>
          <m:r>
            <m:rPr>
              <m:sty m:val="p"/>
            </m:rPr>
            <m:t>,</m:t>
          </m:r>
          <m:r>
            <m:t>  </m:t>
          </m:r>
          <m:r>
            <m:rPr>
              <m:sty m:val="p"/>
            </m:rPr>
            <m:t>(</m:t>
          </m:r>
          <m:r>
            <m:t>3</m:t>
          </m:r>
          <m:r>
            <m:rPr>
              <m:sty m:val="p"/>
            </m:rPr>
            <m:t>)</m:t>
          </m:r>
        </m:oMath>
      </m:oMathPara>
      <w:bookmarkEnd w:id="25"/>
    </w:p>
    <w:p>
      <w:pPr>
        <w:pStyle w:val="FirstParagraph"/>
      </w:pPr>
      <w:r>
        <w:t xml:space="preserve">with</w:t>
      </w:r>
      <w:r>
        <w:t xml:space="preserve"> </w:t>
      </w:r>
      <m:oMath>
        <m:r>
          <m:t>β</m:t>
        </m:r>
        <m:r>
          <m:rPr>
            <m:sty m:val="p"/>
          </m:rPr>
          <m:t>=</m:t>
        </m:r>
        <m:r>
          <m:t>δ</m:t>
        </m:r>
        <m:r>
          <m:rPr>
            <m:sty m:val="p"/>
          </m:rPr>
          <m:t>=</m:t>
        </m:r>
        <m:r>
          <m:t>0.001</m:t>
        </m:r>
      </m:oMath>
      <w:r>
        <w:t xml:space="preserve">. Immigration was continuous:</w:t>
      </w:r>
      <w:r>
        <w:t xml:space="preserve"> </w:t>
      </w:r>
      <m:oMath>
        <m:r>
          <m:t>I</m:t>
        </m:r>
        <m:r>
          <m:rPr>
            <m:sty m:val="p"/>
          </m:rPr>
          <m:t>=</m:t>
        </m:r>
        <m:r>
          <m:t>0.1</m:t>
        </m:r>
      </m:oMath>
      <w:r>
        <w:t xml:space="preserve"> </w:t>
      </w:r>
      <w:r>
        <w:t xml:space="preserve">biomass units were added per species per unit time. Thus, 0.1 enters the right-hand side of the differential equation as a constant flux rather than as a discrete pulse after each time step.</w:t>
      </w:r>
    </w:p>
    <w:p>
      <w:pPr>
        <w:pStyle w:val="BodyText"/>
      </w:pPr>
      <w:r>
        <w:t xml:space="preserve">Temperature dependence was represented by a Gaussian birth-rate function and an exponential death-rate function:</w:t>
      </w:r>
    </w:p>
    <w:p>
      <w:pPr>
        <w:pStyle w:val="BodyText"/>
      </w:pPr>
      <w:bookmarkStart w:id="26" w:name="eq-birth-rate"/>
      <m:oMathPara>
        <m:oMathParaPr>
          <m:jc m:val="center"/>
        </m:oMathParaPr>
        <m:oMath>
          <m:sSub>
            <m:e>
              <m:r>
                <m:t>b</m:t>
              </m:r>
            </m:e>
            <m:sub>
              <m:r>
                <m:t>i</m:t>
              </m:r>
            </m:sub>
          </m:sSub>
          <m:r>
            <m:rPr>
              <m:sty m:val="p"/>
            </m:rPr>
            <m:t>(</m:t>
          </m:r>
          <m:r>
            <m:t>T</m:t>
          </m:r>
          <m:r>
            <m:rPr>
              <m:sty m:val="p"/>
            </m:rPr>
            <m:t>)</m:t>
          </m:r>
          <m:r>
            <m:rPr>
              <m:sty m:val="p"/>
            </m:rPr>
            <m:t>=</m:t>
          </m:r>
          <m:sSub>
            <m:e>
              <m:r>
                <m:t>a</m:t>
              </m:r>
            </m:e>
            <m:sub>
              <m:r>
                <m:t>b</m:t>
              </m:r>
              <m:r>
                <m:rPr>
                  <m:sty m:val="p"/>
                </m:rPr>
                <m:t>,</m:t>
              </m:r>
              <m:r>
                <m:t>i</m:t>
              </m:r>
            </m:sub>
          </m:sSub>
          <m:r>
            <m:rPr>
              <m:sty m:val="p"/>
            </m:rPr>
            <m:t>exp</m:t>
          </m:r>
          <m:d>
            <m:dPr>
              <m:begChr m:val="["/>
              <m:sepChr m:val=""/>
              <m:endChr m:val="]"/>
              <m:grow/>
            </m:dPr>
            <m:e>
              <m:r>
                <m:rPr>
                  <m:sty m:val="p"/>
                </m:rPr>
                <m:t>−</m:t>
              </m:r>
              <m:f>
                <m:fPr>
                  <m:type m:val="bar"/>
                </m:fPr>
                <m:num>
                  <m:r>
                    <m:t>1</m:t>
                  </m:r>
                </m:num>
                <m:den>
                  <m:r>
                    <m:t>2</m:t>
                  </m:r>
                </m:den>
              </m:f>
              <m:sSup>
                <m:e>
                  <m:d>
                    <m:dPr>
                      <m:begChr m:val="("/>
                      <m:sepChr m:val=""/>
                      <m:endChr m:val=")"/>
                      <m:grow/>
                    </m:dPr>
                    <m:e>
                      <m:f>
                        <m:fPr>
                          <m:type m:val="bar"/>
                        </m:fPr>
                        <m:num>
                          <m:r>
                            <m:t>T</m:t>
                          </m:r>
                          <m:r>
                            <m:rPr>
                              <m:sty m:val="p"/>
                            </m:rPr>
                            <m:t>−</m:t>
                          </m:r>
                          <m:sSub>
                            <m:e>
                              <m:r>
                                <m:t>T</m:t>
                              </m:r>
                            </m:e>
                            <m:sub>
                              <m:r>
                                <m:rPr>
                                  <m:sty m:val="p"/>
                                </m:rPr>
                                <m:t>o</m:t>
                              </m:r>
                              <m:r>
                                <m:rPr>
                                  <m:sty m:val="p"/>
                                </m:rPr>
                                <m:t>p</m:t>
                              </m:r>
                              <m:r>
                                <m:rPr>
                                  <m:sty m:val="p"/>
                                </m:rPr>
                                <m:t>t</m:t>
                              </m:r>
                              <m:r>
                                <m:rPr>
                                  <m:sty m:val="p"/>
                                </m:rPr>
                                <m:t>,</m:t>
                              </m:r>
                              <m:r>
                                <m:t>i</m:t>
                              </m:r>
                            </m:sub>
                          </m:sSub>
                        </m:num>
                        <m:den>
                          <m:sSub>
                            <m:e>
                              <m:r>
                                <m:t>s</m:t>
                              </m:r>
                            </m:e>
                            <m:sub>
                              <m:r>
                                <m:t>i</m:t>
                              </m:r>
                            </m:sub>
                          </m:sSub>
                        </m:den>
                      </m:f>
                    </m:e>
                  </m:d>
                </m:e>
                <m:sup>
                  <m:r>
                    <m:t>2</m:t>
                  </m:r>
                </m:sup>
              </m:sSup>
            </m:e>
          </m:d>
          <m:r>
            <m:rPr>
              <m:sty m:val="p"/>
            </m:rPr>
            <m:t>,</m:t>
          </m:r>
          <m:r>
            <m:t>  </m:t>
          </m:r>
          <m:r>
            <m:rPr>
              <m:sty m:val="p"/>
            </m:rPr>
            <m:t>(</m:t>
          </m:r>
          <m:r>
            <m:t>4</m:t>
          </m:r>
          <m:r>
            <m:rPr>
              <m:sty m:val="p"/>
            </m:rPr>
            <m:t>)</m:t>
          </m:r>
        </m:oMath>
      </m:oMathPara>
      <w:bookmarkEnd w:id="26"/>
    </w:p>
    <w:p>
      <w:pPr>
        <w:pStyle w:val="FirstParagraph"/>
      </w:pPr>
      <w:bookmarkStart w:id="27" w:name="eq-death-rate"/>
      <m:oMathPara>
        <m:oMathParaPr>
          <m:jc m:val="center"/>
        </m:oMathParaPr>
        <m:oMath>
          <m:sSub>
            <m:e>
              <m:r>
                <m:t>d</m:t>
              </m:r>
            </m:e>
            <m:sub>
              <m:r>
                <m:t>i</m:t>
              </m:r>
            </m:sub>
          </m:sSub>
          <m:r>
            <m:rPr>
              <m:sty m:val="p"/>
            </m:rPr>
            <m:t>(</m:t>
          </m:r>
          <m:r>
            <m:t>T</m:t>
          </m:r>
          <m:r>
            <m:rPr>
              <m:sty m:val="p"/>
            </m:rPr>
            <m:t>)</m:t>
          </m:r>
          <m:r>
            <m:rPr>
              <m:sty m:val="p"/>
            </m:rPr>
            <m:t>=</m:t>
          </m:r>
          <m:sSub>
            <m:e>
              <m:r>
                <m:t>a</m:t>
              </m:r>
            </m:e>
            <m:sub>
              <m:r>
                <m:t>d</m:t>
              </m:r>
              <m:r>
                <m:rPr>
                  <m:sty m:val="p"/>
                </m:rPr>
                <m:t>,</m:t>
              </m:r>
              <m:r>
                <m:t>i</m:t>
              </m:r>
            </m:sub>
          </m:sSub>
          <m:r>
            <m:rPr>
              <m:sty m:val="p"/>
            </m:rPr>
            <m:t>exp</m:t>
          </m:r>
          <m:r>
            <m:rPr>
              <m:sty m:val="p"/>
            </m:rPr>
            <m:t>(</m:t>
          </m:r>
          <m:sSub>
            <m:e>
              <m:r>
                <m:t>z</m:t>
              </m:r>
            </m:e>
            <m:sub>
              <m:r>
                <m:t>i</m:t>
              </m:r>
            </m:sub>
          </m:sSub>
          <m:r>
            <m:t>T</m:t>
          </m:r>
          <m:r>
            <m:rPr>
              <m:sty m:val="p"/>
            </m:rPr>
            <m:t>)</m:t>
          </m:r>
          <m:r>
            <m:rPr>
              <m:sty m:val="p"/>
            </m:rPr>
            <m:t>,</m:t>
          </m:r>
          <m:r>
            <m:t>  </m:t>
          </m:r>
          <m:r>
            <m:rPr>
              <m:sty m:val="p"/>
            </m:rPr>
            <m:t>(</m:t>
          </m:r>
          <m:r>
            <m:t>5</m:t>
          </m:r>
          <m:r>
            <m:rPr>
              <m:sty m:val="p"/>
            </m:rPr>
            <m:t>)</m:t>
          </m:r>
        </m:oMath>
      </m:oMathPara>
      <w:bookmarkEnd w:id="27"/>
    </w:p>
    <w:p>
      <w:pPr>
        <w:pStyle w:val="FirstParagraph"/>
      </w:pPr>
      <w:r>
        <w:t xml:space="preserve">where</w:t>
      </w:r>
      <w:r>
        <w:t xml:space="preserve"> </w:t>
      </w:r>
      <m:oMath>
        <m:sSub>
          <m:e>
            <m:r>
              <m:t>a</m:t>
            </m:r>
          </m:e>
          <m:sub>
            <m:r>
              <m:t>b</m:t>
            </m:r>
            <m:r>
              <m:rPr>
                <m:sty m:val="p"/>
              </m:rPr>
              <m:t>,</m:t>
            </m:r>
            <m:r>
              <m:t>i</m:t>
            </m:r>
          </m:sub>
        </m:sSub>
      </m:oMath>
      <w:r>
        <w:t xml:space="preserve"> </w:t>
      </w:r>
      <w:r>
        <w:t xml:space="preserve">is the birth rate at the species’ thermal optimum</w:t>
      </w:r>
      <w:r>
        <w:t xml:space="preserve"> </w:t>
      </w:r>
      <m:oMath>
        <m:sSub>
          <m:e>
            <m:r>
              <m:t>T</m:t>
            </m:r>
          </m:e>
          <m:sub>
            <m:r>
              <m:rPr>
                <m:sty m:val="p"/>
              </m:rPr>
              <m:t>o</m:t>
            </m:r>
            <m:r>
              <m:rPr>
                <m:sty m:val="p"/>
              </m:rPr>
              <m:t>p</m:t>
            </m:r>
            <m:r>
              <m:rPr>
                <m:sty m:val="p"/>
              </m:rPr>
              <m:t>t</m:t>
            </m:r>
            <m:r>
              <m:rPr>
                <m:sty m:val="p"/>
              </m:rPr>
              <m:t>,</m:t>
            </m:r>
            <m:r>
              <m:t>i</m:t>
            </m:r>
          </m:sub>
        </m:sSub>
      </m:oMath>
      <w:r>
        <w:t xml:space="preserve">,</w:t>
      </w:r>
      <w:r>
        <w:t xml:space="preserve"> </w:t>
      </w:r>
      <m:oMath>
        <m:sSub>
          <m:e>
            <m:r>
              <m:t>s</m:t>
            </m:r>
          </m:e>
          <m:sub>
            <m:r>
              <m:t>i</m:t>
            </m:r>
          </m:sub>
        </m:sSub>
      </m:oMath>
      <w:r>
        <w:t xml:space="preserve"> </w:t>
      </w:r>
      <w:r>
        <w:t xml:space="preserve">controls the breadth of the birth-rate curve,</w:t>
      </w:r>
      <w:r>
        <w:t xml:space="preserve"> </w:t>
      </w:r>
      <m:oMath>
        <m:sSub>
          <m:e>
            <m:r>
              <m:t>a</m:t>
            </m:r>
          </m:e>
          <m:sub>
            <m:r>
              <m:t>d</m:t>
            </m:r>
            <m:r>
              <m:rPr>
                <m:sty m:val="p"/>
              </m:rPr>
              <m:t>,</m:t>
            </m:r>
            <m:r>
              <m:t>i</m:t>
            </m:r>
          </m:sub>
        </m:sSub>
      </m:oMath>
      <w:r>
        <w:t xml:space="preserve"> </w:t>
      </w:r>
      <w:r>
        <w:t xml:space="preserve">is the death rate at</w:t>
      </w:r>
      <w:r>
        <w:t xml:space="preserve"> </w:t>
      </w:r>
      <m:oMath>
        <m:r>
          <m:t>T</m:t>
        </m:r>
        <m:r>
          <m:rPr>
            <m:sty m:val="p"/>
          </m:rPr>
          <m:t>=</m:t>
        </m:r>
        <m:r>
          <m:t>0</m:t>
        </m:r>
      </m:oMath>
      <w:r>
        <w:t xml:space="preserve">, and</w:t>
      </w:r>
      <w:r>
        <w:t xml:space="preserve"> </w:t>
      </w:r>
      <m:oMath>
        <m:sSub>
          <m:e>
            <m:r>
              <m:t>z</m:t>
            </m:r>
          </m:e>
          <m:sub>
            <m:r>
              <m:t>i</m:t>
            </m:r>
          </m:sub>
        </m:sSub>
      </m:oMath>
      <w:r>
        <w:t xml:space="preserve"> </w:t>
      </w:r>
      <w:r>
        <w:t xml:space="preserve">controls the temperature dependence of death. In the simulations,</w:t>
      </w:r>
      <w:r>
        <w:t xml:space="preserve"> </w:t>
      </w:r>
      <m:oMath>
        <m:sSub>
          <m:e>
            <m:r>
              <m:t>a</m:t>
            </m:r>
          </m:e>
          <m:sub>
            <m:r>
              <m:t>b</m:t>
            </m:r>
            <m:r>
              <m:rPr>
                <m:sty m:val="p"/>
              </m:rPr>
              <m:t>,</m:t>
            </m:r>
            <m:r>
              <m:t>i</m:t>
            </m:r>
          </m:sub>
        </m:sSub>
        <m:r>
          <m:rPr>
            <m:sty m:val="p"/>
          </m:rPr>
          <m:t>=</m:t>
        </m:r>
        <m:r>
          <m:t>0.3</m:t>
        </m:r>
      </m:oMath>
      <w:r>
        <w:t xml:space="preserve"> </w:t>
      </w:r>
      <w:r>
        <w:t xml:space="preserve">and</w:t>
      </w:r>
      <w:r>
        <w:t xml:space="preserve"> </w:t>
      </w:r>
      <m:oMath>
        <m:sSub>
          <m:e>
            <m:r>
              <m:t>a</m:t>
            </m:r>
          </m:e>
          <m:sub>
            <m:r>
              <m:t>d</m:t>
            </m:r>
            <m:r>
              <m:rPr>
                <m:sty m:val="p"/>
              </m:rPr>
              <m:t>,</m:t>
            </m:r>
            <m:r>
              <m:t>i</m:t>
            </m:r>
          </m:sub>
        </m:sSub>
        <m:r>
          <m:rPr>
            <m:sty m:val="p"/>
          </m:rPr>
          <m:t>=</m:t>
        </m:r>
        <m:r>
          <m:t>0</m:t>
        </m:r>
      </m:oMath>
      <w:r>
        <w:t xml:space="preserve"> </w:t>
      </w:r>
      <w:r>
        <w:t xml:space="preserve">for all species, making</w:t>
      </w:r>
      <w:r>
        <w:t xml:space="preserve"> </w:t>
      </w:r>
      <m:oMath>
        <m:sSub>
          <m:e>
            <m:r>
              <m:t>z</m:t>
            </m:r>
          </m:e>
          <m:sub>
            <m:r>
              <m:t>i</m:t>
            </m:r>
          </m:sub>
        </m:sSub>
      </m:oMath>
      <w:r>
        <w:t xml:space="preserve"> </w:t>
      </w:r>
      <w:r>
        <w:t xml:space="preserve">irrelevant.</w:t>
      </w:r>
    </w:p>
    <w:p>
      <w:pPr>
        <w:pStyle w:val="BodyText"/>
      </w:pPr>
      <w:r>
        <w:t xml:space="preserve">Communities were assembled using the same factorial design in two independent Lotka–Volterra runs. Species richness was 4, 8, or 12. Species thermal optima were drawn from uniform distributions with means of 16, 20, or 24 °C and ranges of 0, 2, or 4 °C. Thermal breadths were drawn from uniform distributions with mean breadths of 6, 10, or 14 and breadth ranges of 4 or 10. Intraspecific competition was fixed at</w:t>
      </w:r>
      <w:r>
        <w:t xml:space="preserve"> </w:t>
      </w:r>
      <m:oMath>
        <m:sSub>
          <m:e>
            <m:r>
              <m:t>α</m:t>
            </m:r>
          </m:e>
          <m:sub>
            <m:r>
              <m:t>i</m:t>
            </m:r>
            <m:r>
              <m:t>i</m:t>
            </m:r>
          </m:sub>
        </m:sSub>
        <m:r>
          <m:rPr>
            <m:sty m:val="p"/>
          </m:rPr>
          <m:t>=</m:t>
        </m:r>
        <m:r>
          <m:t>1</m:t>
        </m:r>
      </m:oMath>
      <w:r>
        <w:t xml:space="preserve">. In one run, interspecific competition coefficients were drawn from asymmetric uniform distributions with mean strengths of 0, 0.25, 0.5, 0.75, or 1. In the other, coefficients were drawn from symmetric log-normal distributions with the same median strengths and a log-scale standard deviation of 0.5. Three community replicates were crossed with three temperature time series for each factorial combination, yielding 7,290 simulations per run.</w:t>
      </w:r>
    </w:p>
    <w:p>
      <w:pPr>
        <w:pStyle w:val="BodyText"/>
      </w:pPr>
      <w:r>
        <w:t xml:space="preserve">The ordinary differential equations were integrated with the</w:t>
      </w:r>
      <w:r>
        <w:t xml:space="preserve"> </w:t>
      </w:r>
      <w:r>
        <w:rPr>
          <w:rStyle w:val="VerbatimChar"/>
        </w:rPr>
        <w:t xml:space="preserve">lsoda</w:t>
      </w:r>
      <w:r>
        <w:t xml:space="preserve"> </w:t>
      </w:r>
      <w:r>
        <w:t xml:space="preserve">solver in the</w:t>
      </w:r>
      <w:r>
        <w:t xml:space="preserve"> </w:t>
      </w:r>
      <w:r>
        <w:rPr>
          <w:rStyle w:val="VerbatimChar"/>
        </w:rPr>
        <w:t xml:space="preserve">deSolve</w:t>
      </w:r>
      <w:r>
        <w:t xml:space="preserve"> </w:t>
      </w:r>
      <w:r>
        <w:t xml:space="preserve">R package. Temperature was linearly interpolated during integration. We used relative and absolute error tolerances of</w:t>
      </w:r>
      <w:r>
        <w:t xml:space="preserve"> </w:t>
      </w:r>
      <m:oMath>
        <m:sSup>
          <m:e>
            <m:r>
              <m:t>10</m:t>
            </m:r>
          </m:e>
          <m:sup>
            <m:r>
              <m:rPr>
                <m:sty m:val="p"/>
              </m:rPr>
              <m:t>−</m:t>
            </m:r>
            <m:r>
              <m:t>6</m:t>
            </m:r>
          </m:sup>
        </m:sSup>
      </m:oMath>
      <w:r>
        <w:t xml:space="preserve"> </w:t>
      </w:r>
      <w:r>
        <w:t xml:space="preserve">and</w:t>
      </w:r>
      <w:r>
        <w:t xml:space="preserve"> </w:t>
      </w:r>
      <m:oMath>
        <m:sSup>
          <m:e>
            <m:r>
              <m:t>10</m:t>
            </m:r>
          </m:e>
          <m:sup>
            <m:r>
              <m:rPr>
                <m:sty m:val="p"/>
              </m:rPr>
              <m:t>−</m:t>
            </m:r>
            <m:r>
              <m:t>8</m:t>
            </m:r>
          </m:sup>
        </m:sSup>
      </m:oMath>
      <w:r>
        <w:t xml:space="preserve">, respectively, and constrained the maximum integration step to one time unit. Each simulation used a 200-time-unit burn-in followed by 2,000 time units of environmental forcing. During the forced period, temperature had a mean of 20 °C, a standard deviation of 4 °C, and</w:t>
      </w:r>
      <w:r>
        <w:t xml:space="preserve"> </w:t>
      </w:r>
      <m:oMath>
        <m:r>
          <m:t>1</m:t>
        </m:r>
        <m:r>
          <m:rPr>
            <m:sty m:val="p"/>
          </m:rPr>
          <m:t>/</m:t>
        </m:r>
        <m:r>
          <m:t>f</m:t>
        </m:r>
      </m:oMath>
      <w:r>
        <w:t xml:space="preserve"> </w:t>
      </w:r>
      <w:r>
        <w:t xml:space="preserve">temporal autocorrelation with exponent</w:t>
      </w:r>
      <w:r>
        <w:t xml:space="preserve"> </w:t>
      </w:r>
      <m:oMath>
        <m:r>
          <m:t>γ</m:t>
        </m:r>
        <m:r>
          <m:rPr>
            <m:sty m:val="p"/>
          </m:rPr>
          <m:t>=</m:t>
        </m:r>
        <m:r>
          <m:t>0.8</m:t>
        </m:r>
      </m:oMath>
      <w:r>
        <w:t xml:space="preserve">.</w:t>
      </w:r>
    </w:p>
    <w:bookmarkEnd w:id="28"/>
    <w:sectPr w:rsidR="00A11762" w:rsidRPr="00A11762" w:rsidSect="00F80B9F">
      <w:pgSz w:h="15840" w:w="12240"/>
      <w:pgMar w:bottom="1152" w:footer="720" w:gutter="0" w:header="720" w:left="1296" w:right="1296" w:top="1152"/>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519391192" w:numId="1">
    <w:abstractNumId w:val="8"/>
  </w:num>
  <w:num w16cid:durableId="1931617226" w:numId="2">
    <w:abstractNumId w:val="6"/>
  </w:num>
  <w:num w16cid:durableId="1659649617" w:numId="3">
    <w:abstractNumId w:val="5"/>
  </w:num>
  <w:num w16cid:durableId="77529881" w:numId="4">
    <w:abstractNumId w:val="4"/>
  </w:num>
  <w:num w16cid:durableId="1737588323" w:numId="5">
    <w:abstractNumId w:val="7"/>
  </w:num>
  <w:num w16cid:durableId="1304657474" w:numId="6">
    <w:abstractNumId w:val="3"/>
  </w:num>
  <w:num w16cid:durableId="944767981" w:numId="7">
    <w:abstractNumId w:val="2"/>
  </w:num>
  <w:num w16cid:durableId="837815487" w:numId="8">
    <w:abstractNumId w:val="1"/>
  </w:num>
  <w:num w16cid:durableId="1851681459"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3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113"/>
    <w:rsid w:val="00010166"/>
    <w:rsid w:val="00012A26"/>
    <w:rsid w:val="000208EE"/>
    <w:rsid w:val="000258C5"/>
    <w:rsid w:val="00027262"/>
    <w:rsid w:val="00034616"/>
    <w:rsid w:val="00043190"/>
    <w:rsid w:val="0006063C"/>
    <w:rsid w:val="000607B9"/>
    <w:rsid w:val="00066AC6"/>
    <w:rsid w:val="00066AEA"/>
    <w:rsid w:val="00066B71"/>
    <w:rsid w:val="0007281E"/>
    <w:rsid w:val="00075C05"/>
    <w:rsid w:val="000761A7"/>
    <w:rsid w:val="00077B47"/>
    <w:rsid w:val="000845BA"/>
    <w:rsid w:val="00085918"/>
    <w:rsid w:val="00086E1B"/>
    <w:rsid w:val="000945D6"/>
    <w:rsid w:val="000A198B"/>
    <w:rsid w:val="000A1E9C"/>
    <w:rsid w:val="000A3018"/>
    <w:rsid w:val="000A5E99"/>
    <w:rsid w:val="000B1D2D"/>
    <w:rsid w:val="000B2C64"/>
    <w:rsid w:val="000B2E75"/>
    <w:rsid w:val="000B6BC8"/>
    <w:rsid w:val="000C06E8"/>
    <w:rsid w:val="000C79F5"/>
    <w:rsid w:val="000D1311"/>
    <w:rsid w:val="000D4BA1"/>
    <w:rsid w:val="000D5687"/>
    <w:rsid w:val="000D7749"/>
    <w:rsid w:val="000E09D0"/>
    <w:rsid w:val="000E3CE7"/>
    <w:rsid w:val="000E4C7E"/>
    <w:rsid w:val="000F143D"/>
    <w:rsid w:val="000F3E8F"/>
    <w:rsid w:val="000F47FA"/>
    <w:rsid w:val="001001D1"/>
    <w:rsid w:val="00100F9A"/>
    <w:rsid w:val="00102087"/>
    <w:rsid w:val="00107565"/>
    <w:rsid w:val="00113DF6"/>
    <w:rsid w:val="00114388"/>
    <w:rsid w:val="00122F07"/>
    <w:rsid w:val="00125FA5"/>
    <w:rsid w:val="00131218"/>
    <w:rsid w:val="001314EC"/>
    <w:rsid w:val="00135171"/>
    <w:rsid w:val="00140077"/>
    <w:rsid w:val="00140518"/>
    <w:rsid w:val="001415BE"/>
    <w:rsid w:val="0015074B"/>
    <w:rsid w:val="0015558C"/>
    <w:rsid w:val="0015673B"/>
    <w:rsid w:val="001667A5"/>
    <w:rsid w:val="001737B5"/>
    <w:rsid w:val="00181695"/>
    <w:rsid w:val="0018463C"/>
    <w:rsid w:val="00193314"/>
    <w:rsid w:val="001964D4"/>
    <w:rsid w:val="001A022F"/>
    <w:rsid w:val="001A2392"/>
    <w:rsid w:val="001A2476"/>
    <w:rsid w:val="001B5BC6"/>
    <w:rsid w:val="001C51D2"/>
    <w:rsid w:val="001C7649"/>
    <w:rsid w:val="001D1D0D"/>
    <w:rsid w:val="001E4770"/>
    <w:rsid w:val="001E577C"/>
    <w:rsid w:val="001F7861"/>
    <w:rsid w:val="00203302"/>
    <w:rsid w:val="002035F2"/>
    <w:rsid w:val="002037BD"/>
    <w:rsid w:val="00210CC1"/>
    <w:rsid w:val="00210F6C"/>
    <w:rsid w:val="0021232F"/>
    <w:rsid w:val="00212F93"/>
    <w:rsid w:val="0021456D"/>
    <w:rsid w:val="0021738F"/>
    <w:rsid w:val="00225B72"/>
    <w:rsid w:val="00236D48"/>
    <w:rsid w:val="00242158"/>
    <w:rsid w:val="00246A6D"/>
    <w:rsid w:val="00247766"/>
    <w:rsid w:val="002501C9"/>
    <w:rsid w:val="002506AE"/>
    <w:rsid w:val="00251E31"/>
    <w:rsid w:val="00257A24"/>
    <w:rsid w:val="0026037A"/>
    <w:rsid w:val="00261E36"/>
    <w:rsid w:val="002647BC"/>
    <w:rsid w:val="0027702D"/>
    <w:rsid w:val="00280028"/>
    <w:rsid w:val="0028259B"/>
    <w:rsid w:val="00285C75"/>
    <w:rsid w:val="0029639D"/>
    <w:rsid w:val="002972D4"/>
    <w:rsid w:val="002A4702"/>
    <w:rsid w:val="002A73E3"/>
    <w:rsid w:val="002A7A89"/>
    <w:rsid w:val="002B385B"/>
    <w:rsid w:val="002B6377"/>
    <w:rsid w:val="002B7D95"/>
    <w:rsid w:val="002C1FAD"/>
    <w:rsid w:val="002C270F"/>
    <w:rsid w:val="002C5DEC"/>
    <w:rsid w:val="002D0CCE"/>
    <w:rsid w:val="002D3609"/>
    <w:rsid w:val="002D782E"/>
    <w:rsid w:val="002E3391"/>
    <w:rsid w:val="002E69E0"/>
    <w:rsid w:val="002E783D"/>
    <w:rsid w:val="002F364F"/>
    <w:rsid w:val="002F396C"/>
    <w:rsid w:val="002F3D01"/>
    <w:rsid w:val="002F5107"/>
    <w:rsid w:val="002F74B4"/>
    <w:rsid w:val="00302004"/>
    <w:rsid w:val="003038EF"/>
    <w:rsid w:val="0030466B"/>
    <w:rsid w:val="003118A1"/>
    <w:rsid w:val="003156E1"/>
    <w:rsid w:val="00320856"/>
    <w:rsid w:val="0032211E"/>
    <w:rsid w:val="00324442"/>
    <w:rsid w:val="0032568C"/>
    <w:rsid w:val="00326F90"/>
    <w:rsid w:val="003345B1"/>
    <w:rsid w:val="0034359D"/>
    <w:rsid w:val="00345F4E"/>
    <w:rsid w:val="00347297"/>
    <w:rsid w:val="003501F9"/>
    <w:rsid w:val="00350A55"/>
    <w:rsid w:val="0035471A"/>
    <w:rsid w:val="00355407"/>
    <w:rsid w:val="00361D5A"/>
    <w:rsid w:val="00372A9B"/>
    <w:rsid w:val="003732D4"/>
    <w:rsid w:val="00373A3A"/>
    <w:rsid w:val="0037429E"/>
    <w:rsid w:val="00376102"/>
    <w:rsid w:val="00376CC8"/>
    <w:rsid w:val="00381892"/>
    <w:rsid w:val="003826CB"/>
    <w:rsid w:val="00391E79"/>
    <w:rsid w:val="00396B4E"/>
    <w:rsid w:val="003A3EFF"/>
    <w:rsid w:val="003B4FC1"/>
    <w:rsid w:val="003C04A7"/>
    <w:rsid w:val="003C3809"/>
    <w:rsid w:val="003C48E0"/>
    <w:rsid w:val="003C4C88"/>
    <w:rsid w:val="003C59C7"/>
    <w:rsid w:val="003D251A"/>
    <w:rsid w:val="003E0A74"/>
    <w:rsid w:val="003E553E"/>
    <w:rsid w:val="003F05D3"/>
    <w:rsid w:val="00402FD6"/>
    <w:rsid w:val="004053B3"/>
    <w:rsid w:val="00413A0F"/>
    <w:rsid w:val="00420102"/>
    <w:rsid w:val="0042199A"/>
    <w:rsid w:val="00423078"/>
    <w:rsid w:val="00426D36"/>
    <w:rsid w:val="00436BE8"/>
    <w:rsid w:val="004457F7"/>
    <w:rsid w:val="00450CCC"/>
    <w:rsid w:val="00454AF5"/>
    <w:rsid w:val="00457C76"/>
    <w:rsid w:val="00462A5B"/>
    <w:rsid w:val="004761A2"/>
    <w:rsid w:val="0048300F"/>
    <w:rsid w:val="004868CA"/>
    <w:rsid w:val="0048764B"/>
    <w:rsid w:val="00491A64"/>
    <w:rsid w:val="004A4120"/>
    <w:rsid w:val="004B1A3C"/>
    <w:rsid w:val="004B1FAA"/>
    <w:rsid w:val="004B338A"/>
    <w:rsid w:val="004B5654"/>
    <w:rsid w:val="004C0840"/>
    <w:rsid w:val="004D132F"/>
    <w:rsid w:val="004D14CE"/>
    <w:rsid w:val="004D1BFD"/>
    <w:rsid w:val="004D4878"/>
    <w:rsid w:val="004D56C0"/>
    <w:rsid w:val="004D7E8B"/>
    <w:rsid w:val="004E1844"/>
    <w:rsid w:val="004E62CC"/>
    <w:rsid w:val="004F1128"/>
    <w:rsid w:val="004F3FAC"/>
    <w:rsid w:val="004F4719"/>
    <w:rsid w:val="004F7C03"/>
    <w:rsid w:val="005006BD"/>
    <w:rsid w:val="00501A9F"/>
    <w:rsid w:val="0050416F"/>
    <w:rsid w:val="00504ADE"/>
    <w:rsid w:val="00504FDA"/>
    <w:rsid w:val="0050617A"/>
    <w:rsid w:val="005102A6"/>
    <w:rsid w:val="005108CA"/>
    <w:rsid w:val="00510CFA"/>
    <w:rsid w:val="00511CC4"/>
    <w:rsid w:val="00512BCB"/>
    <w:rsid w:val="00513E55"/>
    <w:rsid w:val="005154DA"/>
    <w:rsid w:val="00515541"/>
    <w:rsid w:val="00517E01"/>
    <w:rsid w:val="0052110D"/>
    <w:rsid w:val="00530361"/>
    <w:rsid w:val="00530639"/>
    <w:rsid w:val="00530F22"/>
    <w:rsid w:val="00532452"/>
    <w:rsid w:val="00533E0F"/>
    <w:rsid w:val="005456C2"/>
    <w:rsid w:val="00545DD0"/>
    <w:rsid w:val="00552763"/>
    <w:rsid w:val="00553CD4"/>
    <w:rsid w:val="00562718"/>
    <w:rsid w:val="00572871"/>
    <w:rsid w:val="005748DD"/>
    <w:rsid w:val="0058264E"/>
    <w:rsid w:val="0058442A"/>
    <w:rsid w:val="00585D67"/>
    <w:rsid w:val="0059067B"/>
    <w:rsid w:val="00591B51"/>
    <w:rsid w:val="005948FF"/>
    <w:rsid w:val="00594E8D"/>
    <w:rsid w:val="005B6D4B"/>
    <w:rsid w:val="005C5070"/>
    <w:rsid w:val="005C5C08"/>
    <w:rsid w:val="005D13F6"/>
    <w:rsid w:val="005D3825"/>
    <w:rsid w:val="005D6619"/>
    <w:rsid w:val="005E06C8"/>
    <w:rsid w:val="005E3223"/>
    <w:rsid w:val="005E38D5"/>
    <w:rsid w:val="005E4197"/>
    <w:rsid w:val="005E4EFF"/>
    <w:rsid w:val="005E6205"/>
    <w:rsid w:val="005E711E"/>
    <w:rsid w:val="005F3FF6"/>
    <w:rsid w:val="005F5A9A"/>
    <w:rsid w:val="005F623A"/>
    <w:rsid w:val="005F70C7"/>
    <w:rsid w:val="005F7218"/>
    <w:rsid w:val="00601BB7"/>
    <w:rsid w:val="00603415"/>
    <w:rsid w:val="006039DD"/>
    <w:rsid w:val="00610A17"/>
    <w:rsid w:val="0061341E"/>
    <w:rsid w:val="00614653"/>
    <w:rsid w:val="006152D3"/>
    <w:rsid w:val="00620B77"/>
    <w:rsid w:val="00621686"/>
    <w:rsid w:val="006245B6"/>
    <w:rsid w:val="00624E84"/>
    <w:rsid w:val="00631FB2"/>
    <w:rsid w:val="00635C35"/>
    <w:rsid w:val="00642AB2"/>
    <w:rsid w:val="0064451D"/>
    <w:rsid w:val="0064542C"/>
    <w:rsid w:val="00645498"/>
    <w:rsid w:val="00647456"/>
    <w:rsid w:val="00647FF3"/>
    <w:rsid w:val="00652470"/>
    <w:rsid w:val="00655052"/>
    <w:rsid w:val="00661498"/>
    <w:rsid w:val="006656CD"/>
    <w:rsid w:val="00673357"/>
    <w:rsid w:val="00673379"/>
    <w:rsid w:val="00673929"/>
    <w:rsid w:val="00681192"/>
    <w:rsid w:val="00685E3E"/>
    <w:rsid w:val="00686D69"/>
    <w:rsid w:val="00687A83"/>
    <w:rsid w:val="00694165"/>
    <w:rsid w:val="006A02C6"/>
    <w:rsid w:val="006A0FDA"/>
    <w:rsid w:val="006A769E"/>
    <w:rsid w:val="006C318F"/>
    <w:rsid w:val="006D1871"/>
    <w:rsid w:val="006D2EC8"/>
    <w:rsid w:val="006D36D7"/>
    <w:rsid w:val="006D41A8"/>
    <w:rsid w:val="006D77E4"/>
    <w:rsid w:val="006E04C3"/>
    <w:rsid w:val="006E5D6C"/>
    <w:rsid w:val="006F0029"/>
    <w:rsid w:val="006F0726"/>
    <w:rsid w:val="006F45D3"/>
    <w:rsid w:val="006F45E3"/>
    <w:rsid w:val="006F5A44"/>
    <w:rsid w:val="006F7042"/>
    <w:rsid w:val="006F74D0"/>
    <w:rsid w:val="00700589"/>
    <w:rsid w:val="00712430"/>
    <w:rsid w:val="00714788"/>
    <w:rsid w:val="00714C3F"/>
    <w:rsid w:val="00715C0D"/>
    <w:rsid w:val="00721CC3"/>
    <w:rsid w:val="00726FC2"/>
    <w:rsid w:val="007421E9"/>
    <w:rsid w:val="00747068"/>
    <w:rsid w:val="0075116F"/>
    <w:rsid w:val="0075655A"/>
    <w:rsid w:val="00762110"/>
    <w:rsid w:val="00764EC3"/>
    <w:rsid w:val="007666B5"/>
    <w:rsid w:val="007668E3"/>
    <w:rsid w:val="00770289"/>
    <w:rsid w:val="0078244E"/>
    <w:rsid w:val="00790A74"/>
    <w:rsid w:val="0079139A"/>
    <w:rsid w:val="00791ABF"/>
    <w:rsid w:val="00793167"/>
    <w:rsid w:val="007A112B"/>
    <w:rsid w:val="007A3BB8"/>
    <w:rsid w:val="007A46BA"/>
    <w:rsid w:val="007B1B6D"/>
    <w:rsid w:val="007B4916"/>
    <w:rsid w:val="007B670C"/>
    <w:rsid w:val="007B75ED"/>
    <w:rsid w:val="007C04E0"/>
    <w:rsid w:val="007C2849"/>
    <w:rsid w:val="007C3299"/>
    <w:rsid w:val="007D7C6C"/>
    <w:rsid w:val="007D7FD8"/>
    <w:rsid w:val="007E1D67"/>
    <w:rsid w:val="007E2BE4"/>
    <w:rsid w:val="007F08ED"/>
    <w:rsid w:val="007F1D74"/>
    <w:rsid w:val="007F2262"/>
    <w:rsid w:val="007F586D"/>
    <w:rsid w:val="007F6E47"/>
    <w:rsid w:val="00803D9B"/>
    <w:rsid w:val="00810190"/>
    <w:rsid w:val="00811269"/>
    <w:rsid w:val="008136F0"/>
    <w:rsid w:val="00824567"/>
    <w:rsid w:val="0082794A"/>
    <w:rsid w:val="008333F0"/>
    <w:rsid w:val="00834803"/>
    <w:rsid w:val="00835E74"/>
    <w:rsid w:val="008379DE"/>
    <w:rsid w:val="00843B06"/>
    <w:rsid w:val="00843DBC"/>
    <w:rsid w:val="00852F39"/>
    <w:rsid w:val="00856E5A"/>
    <w:rsid w:val="00857FCC"/>
    <w:rsid w:val="00870267"/>
    <w:rsid w:val="00870C91"/>
    <w:rsid w:val="008719FC"/>
    <w:rsid w:val="0087267B"/>
    <w:rsid w:val="00872721"/>
    <w:rsid w:val="00875444"/>
    <w:rsid w:val="0087623A"/>
    <w:rsid w:val="00877B5B"/>
    <w:rsid w:val="00887E4E"/>
    <w:rsid w:val="00890597"/>
    <w:rsid w:val="00891B27"/>
    <w:rsid w:val="00897A57"/>
    <w:rsid w:val="008A115E"/>
    <w:rsid w:val="008A5623"/>
    <w:rsid w:val="008B1AD0"/>
    <w:rsid w:val="008B5351"/>
    <w:rsid w:val="008B79A3"/>
    <w:rsid w:val="008C3789"/>
    <w:rsid w:val="008D12AA"/>
    <w:rsid w:val="008D25C9"/>
    <w:rsid w:val="008D5DFD"/>
    <w:rsid w:val="008D69D2"/>
    <w:rsid w:val="008E11C5"/>
    <w:rsid w:val="008E251B"/>
    <w:rsid w:val="008E589B"/>
    <w:rsid w:val="008E5E5A"/>
    <w:rsid w:val="008E5ED3"/>
    <w:rsid w:val="008F0F9E"/>
    <w:rsid w:val="008F255B"/>
    <w:rsid w:val="00902756"/>
    <w:rsid w:val="00912805"/>
    <w:rsid w:val="00916C4E"/>
    <w:rsid w:val="009171E6"/>
    <w:rsid w:val="00921AAA"/>
    <w:rsid w:val="009309E3"/>
    <w:rsid w:val="00943A68"/>
    <w:rsid w:val="00943E3B"/>
    <w:rsid w:val="009446ED"/>
    <w:rsid w:val="00946425"/>
    <w:rsid w:val="009503DF"/>
    <w:rsid w:val="009513BA"/>
    <w:rsid w:val="00954528"/>
    <w:rsid w:val="00960367"/>
    <w:rsid w:val="00961A91"/>
    <w:rsid w:val="00961EAF"/>
    <w:rsid w:val="009643A7"/>
    <w:rsid w:val="009651C7"/>
    <w:rsid w:val="009667F8"/>
    <w:rsid w:val="0098324E"/>
    <w:rsid w:val="00986091"/>
    <w:rsid w:val="00991EEB"/>
    <w:rsid w:val="009921B6"/>
    <w:rsid w:val="00996138"/>
    <w:rsid w:val="009A29BA"/>
    <w:rsid w:val="009A3AC0"/>
    <w:rsid w:val="009A3F63"/>
    <w:rsid w:val="009A5A94"/>
    <w:rsid w:val="009A6F56"/>
    <w:rsid w:val="009A7010"/>
    <w:rsid w:val="009B1059"/>
    <w:rsid w:val="009B419D"/>
    <w:rsid w:val="009B5BFC"/>
    <w:rsid w:val="009C1E15"/>
    <w:rsid w:val="009C5615"/>
    <w:rsid w:val="009C579B"/>
    <w:rsid w:val="009D5477"/>
    <w:rsid w:val="009D5E11"/>
    <w:rsid w:val="009E6D08"/>
    <w:rsid w:val="00A02563"/>
    <w:rsid w:val="00A0298D"/>
    <w:rsid w:val="00A048AD"/>
    <w:rsid w:val="00A05936"/>
    <w:rsid w:val="00A06823"/>
    <w:rsid w:val="00A07DE0"/>
    <w:rsid w:val="00A11762"/>
    <w:rsid w:val="00A14677"/>
    <w:rsid w:val="00A14797"/>
    <w:rsid w:val="00A16420"/>
    <w:rsid w:val="00A30139"/>
    <w:rsid w:val="00A3434E"/>
    <w:rsid w:val="00A4086D"/>
    <w:rsid w:val="00A40941"/>
    <w:rsid w:val="00A44310"/>
    <w:rsid w:val="00A44DE1"/>
    <w:rsid w:val="00A537F6"/>
    <w:rsid w:val="00A53946"/>
    <w:rsid w:val="00A55153"/>
    <w:rsid w:val="00A56CB6"/>
    <w:rsid w:val="00A61D2C"/>
    <w:rsid w:val="00A62CA1"/>
    <w:rsid w:val="00A71C97"/>
    <w:rsid w:val="00A72140"/>
    <w:rsid w:val="00A74FCA"/>
    <w:rsid w:val="00A75D7F"/>
    <w:rsid w:val="00A77D33"/>
    <w:rsid w:val="00A816A0"/>
    <w:rsid w:val="00A864AC"/>
    <w:rsid w:val="00A87807"/>
    <w:rsid w:val="00A91FB6"/>
    <w:rsid w:val="00A94A36"/>
    <w:rsid w:val="00AA1D8D"/>
    <w:rsid w:val="00AA3131"/>
    <w:rsid w:val="00AA49D6"/>
    <w:rsid w:val="00AB16A7"/>
    <w:rsid w:val="00AB67E6"/>
    <w:rsid w:val="00AC1025"/>
    <w:rsid w:val="00AC173C"/>
    <w:rsid w:val="00AD173D"/>
    <w:rsid w:val="00AD388C"/>
    <w:rsid w:val="00AD3C0A"/>
    <w:rsid w:val="00AD4286"/>
    <w:rsid w:val="00AD6EBE"/>
    <w:rsid w:val="00AE3564"/>
    <w:rsid w:val="00AE46FC"/>
    <w:rsid w:val="00AE6880"/>
    <w:rsid w:val="00AF36A1"/>
    <w:rsid w:val="00AF4AFD"/>
    <w:rsid w:val="00AF6784"/>
    <w:rsid w:val="00B0167C"/>
    <w:rsid w:val="00B01F7D"/>
    <w:rsid w:val="00B157C4"/>
    <w:rsid w:val="00B248AE"/>
    <w:rsid w:val="00B25644"/>
    <w:rsid w:val="00B2712A"/>
    <w:rsid w:val="00B30E60"/>
    <w:rsid w:val="00B3309E"/>
    <w:rsid w:val="00B339A7"/>
    <w:rsid w:val="00B40165"/>
    <w:rsid w:val="00B41651"/>
    <w:rsid w:val="00B42B7F"/>
    <w:rsid w:val="00B42F82"/>
    <w:rsid w:val="00B47730"/>
    <w:rsid w:val="00B56012"/>
    <w:rsid w:val="00B566F3"/>
    <w:rsid w:val="00B63FB8"/>
    <w:rsid w:val="00B64B5D"/>
    <w:rsid w:val="00B651F0"/>
    <w:rsid w:val="00B74195"/>
    <w:rsid w:val="00B80845"/>
    <w:rsid w:val="00B8471A"/>
    <w:rsid w:val="00B938DF"/>
    <w:rsid w:val="00B94153"/>
    <w:rsid w:val="00BA2B43"/>
    <w:rsid w:val="00BA4377"/>
    <w:rsid w:val="00BB3D16"/>
    <w:rsid w:val="00BB5581"/>
    <w:rsid w:val="00BC0434"/>
    <w:rsid w:val="00BC2515"/>
    <w:rsid w:val="00BC26C7"/>
    <w:rsid w:val="00BC4AAD"/>
    <w:rsid w:val="00BD3BBB"/>
    <w:rsid w:val="00BF3686"/>
    <w:rsid w:val="00BF3D2C"/>
    <w:rsid w:val="00BF64D7"/>
    <w:rsid w:val="00BF6ACA"/>
    <w:rsid w:val="00BF6E42"/>
    <w:rsid w:val="00C02503"/>
    <w:rsid w:val="00C03D5E"/>
    <w:rsid w:val="00C04109"/>
    <w:rsid w:val="00C043B5"/>
    <w:rsid w:val="00C05C83"/>
    <w:rsid w:val="00C07156"/>
    <w:rsid w:val="00C0756C"/>
    <w:rsid w:val="00C10237"/>
    <w:rsid w:val="00C15B2B"/>
    <w:rsid w:val="00C17A12"/>
    <w:rsid w:val="00C212AD"/>
    <w:rsid w:val="00C21990"/>
    <w:rsid w:val="00C24D40"/>
    <w:rsid w:val="00C3123D"/>
    <w:rsid w:val="00C323A0"/>
    <w:rsid w:val="00C3253E"/>
    <w:rsid w:val="00C3399D"/>
    <w:rsid w:val="00C34040"/>
    <w:rsid w:val="00C37D06"/>
    <w:rsid w:val="00C4012D"/>
    <w:rsid w:val="00C412CB"/>
    <w:rsid w:val="00C41819"/>
    <w:rsid w:val="00C43580"/>
    <w:rsid w:val="00C45297"/>
    <w:rsid w:val="00C50748"/>
    <w:rsid w:val="00C5177B"/>
    <w:rsid w:val="00C52AC9"/>
    <w:rsid w:val="00C6000D"/>
    <w:rsid w:val="00C6076E"/>
    <w:rsid w:val="00C6375B"/>
    <w:rsid w:val="00C67202"/>
    <w:rsid w:val="00C74B70"/>
    <w:rsid w:val="00C751E9"/>
    <w:rsid w:val="00C804C4"/>
    <w:rsid w:val="00C80DB0"/>
    <w:rsid w:val="00C93F32"/>
    <w:rsid w:val="00C948E5"/>
    <w:rsid w:val="00CA1173"/>
    <w:rsid w:val="00CA31CE"/>
    <w:rsid w:val="00CA4569"/>
    <w:rsid w:val="00CA526C"/>
    <w:rsid w:val="00CB0664"/>
    <w:rsid w:val="00CB466B"/>
    <w:rsid w:val="00CC0F1D"/>
    <w:rsid w:val="00CC4E23"/>
    <w:rsid w:val="00CC7572"/>
    <w:rsid w:val="00CD5585"/>
    <w:rsid w:val="00CD69F4"/>
    <w:rsid w:val="00CD6DC3"/>
    <w:rsid w:val="00CE5A6E"/>
    <w:rsid w:val="00CF0949"/>
    <w:rsid w:val="00CF0BBC"/>
    <w:rsid w:val="00CF15DF"/>
    <w:rsid w:val="00D00301"/>
    <w:rsid w:val="00D00E49"/>
    <w:rsid w:val="00D01813"/>
    <w:rsid w:val="00D0417B"/>
    <w:rsid w:val="00D04B07"/>
    <w:rsid w:val="00D134BF"/>
    <w:rsid w:val="00D14AEA"/>
    <w:rsid w:val="00D164ED"/>
    <w:rsid w:val="00D2179A"/>
    <w:rsid w:val="00D21F78"/>
    <w:rsid w:val="00D2536D"/>
    <w:rsid w:val="00D26F2F"/>
    <w:rsid w:val="00D33B42"/>
    <w:rsid w:val="00D37168"/>
    <w:rsid w:val="00D4139B"/>
    <w:rsid w:val="00D463F7"/>
    <w:rsid w:val="00D5210A"/>
    <w:rsid w:val="00D55ADE"/>
    <w:rsid w:val="00D55E15"/>
    <w:rsid w:val="00D55F76"/>
    <w:rsid w:val="00D72F64"/>
    <w:rsid w:val="00D74588"/>
    <w:rsid w:val="00D82277"/>
    <w:rsid w:val="00D83DE3"/>
    <w:rsid w:val="00D8427C"/>
    <w:rsid w:val="00D85AC1"/>
    <w:rsid w:val="00D86E7E"/>
    <w:rsid w:val="00D9144B"/>
    <w:rsid w:val="00DA05CF"/>
    <w:rsid w:val="00DA13B9"/>
    <w:rsid w:val="00DA38A3"/>
    <w:rsid w:val="00DA4B98"/>
    <w:rsid w:val="00DA6D50"/>
    <w:rsid w:val="00DB4AB2"/>
    <w:rsid w:val="00DB5EFB"/>
    <w:rsid w:val="00DB6BD0"/>
    <w:rsid w:val="00DD0827"/>
    <w:rsid w:val="00DD72B7"/>
    <w:rsid w:val="00DE6113"/>
    <w:rsid w:val="00DE7DB6"/>
    <w:rsid w:val="00DE7DFD"/>
    <w:rsid w:val="00DF30D0"/>
    <w:rsid w:val="00E01416"/>
    <w:rsid w:val="00E02387"/>
    <w:rsid w:val="00E02F07"/>
    <w:rsid w:val="00E03DB4"/>
    <w:rsid w:val="00E105D0"/>
    <w:rsid w:val="00E108C0"/>
    <w:rsid w:val="00E13716"/>
    <w:rsid w:val="00E14BA9"/>
    <w:rsid w:val="00E221DE"/>
    <w:rsid w:val="00E22F47"/>
    <w:rsid w:val="00E231AE"/>
    <w:rsid w:val="00E33FE4"/>
    <w:rsid w:val="00E4028D"/>
    <w:rsid w:val="00E4111C"/>
    <w:rsid w:val="00E42EA0"/>
    <w:rsid w:val="00E443D5"/>
    <w:rsid w:val="00E45107"/>
    <w:rsid w:val="00E567E2"/>
    <w:rsid w:val="00E60CB7"/>
    <w:rsid w:val="00E63C90"/>
    <w:rsid w:val="00E73B3D"/>
    <w:rsid w:val="00E73CA0"/>
    <w:rsid w:val="00E7460D"/>
    <w:rsid w:val="00E75D91"/>
    <w:rsid w:val="00E826F0"/>
    <w:rsid w:val="00E9286E"/>
    <w:rsid w:val="00E94B29"/>
    <w:rsid w:val="00E96930"/>
    <w:rsid w:val="00EA2466"/>
    <w:rsid w:val="00EA273C"/>
    <w:rsid w:val="00EA3D3B"/>
    <w:rsid w:val="00EA3D3D"/>
    <w:rsid w:val="00EB0B38"/>
    <w:rsid w:val="00EB424A"/>
    <w:rsid w:val="00EB54C5"/>
    <w:rsid w:val="00EC0724"/>
    <w:rsid w:val="00EC299E"/>
    <w:rsid w:val="00EC3672"/>
    <w:rsid w:val="00EC65FD"/>
    <w:rsid w:val="00EC7EA9"/>
    <w:rsid w:val="00ED27A9"/>
    <w:rsid w:val="00ED6211"/>
    <w:rsid w:val="00ED6DBA"/>
    <w:rsid w:val="00EE339C"/>
    <w:rsid w:val="00EF1189"/>
    <w:rsid w:val="00EF4DE1"/>
    <w:rsid w:val="00EF5A9D"/>
    <w:rsid w:val="00F00FEE"/>
    <w:rsid w:val="00F019AD"/>
    <w:rsid w:val="00F02B8D"/>
    <w:rsid w:val="00F03940"/>
    <w:rsid w:val="00F05137"/>
    <w:rsid w:val="00F0581D"/>
    <w:rsid w:val="00F05CD2"/>
    <w:rsid w:val="00F136F5"/>
    <w:rsid w:val="00F20860"/>
    <w:rsid w:val="00F21757"/>
    <w:rsid w:val="00F2180D"/>
    <w:rsid w:val="00F23A2B"/>
    <w:rsid w:val="00F30297"/>
    <w:rsid w:val="00F32094"/>
    <w:rsid w:val="00F425C5"/>
    <w:rsid w:val="00F4307B"/>
    <w:rsid w:val="00F518A4"/>
    <w:rsid w:val="00F542AB"/>
    <w:rsid w:val="00F62D18"/>
    <w:rsid w:val="00F71FB2"/>
    <w:rsid w:val="00F7445B"/>
    <w:rsid w:val="00F75EE7"/>
    <w:rsid w:val="00F80B9F"/>
    <w:rsid w:val="00F859F1"/>
    <w:rsid w:val="00F86D3E"/>
    <w:rsid w:val="00F87CF0"/>
    <w:rsid w:val="00F96641"/>
    <w:rsid w:val="00FA48CB"/>
    <w:rsid w:val="00FA77DA"/>
    <w:rsid w:val="00FA799A"/>
    <w:rsid w:val="00FA7AFB"/>
    <w:rsid w:val="00FB1E07"/>
    <w:rsid w:val="00FB222D"/>
    <w:rsid w:val="00FB270D"/>
    <w:rsid w:val="00FB64D3"/>
    <w:rsid w:val="00FC35E6"/>
    <w:rsid w:val="00FC4452"/>
    <w:rsid w:val="00FC58E8"/>
    <w:rsid w:val="00FC693F"/>
    <w:rsid w:val="00FD3F05"/>
    <w:rsid w:val="00FD4464"/>
    <w:rsid w:val="00FD649A"/>
    <w:rsid w:val="00FE2DDA"/>
    <w:rsid w:val="00FE3359"/>
    <w:rsid w:val="00FE4B8B"/>
    <w:rsid w:val="00FE5A03"/>
    <w:rsid w:val="00FF1E98"/>
    <w:rsid w:val="00FF2675"/>
    <w:rsid w:val="00FF27C9"/>
    <w:rsid w:val="00FF72EC"/>
    <w:rsid w:val="00FF7BA0"/>
    <w:rsid w:val="016E7D8E"/>
    <w:rsid w:val="08A61CCD"/>
    <w:rsid w:val="08CA999D"/>
    <w:rsid w:val="093BB9C7"/>
    <w:rsid w:val="0A6D3BCC"/>
    <w:rsid w:val="0ABE7EA9"/>
    <w:rsid w:val="0B0328FA"/>
    <w:rsid w:val="0B27D57F"/>
    <w:rsid w:val="0B3E32F4"/>
    <w:rsid w:val="0CEE2A60"/>
    <w:rsid w:val="0DB52258"/>
    <w:rsid w:val="0F34C86A"/>
    <w:rsid w:val="0FB72439"/>
    <w:rsid w:val="10BBBB3A"/>
    <w:rsid w:val="113F3ADD"/>
    <w:rsid w:val="134287B8"/>
    <w:rsid w:val="13684A48"/>
    <w:rsid w:val="14806336"/>
    <w:rsid w:val="169D96CA"/>
    <w:rsid w:val="176C64F5"/>
    <w:rsid w:val="1A34205D"/>
    <w:rsid w:val="1B06C831"/>
    <w:rsid w:val="1C7C60C5"/>
    <w:rsid w:val="1CEF14D5"/>
    <w:rsid w:val="2079AA22"/>
    <w:rsid w:val="20B3A7FA"/>
    <w:rsid w:val="2353B46E"/>
    <w:rsid w:val="23D65E6E"/>
    <w:rsid w:val="249F477E"/>
    <w:rsid w:val="24C43381"/>
    <w:rsid w:val="266C2492"/>
    <w:rsid w:val="289376BB"/>
    <w:rsid w:val="2B43F23B"/>
    <w:rsid w:val="2CF46C5B"/>
    <w:rsid w:val="2F9FD495"/>
    <w:rsid w:val="308631BA"/>
    <w:rsid w:val="30C88AE4"/>
    <w:rsid w:val="3192E7C1"/>
    <w:rsid w:val="31B69407"/>
    <w:rsid w:val="32D5D1AF"/>
    <w:rsid w:val="33400FA7"/>
    <w:rsid w:val="3483522D"/>
    <w:rsid w:val="34C3C2CA"/>
    <w:rsid w:val="35C6BE2D"/>
    <w:rsid w:val="35DEC7FE"/>
    <w:rsid w:val="366ADC87"/>
    <w:rsid w:val="36C86331"/>
    <w:rsid w:val="37C5ED93"/>
    <w:rsid w:val="37D59EDC"/>
    <w:rsid w:val="3A38C348"/>
    <w:rsid w:val="3A39B019"/>
    <w:rsid w:val="3B6EA268"/>
    <w:rsid w:val="3C1B1B37"/>
    <w:rsid w:val="3D163F76"/>
    <w:rsid w:val="3DAA0AD9"/>
    <w:rsid w:val="416CD1C1"/>
    <w:rsid w:val="44D01B3E"/>
    <w:rsid w:val="4511595C"/>
    <w:rsid w:val="45E1D4C8"/>
    <w:rsid w:val="47800C65"/>
    <w:rsid w:val="4AD57AB3"/>
    <w:rsid w:val="4C70BC89"/>
    <w:rsid w:val="4C7121F3"/>
    <w:rsid w:val="4C72946D"/>
    <w:rsid w:val="4C99E340"/>
    <w:rsid w:val="4E8E282B"/>
    <w:rsid w:val="4F09054F"/>
    <w:rsid w:val="4F0E0BDB"/>
    <w:rsid w:val="52E32FBE"/>
    <w:rsid w:val="5302EEE2"/>
    <w:rsid w:val="53C5BEF0"/>
    <w:rsid w:val="53DCCDB7"/>
    <w:rsid w:val="56633F5F"/>
    <w:rsid w:val="571AF374"/>
    <w:rsid w:val="5817E5E7"/>
    <w:rsid w:val="586570A5"/>
    <w:rsid w:val="588C37C2"/>
    <w:rsid w:val="597F13A8"/>
    <w:rsid w:val="599154F7"/>
    <w:rsid w:val="5A0A86BA"/>
    <w:rsid w:val="5A63EDC9"/>
    <w:rsid w:val="5BE80E53"/>
    <w:rsid w:val="5C9F6621"/>
    <w:rsid w:val="5EE991C3"/>
    <w:rsid w:val="612DD0E5"/>
    <w:rsid w:val="623A9093"/>
    <w:rsid w:val="634FBCF4"/>
    <w:rsid w:val="645ACB6A"/>
    <w:rsid w:val="66A17CF2"/>
    <w:rsid w:val="694553C7"/>
    <w:rsid w:val="6A53A5C8"/>
    <w:rsid w:val="6A732A81"/>
    <w:rsid w:val="6A98C0B6"/>
    <w:rsid w:val="6AC1DA45"/>
    <w:rsid w:val="6B726BD8"/>
    <w:rsid w:val="6D8FBB8E"/>
    <w:rsid w:val="6F488D9A"/>
    <w:rsid w:val="700535B4"/>
    <w:rsid w:val="7175DBA5"/>
    <w:rsid w:val="73A1287F"/>
    <w:rsid w:val="73AF6CCC"/>
    <w:rsid w:val="7443A094"/>
    <w:rsid w:val="76906C5D"/>
    <w:rsid w:val="7C39D692"/>
    <w:rsid w:val="7C6692BC"/>
    <w:rsid w:val="7CC9CA48"/>
    <w:rsid w:val="7EABDA87"/>
    <w:rsid w:val="7EBE06C1"/>
    <w:rsid w:val="7F087F64"/>
    <w:rsid w:val="7F6EFE56"/>
    <w:rsid w:val="7FD0AA36"/>
  </w:rsids>
  <w:themeFontLang w:bidi="ar-SA"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73CA0"/>
    <w:pPr>
      <w:spacing w:after="120" w:line="254" w:lineRule="auto"/>
    </w:pPr>
    <w:rPr>
      <w:rFonts w:ascii="Times New Roman" w:cs="Times New Roman" w:eastAsia="Times New Roman" w:hAnsi="Times New Roman"/>
    </w:rPr>
  </w:style>
  <w:style w:styleId="Heading1" w:type="paragraph">
    <w:name w:val="heading 1"/>
    <w:basedOn w:val="Normal"/>
    <w:next w:val="Normal"/>
    <w:link w:val="Heading1Char"/>
    <w:uiPriority w:val="9"/>
    <w:qFormat/>
    <w:rsid w:val="000A5E99"/>
    <w:pPr>
      <w:keepNext/>
      <w:keepLines/>
      <w:spacing w:after="80" w:before="260"/>
      <w:outlineLvl w:val="0"/>
    </w:pPr>
    <w:rPr>
      <w:rFonts w:cstheme="majorBidi" w:eastAsiaTheme="majorEastAsia"/>
      <w:b/>
      <w:bCs/>
      <w:color w:themeColor="text1" w:val="000000"/>
      <w:sz w:val="28"/>
      <w:szCs w:val="28"/>
    </w:rPr>
  </w:style>
  <w:style w:styleId="Heading2" w:type="paragraph">
    <w:name w:val="heading 2"/>
    <w:basedOn w:val="Normal"/>
    <w:next w:val="Normal"/>
    <w:link w:val="Heading2Char"/>
    <w:uiPriority w:val="9"/>
    <w:unhideWhenUsed/>
    <w:qFormat/>
    <w:rsid w:val="000A5E99"/>
    <w:pPr>
      <w:keepNext/>
      <w:keepLines/>
      <w:spacing w:after="0" w:before="200"/>
      <w:outlineLvl w:val="1"/>
    </w:pPr>
    <w:rPr>
      <w:rFonts w:cstheme="majorBidi" w:eastAsiaTheme="majorEastAsia"/>
      <w:b/>
      <w:bCs/>
      <w:color w:themeColor="text1" w:val="000000"/>
      <w:sz w:val="26"/>
      <w:szCs w:val="26"/>
    </w:rPr>
  </w:style>
  <w:style w:styleId="Heading3" w:type="paragraph">
    <w:name w:val="heading 3"/>
    <w:basedOn w:val="Normal"/>
    <w:next w:val="Normal"/>
    <w:link w:val="Heading3Char"/>
    <w:uiPriority w:val="9"/>
    <w:unhideWhenUsed/>
    <w:qFormat/>
    <w:rsid w:val="000A5E99"/>
    <w:pPr>
      <w:keepNext/>
      <w:keepLines/>
      <w:spacing w:after="60" w:before="200"/>
      <w:outlineLvl w:val="2"/>
    </w:pPr>
    <w:rPr>
      <w:rFonts w:cstheme="majorBidi" w:eastAsiaTheme="majorEastAsia"/>
      <w:b/>
      <w:bCs/>
      <w:color w:themeColor="text1"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0A5E99"/>
    <w:rPr>
      <w:rFonts w:ascii="Times New Roman" w:cstheme="majorBidi" w:eastAsiaTheme="majorEastAsia" w:hAnsi="Times New Roman"/>
      <w:b/>
      <w:bCs/>
      <w:color w:themeColor="text1" w:val="000000"/>
      <w:sz w:val="28"/>
      <w:szCs w:val="28"/>
    </w:rPr>
  </w:style>
  <w:style w:customStyle="1" w:styleId="Heading2Char" w:type="character">
    <w:name w:val="Heading 2 Char"/>
    <w:basedOn w:val="DefaultParagraphFont"/>
    <w:link w:val="Heading2"/>
    <w:uiPriority w:val="9"/>
    <w:rsid w:val="000A5E99"/>
    <w:rPr>
      <w:rFonts w:ascii="Times New Roman" w:cstheme="majorBidi" w:eastAsiaTheme="majorEastAsia" w:hAnsi="Times New Roman"/>
      <w:b/>
      <w:bCs/>
      <w:color w:themeColor="text1" w:val="000000"/>
      <w:sz w:val="26"/>
      <w:szCs w:val="26"/>
    </w:rPr>
  </w:style>
  <w:style w:customStyle="1" w:styleId="Heading3Char" w:type="character">
    <w:name w:val="Heading 3 Char"/>
    <w:basedOn w:val="DefaultParagraphFont"/>
    <w:link w:val="Heading3"/>
    <w:uiPriority w:val="9"/>
    <w:rsid w:val="000A5E99"/>
    <w:rPr>
      <w:rFonts w:ascii="Times New Roman" w:cstheme="majorBidi" w:eastAsiaTheme="majorEastAsia" w:hAnsi="Times New Roman"/>
      <w:b/>
      <w:bCs/>
      <w:color w:themeColor="text1" w:val="000000"/>
      <w:sz w:val="24"/>
    </w:rPr>
  </w:style>
  <w:style w:styleId="Title" w:type="paragraph">
    <w:name w:val="Title"/>
    <w:basedOn w:val="Normal"/>
    <w:next w:val="Normal"/>
    <w:link w:val="TitleChar"/>
    <w:uiPriority w:val="10"/>
    <w:qFormat/>
    <w:rsid w:val="000A5E99"/>
    <w:pPr>
      <w:spacing w:after="320" w:line="240" w:lineRule="auto"/>
      <w:contextualSpacing/>
      <w:jc w:val="center"/>
    </w:pPr>
    <w:rPr>
      <w:rFonts w:cstheme="majorBidi" w:eastAsiaTheme="majorEastAsia"/>
      <w:b/>
      <w:color w:themeColor="text1" w:val="000000"/>
      <w:spacing w:val="5"/>
      <w:kern w:val="28"/>
      <w:sz w:val="44"/>
      <w:szCs w:val="52"/>
    </w:rPr>
  </w:style>
  <w:style w:customStyle="1" w:styleId="TitleChar" w:type="character">
    <w:name w:val="Title Char"/>
    <w:basedOn w:val="DefaultParagraphFont"/>
    <w:link w:val="Title"/>
    <w:uiPriority w:val="10"/>
    <w:rsid w:val="000A5E99"/>
    <w:rPr>
      <w:rFonts w:ascii="Times New Roman" w:cstheme="majorBidi" w:eastAsiaTheme="majorEastAsia" w:hAnsi="Times New Roman"/>
      <w:color w:themeColor="text1" w:val="000000"/>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ind w:left="360"/>
      <w:contextualSpacing/>
    </w:pPr>
  </w:style>
  <w:style w:styleId="ListContinue2" w:type="paragraph">
    <w:name w:val="List Continue 2"/>
    <w:basedOn w:val="Normal"/>
    <w:uiPriority w:val="99"/>
    <w:unhideWhenUsed/>
    <w:rsid w:val="0029639D"/>
    <w:pPr>
      <w:ind w:left="720"/>
      <w:contextualSpacing/>
    </w:pPr>
  </w:style>
  <w:style w:styleId="ListContinue3" w:type="paragraph">
    <w:name w:val="List Continue 3"/>
    <w:basedOn w:val="Normal"/>
    <w:uiPriority w:val="99"/>
    <w:unhideWhenUsed/>
    <w:rsid w:val="0029639D"/>
    <w:pPr>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CommentReference" w:type="character">
    <w:name w:val="annotation reference"/>
    <w:basedOn w:val="DefaultParagraphFont"/>
    <w:uiPriority w:val="99"/>
    <w:semiHidden/>
    <w:unhideWhenUsed/>
    <w:rsid w:val="000A5E99"/>
    <w:rPr>
      <w:sz w:val="16"/>
      <w:szCs w:val="16"/>
    </w:rPr>
  </w:style>
  <w:style w:styleId="CommentText" w:type="paragraph">
    <w:name w:val="annotation text"/>
    <w:basedOn w:val="Normal"/>
    <w:link w:val="CommentTextChar"/>
    <w:uiPriority w:val="99"/>
    <w:semiHidden/>
    <w:unhideWhenUsed/>
    <w:rsid w:val="000A5E99"/>
    <w:pPr>
      <w:spacing w:line="240" w:lineRule="auto"/>
    </w:pPr>
    <w:rPr>
      <w:sz w:val="20"/>
      <w:szCs w:val="20"/>
    </w:rPr>
  </w:style>
  <w:style w:customStyle="1" w:styleId="CommentTextChar" w:type="character">
    <w:name w:val="Comment Text Char"/>
    <w:basedOn w:val="DefaultParagraphFont"/>
    <w:link w:val="CommentText"/>
    <w:uiPriority w:val="99"/>
    <w:semiHidden/>
    <w:rsid w:val="000A5E99"/>
    <w:rPr>
      <w:rFonts w:ascii="Times New Roman" w:eastAsia="Times New Roman" w:hAnsi="Times New Roman"/>
      <w:sz w:val="20"/>
      <w:szCs w:val="20"/>
    </w:rPr>
  </w:style>
  <w:style w:styleId="CommentSubject" w:type="paragraph">
    <w:name w:val="annotation subject"/>
    <w:basedOn w:val="CommentText"/>
    <w:next w:val="CommentText"/>
    <w:link w:val="CommentSubjectChar"/>
    <w:uiPriority w:val="99"/>
    <w:semiHidden/>
    <w:unhideWhenUsed/>
    <w:rsid w:val="000A5E99"/>
    <w:rPr>
      <w:b/>
      <w:bCs/>
    </w:rPr>
  </w:style>
  <w:style w:customStyle="1" w:styleId="CommentSubjectChar" w:type="character">
    <w:name w:val="Comment Subject Char"/>
    <w:basedOn w:val="CommentTextChar"/>
    <w:link w:val="CommentSubject"/>
    <w:uiPriority w:val="99"/>
    <w:semiHidden/>
    <w:rsid w:val="000A5E99"/>
    <w:rPr>
      <w:rFonts w:ascii="Times New Roman" w:eastAsia="Times New Roman" w:hAnsi="Times New Roman"/>
      <w:b/>
      <w:bCs/>
      <w:sz w:val="20"/>
      <w:szCs w:val="20"/>
    </w:rPr>
  </w:style>
  <w:style w:styleId="Hyperlink" w:type="character">
    <w:name w:val="Hyperlink"/>
    <w:basedOn w:val="DefaultParagraphFont"/>
    <w:uiPriority w:val="99"/>
    <w:unhideWhenUsed/>
    <w:rsid w:val="000A5E99"/>
    <w:rPr>
      <w:color w:themeColor="hyperlink" w:val="0000FF"/>
      <w:u w:val="single"/>
    </w:rPr>
  </w:style>
  <w:style w:customStyle="1" w:styleId="FirstParagraph" w:type="paragraph">
    <w:name w:val="First Paragraph"/>
    <w:basedOn w:val="BodyText"/>
    <w:next w:val="BodyText"/>
    <w:qFormat/>
    <w:rsid w:val="000A5E99"/>
    <w:pPr>
      <w:spacing w:before="180"/>
    </w:pPr>
    <w:rPr>
      <w:rFonts w:asciiTheme="minorHAnsi" w:eastAsiaTheme="minorEastAsia" w:hAnsiTheme="minorHAnsi"/>
      <w:szCs w:val="24"/>
      <w:lang w:eastAsia="zh-CN"/>
    </w:rPr>
  </w:style>
  <w:style w:customStyle="1" w:styleId="VerbatimChar" w:type="character">
    <w:name w:val="Verbatim Char"/>
    <w:basedOn w:val="DefaultParagraphFont"/>
    <w:link w:val="SourceCode"/>
    <w:rsid w:val="000A5E99"/>
    <w:rPr>
      <w:rFonts w:ascii="Consolas" w:hAnsi="Consolas"/>
    </w:rPr>
  </w:style>
  <w:style w:customStyle="1" w:styleId="SourceCode" w:type="paragraph">
    <w:name w:val="Source Code"/>
    <w:basedOn w:val="Normal"/>
    <w:link w:val="VerbatimChar"/>
    <w:rsid w:val="000A5E99"/>
    <w:pPr>
      <w:wordWrap w:val="0"/>
      <w:spacing w:after="200" w:line="240" w:lineRule="auto"/>
    </w:pPr>
    <w:rPr>
      <w:rFonts w:ascii="Consolas" w:eastAsiaTheme="minorEastAsia" w:hAnsi="Consolas"/>
    </w:rPr>
  </w:style>
  <w:style w:styleId="Bibliography" w:type="paragraph">
    <w:name w:val="Bibliography"/>
    <w:basedOn w:val="Normal"/>
    <w:next w:val="Normal"/>
    <w:uiPriority w:val="37"/>
    <w:unhideWhenUsed/>
    <w:rsid w:val="000A5E99"/>
    <w:pPr>
      <w:spacing w:after="40" w:line="240" w:lineRule="auto"/>
      <w:ind w:hanging="280" w:left="280"/>
    </w:pPr>
    <w:rPr>
      <w:sz w:val="19"/>
    </w:rPr>
  </w:style>
  <w:style w:customStyle="1" w:styleId="Figurecaption" w:type="paragraph">
    <w:name w:val="Figure caption"/>
    <w:basedOn w:val="Normal"/>
    <w:qFormat/>
    <w:rsid w:val="000A5E99"/>
    <w:pPr>
      <w:spacing w:after="180" w:before="100" w:line="240" w:lineRule="auto"/>
    </w:pPr>
    <w:rPr>
      <w:b/>
      <w:bCs/>
      <w:sz w:val="19"/>
      <w:szCs w:val="20"/>
      <w:lang w:val="en-GB"/>
    </w:rPr>
  </w:style>
  <w:style w:styleId="NormalWeb" w:type="paragraph">
    <w:name w:val="Normal (Web)"/>
    <w:basedOn w:val="Normal"/>
    <w:uiPriority w:val="99"/>
    <w:semiHidden/>
    <w:unhideWhenUsed/>
    <w:rsid w:val="000A5E99"/>
    <w:rPr>
      <w:sz w:val="24"/>
      <w:szCs w:val="24"/>
    </w:rPr>
  </w:style>
  <w:style w:styleId="PlaceholderText" w:type="character">
    <w:name w:val="Placeholder Text"/>
    <w:basedOn w:val="DefaultParagraphFont"/>
    <w:uiPriority w:val="99"/>
    <w:semiHidden/>
    <w:rsid w:val="00345F4E"/>
    <w:rPr>
      <w:color w:val="666666"/>
    </w:rPr>
  </w:style>
  <w:style w:customStyle="1" w:styleId="pdq2pgselectionanchorcontainer" w:type="paragraph">
    <w:name w:val="pdq2pg_selectionanchorcontainer"/>
    <w:basedOn w:val="Normal"/>
    <w:rsid w:val="00624E84"/>
    <w:pPr>
      <w:spacing w:after="100" w:afterAutospacing="1" w:before="100" w:beforeAutospacing="1" w:line="240" w:lineRule="auto"/>
    </w:pPr>
    <w:rPr>
      <w:sz w:val="24"/>
      <w:szCs w:val="24"/>
    </w:rPr>
  </w:style>
  <w:style w:styleId="Revision" w:type="paragraph">
    <w:name w:val="Revision"/>
    <w:hidden/>
    <w:uiPriority w:val="99"/>
    <w:semiHidden/>
    <w:rsid w:val="00DB6BD0"/>
    <w:pPr>
      <w:spacing w:after="0" w:line="240" w:lineRule="auto"/>
    </w:pPr>
    <w:rPr>
      <w:rFonts w:ascii="Times New Roman" w:cs="Times New Roman" w:eastAsia="Times New Roman" w:hAnsi="Times New Roman"/>
    </w:rPr>
  </w:style>
  <w:style w:styleId="UnresolvedMention" w:type="character">
    <w:name w:val="Unresolved Mention"/>
    <w:basedOn w:val="DefaultParagraphFont"/>
    <w:uiPriority w:val="99"/>
    <w:semiHidden/>
    <w:unhideWhenUsed/>
    <w:rsid w:val="00236D48"/>
    <w:rPr>
      <w:color w:val="605E5C"/>
      <w:shd w:color="auto" w:fill="E1DFDD" w:val="clear"/>
    </w:rPr>
  </w:style>
  <w:style w:styleId="LineNumber" w:type="character">
    <w:name w:val="line number"/>
    <w:basedOn w:val="DefaultParagraphFont"/>
    <w:uiPriority w:val="99"/>
    <w:semiHidden/>
    <w:unhideWhenUsed/>
    <w:rsid w:val="00F80B9F"/>
  </w:style>
  <w:style w:styleId="Mention" w:type="character">
    <w:name w:val="Mention"/>
    <w:basedOn w:val="DefaultParagraphFont"/>
    <w:uiPriority w:val="99"/>
    <w:unhideWhenUsed/>
    <w:rsid w:val="005E711E"/>
    <w:rPr>
      <w:color w:val="2B579A"/>
      <w:shd w:color="auto" w:fill="E1DFDD" w:val="clear"/>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media/image3.png" Type="http://schemas.openxmlformats.org/officeDocument/2006/relationships/image" /><Relationship Id="rId12" Target="media/image2.png" Type="http://schemas.openxmlformats.org/officeDocument/2006/relationships/image" /><Relationship Id="rId11" Target="media/image1.png" Type="http://schemas.openxmlformats.org/officeDocument/2006/relationships/image" /><Relationship Id="rId14" Target="media/image4.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25700</Words>
  <Characters>146491</Characters>
  <Application>Microsoft Office Word</Application>
  <DocSecurity>0</DocSecurity>
  <Lines>1220</Lines>
  <Paragraphs>343</Paragraphs>
  <ScaleCrop>false</ScaleCrop>
  <Manager/>
  <Company/>
  <LinksUpToDate>false</LinksUpToDate>
  <CharactersWithSpaces>171848</CharactersWithSpaces>
  <SharedDoc>false</SharedDoc>
  <HyperlinkBase/>
  <HLinks>
    <vt:vector size="6" baseType="variant">
      <vt:variant>
        <vt:i4>7143454</vt:i4>
      </vt:variant>
      <vt:variant>
        <vt:i4>0</vt:i4>
      </vt:variant>
      <vt:variant>
        <vt:i4>0</vt:i4>
      </vt:variant>
      <vt:variant>
        <vt:i4>5</vt:i4>
      </vt:variant>
      <vt:variant>
        <vt:lpwstr>mailto:francesco.polazzo@uzh.ch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Lotka Volterra Simulation Methods</dc:title>
  <dc:creator/>
  <cp:keywords/>
  <dcterms:created xsi:type="dcterms:W3CDTF">2026-10-01T13:46:44Z</dcterms:created>
  <dcterms:modified xsi:type="dcterms:W3CDTF">2026-10-01T13:46:44Z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