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AC71" w14:textId="635F8C01" w:rsidR="001C6BEB" w:rsidRDefault="00976FE6" w:rsidP="00976FE6">
      <w:pPr>
        <w:pStyle w:val="Heading1"/>
      </w:pPr>
      <w:r w:rsidRPr="00976FE6">
        <w:t>Slowing down in recovery of phytoplankton community due to recurrent heatwaves</w:t>
      </w:r>
    </w:p>
    <w:p w14:paraId="7F0325EB" w14:textId="77777777" w:rsidR="002328D7" w:rsidRDefault="002328D7" w:rsidP="00976FE6">
      <w:pPr>
        <w:rPr>
          <w:rFonts w:ascii="Times New Roman" w:hAnsi="Times New Roman" w:cs="Times New Roman"/>
        </w:rPr>
      </w:pPr>
    </w:p>
    <w:p w14:paraId="4C770BAE" w14:textId="77777777" w:rsidR="002328D7" w:rsidRDefault="002328D7" w:rsidP="00976FE6">
      <w:pPr>
        <w:rPr>
          <w:rFonts w:ascii="Times New Roman" w:hAnsi="Times New Roman" w:cs="Times New Roman"/>
        </w:rPr>
      </w:pPr>
    </w:p>
    <w:p w14:paraId="2A3B6147" w14:textId="77777777" w:rsidR="00CB399C" w:rsidRDefault="002328D7" w:rsidP="00D97037">
      <w:pPr>
        <w:pStyle w:val="NormalWeb"/>
        <w:spacing w:before="0" w:beforeAutospacing="0" w:after="0" w:afterAutospacing="0"/>
      </w:pPr>
      <w:r>
        <w:t>Climate change is an urgent global challenge characterized by significant alterations in weather patterns, rising global temperatures, and increased frequency of extreme weather events</w:t>
      </w:r>
      <w:r>
        <w:t xml:space="preserve"> </w:t>
      </w:r>
      <w:r>
        <w:fldChar w:fldCharType="begin"/>
      </w:r>
      <w:r>
        <w:instrText xml:space="preserve"> ADDIN ZOTERO_ITEM CSL_CITATION {"citationID":"M6orc5Ie","properties":{"formattedCitation":"(Intergovernmental Panel on Climate Change (IPCC) 2023)","plainCitation":"(Intergovernmental Panel on Climate Change (IPCC) 2023)","noteIndex":0},"citationItems":[{"id":2641,"uris":["http://zotero.org/users/10426170/items/S3UFW6A6"],"itemData":{"id":2641,"type":"book","abstract":"The Working Group II contribution to the Sixth Assessment Report of the Intergovernmental Panel on Climate Change (IPCC) provides a comprehensive assessment of the scientific literature relevant to climate change impacts, adaptation and vulnerability. The report recognizes the interactions of climate, ecosystems and biodiversity, and human societies, and integrates across the natural, ecological, social and economic sciences. It emphasizes how efforts in adaptation and in reducing greenhouse gas emissions can come together in a process called climate resilient development, which enables a liveable future for biodiversity and humankind. The IPCC is the leading body for assessing climate change science. IPCC reports are produced in comprehensive, objective and transparent ways, ensuring they reflect the full range of views in the scientific literature. Novel elements include focused topical assessments, and an atlas presenting observed climate change impacts and future risks from global to regional scales. Available as Open Access on Cambridge Core.","event-place":"Cambridge","note":"DOI: 10.1017/9781009325844","publisher":"Cambridge University Press","publisher-place":"Cambridge","source":"Cambridge University Press","title":"Climate Change 2022 – Impacts, Adaptation and Vulnerability: Working Group II Contribution to the Sixth Assessment Report of the Intergovernmental Panel on Climate Change","title-short":"Climate Change 2022 – Impacts, Adaptation and Vulnerability","URL":"https://www.cambridge.org/core/books/climate-change-2022-impacts-adaptation-and-vulnerability/161F238F406D530891AAAE1FC76651BD","author":[{"literal":"Intergovernmental Panel on Climate Change (IPCC)"}],"accessed":{"date-parts":[["2024",6,21]]},"issued":{"date-parts":[["2023"]]}}}],"schema":"https://github.com/citation-style-language/schema/raw/master/csl-citation.json"} </w:instrText>
      </w:r>
      <w:r>
        <w:fldChar w:fldCharType="separate"/>
      </w:r>
      <w:r>
        <w:rPr>
          <w:noProof/>
        </w:rPr>
        <w:t>(IPCC 2023)</w:t>
      </w:r>
      <w:r>
        <w:fldChar w:fldCharType="end"/>
      </w:r>
      <w:r>
        <w:t xml:space="preserve">. One of the most concerning aspects of climate change is the </w:t>
      </w:r>
      <w:r>
        <w:t>increasing</w:t>
      </w:r>
      <w:r>
        <w:t xml:space="preserve"> frequency and intensity of extreme events, such as hurricanes, floods, droughts, and heatwaves</w:t>
      </w:r>
      <w:r>
        <w:t xml:space="preserve"> </w:t>
      </w:r>
      <w:r w:rsidR="00D97037">
        <w:fldChar w:fldCharType="begin"/>
      </w:r>
      <w:r w:rsidR="00D97037">
        <w:instrText xml:space="preserve"> ADDIN ZOTERO_ITEM CSL_CITATION {"citationID":"l42G9ck8","properties":{"formattedCitation":"(Fischer {\\i{}et al.} 2021)","plainCitation":"(Fischer et al. 2021)","noteIndex":0},"citationItems":[{"id":2644,"uris":["http://zotero.org/users/10426170/items/LF9MQ37V"],"itemData":{"id":2644,"type":"article-journal","abstract":"Recent climate extremes have broken long-standing records by large margins. Such extremes unprecedented in the observational period often have substantial impacts due to a tendency to adapt to the highest intensities, and no higher, experienced during a lifetime. Here, we show models project not only more intense extremes but also events that break previous records by much larger margins. These record-shattering extremes, nearly impossible in the absence of warming, are likely to occur in the coming decades. We demonstrate that their probability of occurrence depends on warming rate, rather than global warming level, and is thus pathway-dependent. In high-emission scenarios, week-long heat extremes that break records by three or more standard deviations are two to seven times more probable in 2021–2050 and three to 21 times more probable in 2051–2080, compared to the last three decades. In 2051–2080, such events are estimated to occur about every 6–37 years somewhere in the northern midlatitudes.","container-title":"Nature Climate Change","DOI":"10.1038/s41558-021-01092-9","ISSN":"1758-6798","issue":"8","journalAbbreviation":"Nat. Clim. Chang.","language":"en","license":"2021 The Author(s), under exclusive licence to Springer Nature Limited","note":"publisher: Nature Publishing Group","page":"689-695","source":"www.nature.com","title":"Increasing probability of record-shattering climate extremes","volume":"11","author":[{"family":"Fischer","given":"E. M."},{"family":"Sippel","given":"S."},{"family":"Knutti","given":"R."}],"issued":{"date-parts":[["2021",8]]}}}],"schema":"https://github.com/citation-style-language/schema/raw/master/csl-citation.json"} </w:instrText>
      </w:r>
      <w:r w:rsidR="00D97037">
        <w:fldChar w:fldCharType="separate"/>
      </w:r>
      <w:r w:rsidR="00D97037" w:rsidRPr="00D97037">
        <w:rPr>
          <w:lang w:val="en-GB"/>
        </w:rPr>
        <w:t xml:space="preserve">(Fischer </w:t>
      </w:r>
      <w:r w:rsidR="00D97037" w:rsidRPr="00D97037">
        <w:rPr>
          <w:i/>
          <w:iCs/>
          <w:lang w:val="en-GB"/>
        </w:rPr>
        <w:t>et al.</w:t>
      </w:r>
      <w:r w:rsidR="00D97037" w:rsidRPr="00D97037">
        <w:rPr>
          <w:lang w:val="en-GB"/>
        </w:rPr>
        <w:t xml:space="preserve"> 2021)</w:t>
      </w:r>
      <w:r w:rsidR="00D97037">
        <w:fldChar w:fldCharType="end"/>
      </w:r>
      <w:r>
        <w:t>.</w:t>
      </w:r>
      <w:r w:rsidR="00CB399C">
        <w:t xml:space="preserve"> </w:t>
      </w:r>
    </w:p>
    <w:p w14:paraId="55CB738A" w14:textId="1D0FB687" w:rsidR="00D97037" w:rsidRDefault="00D97037" w:rsidP="00D97037">
      <w:pPr>
        <w:pStyle w:val="NormalWeb"/>
        <w:spacing w:before="0" w:beforeAutospacing="0" w:after="0" w:afterAutospacing="0"/>
      </w:pPr>
      <w:r>
        <w:t xml:space="preserve">Particularly, heatwaves (HWs) have been projected to increase in frequency and severity </w:t>
      </w:r>
      <w:r w:rsidR="00CB399C">
        <w:t xml:space="preserve">globally </w:t>
      </w:r>
      <w:r w:rsidR="00CB399C">
        <w:fldChar w:fldCharType="begin"/>
      </w:r>
      <w:r w:rsidR="00CB399C">
        <w:instrText xml:space="preserve"> ADDIN ZOTERO_ITEM CSL_CITATION {"citationID":"lq3XcFM0","properties":{"formattedCitation":"(Perkins {\\i{}et al.} 2012)","plainCitation":"(Perkins et al. 2012)","noteIndex":0},"citationItems":[{"id":501,"uris":["http://zotero.org/users/10426170/items/4QJ9YR4D"],"itemData":{"id":501,"type":"article-journal","abstract":"Using the latest HadGHCND daily temperature dataset, global trends in observed summertime heatwaves and annually calculated warm spells for 1950-2011 are analysed via a multi-index, multi-aspect framework. Three indices that separately focus on maximum temperature (TX90pct), minimum temperature (TN90pct) and average temperature (EHF) were studied with respect to five characteristics of event intensity, frequency and duration. Despite which index is employed, increases in heatwave/warm spell intensity, frequency and duration are found. Furthermore, TX90pct and TN90pct trends are larger and exhibit more significance for warm spells, implying that non-summer events are driving annual trends over some regions. Larger increases in TN90pct aspects relative to EHF and TX90pct are also observed. While qualitative information on event trends is similar across the indices, quantitative values vary. This result highlights the importance of employing the most appropriate index when assessing the impact of sustained extreme temperature events. © 2012. American Geophysical Union. All Rights Reserved.","container-title":"Geophysical Research Letters","DOI":"10.1029/2012GL053361","ISSN":"00948276","issue":"20","page":"1-5","title":"Increasing frequency, intensity and duration of observed global heatwaves and warm spells","volume":"39","author":[{"family":"Perkins","given":"S. E."},{"family":"Alexander","given":"L. V."},{"family":"Nairn","given":"J. R."}],"issued":{"date-parts":[["2012"]]}}}],"schema":"https://github.com/citation-style-language/schema/raw/master/csl-citation.json"} </w:instrText>
      </w:r>
      <w:r w:rsidR="00CB399C">
        <w:fldChar w:fldCharType="separate"/>
      </w:r>
      <w:r w:rsidR="00CB399C" w:rsidRPr="00CB399C">
        <w:rPr>
          <w:lang w:val="en-GB"/>
        </w:rPr>
        <w:t xml:space="preserve">(Perkins </w:t>
      </w:r>
      <w:r w:rsidR="00CB399C" w:rsidRPr="00CB399C">
        <w:rPr>
          <w:i/>
          <w:iCs/>
          <w:lang w:val="en-GB"/>
        </w:rPr>
        <w:t>et al.</w:t>
      </w:r>
      <w:r w:rsidR="00CB399C" w:rsidRPr="00CB399C">
        <w:rPr>
          <w:lang w:val="en-GB"/>
        </w:rPr>
        <w:t xml:space="preserve"> 2012)</w:t>
      </w:r>
      <w:r w:rsidR="00CB399C">
        <w:fldChar w:fldCharType="end"/>
      </w:r>
      <w:r w:rsidR="00CB399C">
        <w:t xml:space="preserve">, including freshwater </w:t>
      </w:r>
      <w:r>
        <w:t xml:space="preserve">ecosystems </w:t>
      </w:r>
      <w:r>
        <w:fldChar w:fldCharType="begin"/>
      </w:r>
      <w:r>
        <w:instrText xml:space="preserve"> ADDIN ZOTERO_ITEM CSL_CITATION {"citationID":"hJPKDDCT","properties":{"formattedCitation":"(Woolway {\\i{}et al.} 2021, 2022)","plainCitation":"(Woolway et al. 2021, 2022)","noteIndex":0},"citationItems":[{"id":734,"uris":["http://zotero.org/users/10426170/items/U6I4FFUK"],"itemData":{"id":734,"type":"article-journal","abstract":"Lake ecosystems, and the organisms that live within them, are vulnerable to temperature change 1-5 , including the increased occurrence of thermal extremes 6. However, very little is known about lake heatwaves-periods of extreme warm lake surface water temperature-and how they may change under global warming. Here we use satellite observations and a numerical model to investigate changes in lake heatwaves for hundreds of lakes worldwide from 1901 to 2099. We show that lake heatwaves will become hotter and longer by the end of the twenty-first century. For the high-greenhouse-gas-emission scenario (Representative Concentration Pathway (RCP) 8.5), the average intensity of lake heatwaves, defined relative to the historical period (1970 to 1999), will increase from 3.7 ± 0.1 to 5.4 ± 0.8 degrees Celsius and their average duration will increase dramatically from 7.7 ± 0.4 to 95.5 ± 35.3 days. In the low-greenhouse-gas-emission RCP 2.6 scenario, heatwave intensity and duration will increase to 4.0 ± 0.2 degrees Celsius and 27.0 ± 7.6 days, respectively. Surface heatwaves are longer-lasting but less intense in deeper lakes (up to 60 metres deep) than in shallower lakes during both historic and future periods. As lakes warm during the twenty-first century 7,8 , their heatwaves will begin to extend across multiple seasons, with some lakes reaching a permanent heatwave state. Lake heatwaves are likely to exacerbate the adverse effects of long-term warming in lakes and exert widespread influence on their physical structure and chemical properties. Lake heatwaves could alter species composition by pushing aquatic species and ecosystems to the limits of their resilience. This in turn could threaten lake biodiversity 9 and the key ecological and economic benefits that lakes provide to society. There is compelling evidence that climate change is leading to more frequent and more intense heatwaves over land 10,11 and at the surface of the ocean 12-16 , increasing the risk of severe and in some cases irreversible ecological and socioeconomic impacts 17. In comparison, we know much less about heatwaves in lakes and how they will change within a warming world. This knowledge gap is of considerable concern given the high vulnerability of lakes to thermal extremes, and the ecosystem goods and services that they provide 6,18. A lake heatwave event can be defined, similar to marine heatwaves 13,17,19 , as a period in which lake surface temperatures exceed a local and seasonally varying 90th percentile threshold, relative to a baseline climatological mean (the average temperature for the day or month of year evaluated over the base period), for at least five days (Methods; Extended Data Fig. 1a). Here, we quantify past changes and assess future ones for different lake heatwave characteristics using a lake model forced with atmospheric data (air temperature, solar and thermal radiation, wind speed, atmospheric pressure and humidity) from an ensemble of four bias-corrected twentieth and twenty-first century climate projections (Methods). Specifically, using satellite-derived lake surface temperatures to optimize key parameters of a lake model (that is, to represent the thermal dynamics of the individual lakes), we simulate daily temperatures for hundreds of lakes worldwide (Extended Data Fig. 2a-c), and investigate how lake heatwave intensity and duration respond to climate change. The ability of the optimized lake model to simulate lake heatwaves is evaluated by comparing the simulations with satellite-derived lake temperatures during the historic period (see Methods). Good agreement was obtained between simulations and observations of lake heatwaves and also of mean lake surface temperatures (Extended Data Fig. 3). Using the optimized model, we simulated daily lake surface temperatures for all of the studied lakes from 1901 to 2099. Historical simulations used anthropogenic greenhouse gas and aerosol forcing in addition to natural forcing, and cover the period 1901 to 2005. Future projections, which represent the evolution of the climate system subject to three different anthropogenic greenhouse gas emission scenarios covering the period 2006 to 2099, RCP 2.6 (the low-emission scenario), 6.0 (the medium-emission scenario), and 8.5 (the high-emission scenario), are also investigated. For all model experiments, the climatological mean used to define anomalies was calculated relative to a 30-year base period (1970 to 1999). Simulated lake heatwave events from 1901 to 2099 are summarized to produce a set of characteristics for lake heatwaves. We derived metrics for duration (time between start and end dates of a lake heatwave event)","container-title":"Nature","DOI":"10.1038/s41586-020-03119-1","ISSN":"0028-0836","issue":"7842","note":"publisher: Springer US","page":"402-407","title":"Lake heatwaves under climate change","volume":"589","author":[{"family":"Woolway","given":"R. Iestyn"},{"family":"Jennings","given":"Eleanor"},{"family":"Shatwell","given":"Tom"},{"family":"Golub","given":"Malgorzata"},{"family":"Pierson","given":"Don C."},{"family":"Maberly","given":"Stephen C."}],"issued":{"date-parts":[["2021"]]}}},{"id":119,"uris":["http://zotero.org/users/10426170/items/CJ5FLEFA"],"itemData":{"id":119,"type":"article-journal","container-title":"Geophysical Research Letters","DOI":"10.1029/2021gl097031","ISSN":"0094-8276","issue":"4","page":"1-10","title":"Severe Lake Heatwaves Attributable to Human‐Induced Global Warming","volume":"49","author":[{"family":"Woolway","given":"R. Iestyn"},{"family":"Albergel","given":"Clément"},{"family":"Frölicher","given":"Thomas L."},{"family":"Perroud","given":"Marjorie"}],"issued":{"date-parts":[["2022"]]}}}],"schema":"https://github.com/citation-style-language/schema/raw/master/csl-citation.json"} </w:instrText>
      </w:r>
      <w:r>
        <w:fldChar w:fldCharType="separate"/>
      </w:r>
      <w:r w:rsidRPr="00D97037">
        <w:rPr>
          <w:lang w:val="en-GB"/>
        </w:rPr>
        <w:t>(</w:t>
      </w:r>
      <w:proofErr w:type="spellStart"/>
      <w:r w:rsidRPr="00D97037">
        <w:rPr>
          <w:lang w:val="en-GB"/>
        </w:rPr>
        <w:t>Woolway</w:t>
      </w:r>
      <w:proofErr w:type="spellEnd"/>
      <w:r w:rsidRPr="00D97037">
        <w:rPr>
          <w:lang w:val="en-GB"/>
        </w:rPr>
        <w:t xml:space="preserve"> </w:t>
      </w:r>
      <w:r w:rsidRPr="00D97037">
        <w:rPr>
          <w:i/>
          <w:iCs/>
          <w:lang w:val="en-GB"/>
        </w:rPr>
        <w:t>et al.</w:t>
      </w:r>
      <w:r w:rsidRPr="00D97037">
        <w:rPr>
          <w:lang w:val="en-GB"/>
        </w:rPr>
        <w:t xml:space="preserve"> 2021, 2022)</w:t>
      </w:r>
      <w:r>
        <w:fldChar w:fldCharType="end"/>
      </w:r>
      <w:r>
        <w:t xml:space="preserve">. The projected increase in HWs frequency and intensity is growing concerns, as evidence of the detrimental effects of HWs on freshwater populations, communities, and ecosystems keeps accululating </w:t>
      </w:r>
      <w:r>
        <w:fldChar w:fldCharType="begin"/>
      </w:r>
      <w:r>
        <w:instrText xml:space="preserve"> ADDIN ZOTERO_ITEM CSL_CITATION {"citationID":"hAM2qMqe","properties":{"formattedCitation":"(Correa-Araneda {\\i{}et al.} 2020; Mouthon &amp; Daufresne 2006; Polazzo {\\i{}et al.} 2022; Woodward {\\i{}et al.} 2016)","plainCitation":"(Correa-Araneda et al. 2020; Mouthon &amp; Daufresne 2006; Polazzo et al. 2022; Woodward et al. 2016)","noteIndex":0},"citationItems":[{"id":586,"uris":["http://zotero.org/users/10426170/items/P4TGH59K"],"itemData":{"id":586,"type":"article-journal","abstract":"Extreme temperatures have increased in intensity, duration and frequency in the last century, with potential consequences on key ecological processes such as organic matter breakdown. Many stream ecosystems are fueled by the breakdown of terrestrial leaf litter, which is exposed to atmospheric conditions for certain periods of time before entering the stream. Thus, extreme warming or freezing events may affect the litter physicochemical structure, which could translate into altered breakdown within the stream. The above prediction was tested by exposing litter of common riparian tree species in southern Chile to freezing (−20 ºC; dry or wet litter) or heating (40 ºC) and comparing breakdown with control litter exposed to room temperature (20 ºC), separating the effects of different breakdown agents (i.e., leaching, microorganisms and detritivores). The greatest effects were found in wet litter subjected to freezing; this treatment significantly increased leaching in the short term (48 h) and slowed down breakdown in the long term (30 days), mostly due to the inhibition of microbial breakdown. Heating also retarded microbial breakdown, but the effect was smaller. Our results suggest that short-term extreme temperatures—particularly cold ones—have the potential to slow down litter breakdown in streams, which will most likely impact global biogeochemical cycles where streams play a key role.","container-title":"Aquatic Sciences","DOI":"10.1007/s00027-020-0701-9","ISSN":"14209055","issue":"2","note":"publisher: Springer International Publishing\nISBN: 0123456789","page":"1-7","title":"Extreme climate events can slow down litter breakdown in streams","volume":"82","author":[{"family":"Correa-Araneda","given":"Francisco"},{"family":"Tonin","given":"Alan M."},{"family":"Pérez","given":"Javier"},{"family":"Álvarez","given":"Katia"},{"family":"López-Rojo","given":"Naiara"},{"family":"Díaz","given":"Angie"},{"family":"Esse","given":"Carlos"},{"family":"Encina-Montoya","given":"Francisco"},{"family":"Figueroa","given":"Ricardo"},{"family":"Cornejo","given":"Aydeé"},{"family":"Boyero","given":"Luz"}],"issued":{"date-parts":[["2020"]]}}},{"id":575,"uris":["http://zotero.org/users/10426170/items/29WS2KHM"],"itemData":{"id":575,"type":"article-journal","abstract":"The study of the dynamics of mollusc populations of the Saône and its two main tributaries, the Doubs and Ognon, over several years has provided us with the opportunity of highlighting the consequences of climatic warming and especially of the heatwave of 2003 on these organisms. From 1987 to 2003, the mean temperature of the waters of the Saône upstream of Lyon (Couzon) increased by 1.5°C. In addition, the summer of 2003 was the hottest since 1500 at least. We used correspondence analysis to identify structure change in mollusc data dating from September 1996 to December 2004. The results revealed: (1) during the period from September 1996 to July 2003, a significant progressive change in the mollusc community structure of the Saône upstream of Lyon, probably linked to the increase of temperature; (2) from July to August 2003 during the heatwave, a sudden change in the structure of mollusc communities and a significant decrease of species richness and density of gastropods and bivalves. During 2004, mollusc density and particularly that of Pisidium remained dramatically low. Similar observations were performed at four other sites along the Saône and in the lower reaches of its two main tributaries. This suggests that the resilience of the mollusc populations (i.e., the speed with which they return to a predisturbance state) to the heatwave is low. In this way, as different climatic models have predicted an increase in the frequency of summers as hot as that of 2003 during this century, more than half the mollusc species currently inhabiting the potamic area of the Saône, Doubs and Ognon, and probably other large rivers, are probably directly threatened with extinction. © 2006 Blackwell Publishing Ltd.","container-title":"Global Change Biology","DOI":"10.1111/j.1365-2486.2006.01095.x","ISSN":"13541013","issue":"3","page":"441-449","title":"Effects of the 2003 heatwave and climatic warming on mollusc communities of the Saône: A large lowland river and of its two main tributaries (France)","volume":"12","author":[{"family":"Mouthon","given":"Jacques"},{"family":"Daufresne","given":"Martin"}],"issued":{"date-parts":[["2006"]]}}},{"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C."}],"issued":{"date-parts":[["2022"]]}}},{"id":590,"uris":["http://zotero.org/users/10426170/items/CIVNKGHM"],"itemData":{"id":590,"type":"article-journal","abstract":"Most research on the effects of environmental change in freshwaters has focused on incremental changes in average conditions, rather than fluctuations or extreme events such as heatwaves, cold snaps, droughts, floods or wildfires, which may have even more profound consequences. Such events are commonly predicted to increase in frequency, intensity and duration with global climate change, with many systems being exposed to conditions with no recent historical precedent. We propose a mechanistic framework for predicting potential impacts of environmental fluctuations on running-water ecosystems by scaling up effects of fluctuations from individuals to entire ecosystems. This framework requires integration of four key components: effects of the environment on individual metabolism, metabolic and biomechanical constraints on fluctuating species interactions, assembly dynamics of local food webs, and mapping the dynamics of the meta-community onto ecosystem function. We illustrate the framework by developing a mathematical model of environmental fluctuations on dynamically assembling food webs. We highlight (currently limited) empirical evidence for emerging insights and theoretical predictions. For example, widely supported predictions about the effects of environmental fluctuations are: high vulnerability of species with high per capita metabolic demands such as large-bodied ones at the top of food webs; simplification of food web network structure and impaired energetic transfer efficiency; and reduced resilience and top-down relative to bottom-up regulation of food web and ecosystem processes. We conclude by identifying key questions and challenges that need to be addressed to develop more accurate and predictive bio-assessments of the effects of fluctuations, and implications of fluctuations for management practices in an increasingly uncertain world.","container-title":"Philosophical Transactions of the Royal Society B: Biological Sciences","DOI":"10.1098/rstb.2015.0274","ISSN":"14712970","issue":"1694","note":"ISBN: 0000000183","title":"The effects of climatic fluctuations and extreme events on running water ecosystems","volume":"371","author":[{"family":"Woodward","given":"Guy"},{"family":"Bonada","given":"Núria"},{"family":"Brown","given":"Lee E."},{"family":"Death","given":"Russell G."},{"family":"Durance","given":"Isabelle"},{"family":"Gray","given":"Clare"},{"family":"Hladyz","given":"Sally"},{"family":"Ledger","given":"Mark E."},{"family":"Milner","given":"Alexander M."},{"family":"Ormerod","given":"Steve J."},{"family":"Thompson","given":"Ross M."},{"family":"Pawar","given":"Samraat"}],"issued":{"date-parts":[["2016"]]}}}],"schema":"https://github.com/citation-style-language/schema/raw/master/csl-citation.json"} </w:instrText>
      </w:r>
      <w:r>
        <w:fldChar w:fldCharType="separate"/>
      </w:r>
      <w:r w:rsidRPr="00D97037">
        <w:rPr>
          <w:lang w:val="it-IT"/>
        </w:rPr>
        <w:t>(Correa-</w:t>
      </w:r>
      <w:proofErr w:type="spellStart"/>
      <w:r w:rsidRPr="00D97037">
        <w:rPr>
          <w:lang w:val="it-IT"/>
        </w:rPr>
        <w:t>Araneda</w:t>
      </w:r>
      <w:proofErr w:type="spellEnd"/>
      <w:r w:rsidRPr="00D97037">
        <w:rPr>
          <w:lang w:val="it-IT"/>
        </w:rPr>
        <w:t xml:space="preserve"> </w:t>
      </w:r>
      <w:r w:rsidRPr="00D97037">
        <w:rPr>
          <w:i/>
          <w:iCs/>
          <w:lang w:val="it-IT"/>
        </w:rPr>
        <w:t>et al.</w:t>
      </w:r>
      <w:r w:rsidRPr="00D97037">
        <w:rPr>
          <w:lang w:val="it-IT"/>
        </w:rPr>
        <w:t xml:space="preserve"> 2020; </w:t>
      </w:r>
      <w:proofErr w:type="spellStart"/>
      <w:r w:rsidRPr="00D97037">
        <w:rPr>
          <w:lang w:val="it-IT"/>
        </w:rPr>
        <w:t>Mouthon</w:t>
      </w:r>
      <w:proofErr w:type="spellEnd"/>
      <w:r w:rsidRPr="00D97037">
        <w:rPr>
          <w:lang w:val="it-IT"/>
        </w:rPr>
        <w:t xml:space="preserve"> &amp; </w:t>
      </w:r>
      <w:proofErr w:type="spellStart"/>
      <w:r w:rsidRPr="00D97037">
        <w:rPr>
          <w:lang w:val="it-IT"/>
        </w:rPr>
        <w:t>Daufresne</w:t>
      </w:r>
      <w:proofErr w:type="spellEnd"/>
      <w:r w:rsidRPr="00D97037">
        <w:rPr>
          <w:lang w:val="it-IT"/>
        </w:rPr>
        <w:t xml:space="preserve"> 2006; Polazzo </w:t>
      </w:r>
      <w:r w:rsidRPr="00D97037">
        <w:rPr>
          <w:i/>
          <w:iCs/>
          <w:lang w:val="it-IT"/>
        </w:rPr>
        <w:t>et al.</w:t>
      </w:r>
      <w:r w:rsidRPr="00D97037">
        <w:rPr>
          <w:lang w:val="it-IT"/>
        </w:rPr>
        <w:t xml:space="preserve"> 2022; Woodward </w:t>
      </w:r>
      <w:r w:rsidRPr="00D97037">
        <w:rPr>
          <w:i/>
          <w:iCs/>
          <w:lang w:val="it-IT"/>
        </w:rPr>
        <w:t>et al.</w:t>
      </w:r>
      <w:r w:rsidRPr="00D97037">
        <w:rPr>
          <w:lang w:val="it-IT"/>
        </w:rPr>
        <w:t xml:space="preserve"> 2016)</w:t>
      </w:r>
      <w:r>
        <w:fldChar w:fldCharType="end"/>
      </w:r>
      <w:r>
        <w:t>.</w:t>
      </w:r>
    </w:p>
    <w:p w14:paraId="4923EBE3" w14:textId="75FB5121" w:rsidR="00D97037" w:rsidRDefault="001643D2" w:rsidP="00D97037">
      <w:pPr>
        <w:pStyle w:val="NormalWeb"/>
        <w:spacing w:before="0" w:beforeAutospacing="0" w:after="0" w:afterAutospacing="0"/>
      </w:pPr>
      <w:r>
        <w:t xml:space="preserve">HWs have been shown to negatively affect multiple dimension of functional and compositional stability, such as resistance, recovery and temporal stability </w:t>
      </w:r>
      <w:r>
        <w:fldChar w:fldCharType="begin"/>
      </w:r>
      <w:r>
        <w:instrText xml:space="preserve"> ADDIN ZOTERO_ITEM CSL_CITATION {"citationID":"lvGhXRRR","properties":{"formattedCitation":"(Polazzo {\\i{}et al.} 2023; Ross {\\i{}et al.} 2021)","plainCitation":"(Polazzo et al. 2023; Ross et al. 2021)","noteIndex":0},"citationItems":[{"id":1696,"uris":["http://zotero.org/users/10426170/items/K98U24LB"],"itemData":{"id":1696,"type":"article-journal","abstract":"Untangling the relationship between network complexity and ecological stability under climate change is an arduous challenge for theoretical and empirical ecology. Even more so, when considering extreme climatic events. Here, we studied the effects of extreme climatic events (heatwaves) on the complexity of realistic freshwater ecosystems using topological and quantitative trophic network metrics. Next, we linked changes in network complexity with the investigation of four stability components (temporal stability, resistance, resilience, and recovery) of community's functional, compositional, and energy flux stability. We found reduction in topological network complexity to be correlated with reduction of functional and compositional resistance. However, temperature-driven increase in link-weighted network complexity increased functional and energy flux recovery and resilience, but at the cost of increased compositional instability. Overall, we propose an overarching approach to elucidate the effects of climate change on multidimensional stability through the lens of network complexity, providing helpful insights for preserving ecosystems stability under climate change.","container-title":"Ecology","DOI":"10.1002/ecy.3951","ISSN":"1939-9170","issue":"2","language":"en","note":"_eprint: https://onlinelibrary.wiley.com/doi/pdf/10.1002/ecy.3951","page":"e3951","source":"Wiley Online Library","title":"Impacts of extreme climatic events on trophic network complexity and multidimensional stability","volume":"104","author":[{"family":"Polazzo","given":"Francesco"},{"family":"Hermann","given":"Markus"},{"family":"Crettaz-Minaglia","given":"Melina"},{"family":"Rico","given":"Andreu"}],"issued":{"date-parts":[["2023"]]}}},{"id":31,"uris":["http://zotero.org/users/10426170/items/7L3INQI5"],"itemData":{"id":31,"type":"article-journal","container-title":"Global Change Biology","DOI":"10.1111/gcb.15956","ISSN":"1354-1013","issue":"October","page":"1-14","title":"Predators mitigate the destabilising effects of heatwaves on multitrophic stream communities","author":[{"family":"Ross","given":"Samuel R. P.‐J."},{"family":"García Molinos","given":"Jorge"},{"family":"Okuda","given":"Atsushi"},{"family":"Johnstone","given":"Jackson"},{"family":"Atsumi","given":"Keisuke"},{"family":"Futamura","given":"Ryo"},{"family":"Williams","given":"Maureen A."},{"family":"Matsuoka","given":"Yuichi"},{"family":"Uchida","given":"Jiro"},{"family":"Kumikawa","given":"Shoji"},{"family":"Sugiyama","given":"Hiroshi"},{"family":"Kishida","given":"Osamu"},{"family":"Donohue","given":"Ian"}],"issued":{"date-parts":[["2021"]]}}}],"schema":"https://github.com/citation-style-language/schema/raw/master/csl-citation.json"} </w:instrText>
      </w:r>
      <w:r>
        <w:fldChar w:fldCharType="separate"/>
      </w:r>
      <w:r w:rsidRPr="001643D2">
        <w:rPr>
          <w:lang w:val="en-GB"/>
        </w:rPr>
        <w:t xml:space="preserve">(Polazzo </w:t>
      </w:r>
      <w:r w:rsidRPr="001643D2">
        <w:rPr>
          <w:i/>
          <w:iCs/>
          <w:lang w:val="en-GB"/>
        </w:rPr>
        <w:t>et al.</w:t>
      </w:r>
      <w:r w:rsidRPr="001643D2">
        <w:rPr>
          <w:lang w:val="en-GB"/>
        </w:rPr>
        <w:t xml:space="preserve"> 2023; Ross </w:t>
      </w:r>
      <w:r w:rsidRPr="001643D2">
        <w:rPr>
          <w:i/>
          <w:iCs/>
          <w:lang w:val="en-GB"/>
        </w:rPr>
        <w:t>et al.</w:t>
      </w:r>
      <w:r w:rsidRPr="001643D2">
        <w:rPr>
          <w:lang w:val="en-GB"/>
        </w:rPr>
        <w:t xml:space="preserve"> 2021)</w:t>
      </w:r>
      <w:r>
        <w:fldChar w:fldCharType="end"/>
      </w:r>
      <w:r>
        <w:t xml:space="preserve">. Additionally, </w:t>
      </w:r>
      <w:r w:rsidR="00731629">
        <w:t>HWs may detrmine abrupt shift in aquatic ecosystems</w:t>
      </w:r>
      <w:r>
        <w:t xml:space="preserve"> </w:t>
      </w:r>
      <w:r>
        <w:fldChar w:fldCharType="begin"/>
      </w:r>
      <w:r w:rsidR="00731629">
        <w:instrText xml:space="preserve"> ADDIN ZOTERO_ITEM CSL_CITATION {"citationID":"1qc9doMV","properties":{"formattedCitation":"(Bertani {\\i{}et al.} 2016; Meunier {\\i{}et al.} 2024; Turner {\\i{}et al.} 2020; Wernberg {\\i{}et al.} 2016)","plainCitation":"(Bertani et al. 2016; Meunier et al. 2024; Turner et al. 2020; Wernberg et al. 2016)","noteIndex":0},"citationItems":[{"id":652,"uris":["http://zotero.org/users/10426170/items/UUFWY7A6"],"itemData":{"id":652,"type":"article-journal","abstract":"Extreme climatic events, such as heatwaves and droughts, are occurring more frequently in many regions of the world. Lakes may be especially vulnerable to climatic perturbations, which can trigger sudden ecosystem changes through alterations in the hydrologic regime. However, the nature of lake response to climatic extremes, and associated long-term ecosystem-level implications are difficult to predict, due to the paucity of time series allowing exploration of ecosystem behavior before, during, and after extreme events. We investigated the impacts of the 2003 European heatwave on a small, stratifying lake by analyzing available limnological data between 1986 and 2012. In summer 2003, a shift from an unvegetated to a macrophyte-dominated regime occurred, due to the rapid spread of a benthic charophyte. We explored candidate mechanisms driving the shift by comparing empirical observations with the outcome of a model on lake alternative states parameterized for our study lake. Our results support the hypothesis that enhanced light availability due to a heatwave-induced decrease in water level drove the switch in dominant primary producers. The spread of the charophyte was associated with strong depletion of inorganic nutrients and suppression of the typical summer phytoplankton peak. These bottom-up interactions triggered cascading effects at higher trophic levels, inducing a decline in herbivorous zooplankters with high food requirements and in predatory taxa. Some of the changes in the lake food web persist through the available time series. If incidence of heatwaves increases, as projected across temperate regions, our findings suggest that abrupt and long-lasting ecosystem-level reorganizations may occur in small, stratifying lakes.","container-title":"Ecosystems","DOI":"10.1007/s10021-015-9914-5","ISSN":"14350629","issue":"1","title":"Extreme Climatic Event Triggers a Lake Regime Shift that Propagates Across Multiple Trophic Levels","volume":"19","author":[{"family":"Bertani","given":"Isabella"},{"family":"Primicerio","given":"Raul"},{"family":"Rossetti","given":"Giampaolo"}],"issued":{"date-parts":[["2016"]]}}},{"id":2648,"uris":["http://zotero.org/users/10426170/items/CHMFTZL8"],"itemData":{"id":2648,"type":"article-journal","abstract":"Long-term, large-scale experimental studies provide critical information about how global change influences communities. When environmental changes are severe, they can trigger abrupt transitions from one community type to another leading to a regime shift. From 2014 to 2016, rocky intertidal habitats in the northeast Pacific Ocean experienced extreme temperatures during a multi-year marine heatwave (MHW) and sharp population declines of the keystone predator Pisaster ochraceus due to sea star wasting disease (SSWD). Here we measured the community structure before, during and after the MHW onset and SSWD outbreak in a 15-year succession experiment conducted in a rocky intertidal meta-ecosystem spanning 13 sites on four capes in Oregon and northern California, United States. Kelp abundance declined during the MHW due to extreme temperatures, while gooseneck barnacle and mussel abundances increased due to reduced predation pressure after the loss of Pisaster from SSWD. Using several methods, we detected regime shifts from substrate- or algae-dominated to invertebrate-dominated alternative states at two capes. After water temperatures cooled and Pisaster population densities recovered, community structure differed from pre-disturbance conditions, suggesting low resilience. Consequently, thermal stress and predator loss can result in regime shifts that fundamentally alter community structure even after restoration of baseline conditions.","container-title":"Nature Ecology &amp; Evolution","DOI":"10.1038/s41559-024-02425-5","ISSN":"2397-334X","journalAbbreviation":"Nat Ecol Evol","language":"en","license":"2024 The Author(s), under exclusive licence to Springer Nature Limited","note":"publisher: Nature Publishing Group","page":"1-13","source":"www.nature.com","title":"Regime shifts in rocky intertidal communities associated with a marine heatwave and disease outbreak","author":[{"family":"Meunier","given":"Zechariah D."},{"family":"Hacker","given":"Sally D."},{"family":"Menge","given":"Bruce A."}],"issued":{"date-parts":[["2024",6,3]]}}},{"id":2646,"uris":["http://zotero.org/users/10426170/items/VLW3QQUG"],"itemData":{"id":2646,"type":"article-journal","abstract":"Ecologists have long studied patterns, directions and tempos of change, but there is a pressing need to extend current understanding to empirical observations of abrupt changes as climate warming accelerates. Abrupt changes in ecological systems (ACES)—changes that are fast in time or fast relative to their drivers—are ubiquitous and increasing in frequency. Powerful theoretical frameworks exist, yet applications in real-world landscapes to detect, explain and anticipate ACES have lagged. We highlight five insights emerging from empirical studies of ACES across diverse ecosystems: (i) ecological systems show ACES in some dimensions but not others; (ii) climate extremes may be more important than mean climate in generating ACES; (iii) interactions among multiple drivers often produce ACES; (iv) contingencies, such as ecological memory, frequency and sequence of disturbances, and spatial context are important; and (v) tipping points are often (but not always) associated with ACES. We suggest research priorities to advance understanding of ACES in the face of climate change. Progress in understanding ACES requires strong integration of scientific approaches (theory, observations, experiments and process-based models) and high-quality empirical data drawn from a diverse array of ecosystems.\nThis article is part of the theme issue ‘Climate change and ecosystems: threats, opportunities and solutions’","container-title":"Philosophical Transactions of the Royal Society B: Biological Sciences","DOI":"10.1098/rstb.2019.0105","issue":"1794","note":"publisher: Royal Society","page":"20190105","source":"royalsocietypublishing.org (Atypon)","title":"Climate change, ecosystems and abrupt change: science priorities","title-short":"Climate change, ecosystems and abrupt change","volume":"375","author":[{"family":"Turner","given":"Monica G."},{"family":"Calder","given":"W. John"},{"family":"Cumming","given":"Graeme S."},{"family":"Hughes","given":"Terry P."},{"family":"Jentsch","given":"Anke"},{"family":"LaDeau","given":"Shannon L."},{"family":"Lenton","given":"Timothy M."},{"family":"Shuman","given":"Bryan N."},{"family":"Turetsky","given":"Merritt R."},{"family":"Ratajczak","given":"Zak"},{"family":"Williams","given":"John W."},{"family":"Williams","given":"A. Park"},{"family":"Carpenter","given":"Stephen R."}],"issued":{"date-parts":[["2020",1,27]]}}},{"id":2650,"uris":["http://zotero.org/users/10426170/items/GBR3RVKL"],"itemData":{"id":2650,"type":"article-journal","abstract":"Ecosystem reconfigurations arising from climate-driven changes in species distributions are expected to have profound ecological, social, and economic implications. Here we reveal a rapid climate-driven regime shift of Australian temperate reef communities, which lost their defining kelp forests and became dominated by persistent seaweed turfs. After decades of ocean warming, extreme marine heat waves forced a 100-kilometer range contraction of extensive kelp forests and saw temperate species replaced by seaweeds, invertebrates, corals, and fishes characteristic of subtropical and tropical waters. This community-wide tropicalization fundamentally altered key ecological processes, suppressing the recovery of kelp forests.","container-title":"Science","DOI":"10.1126/science.aad8745","issue":"6295","note":"publisher: American Association for the Advancement of Science","page":"169-172","source":"science.org (Atypon)","title":"Climate-driven regime shift of a temperate marine ecosystem","volume":"353","author":[{"family":"Wernberg","given":"Thomas"},{"family":"Bennett","given":"Scott"},{"family":"Babcock","given":"Russell C."},{"family":"Bettignies","given":"Thibaut","non-dropping-particle":"de"},{"family":"Cure","given":"Katherine"},{"family":"Depczynski","given":"Martial"},{"family":"Dufois","given":"Francois"},{"family":"Fromont","given":"Jane"},{"family":"Fulton","given":"Christopher J."},{"family":"Hovey","given":"Renae K."},{"family":"Harvey","given":"Euan S."},{"family":"Holmes","given":"Thomas H."},{"family":"Kendrick","given":"Gary A."},{"family":"Radford","given":"Ben"},{"family":"Santana-Garcon","given":"Julia"},{"family":"Saunders","given":"Benjamin J."},{"family":"Smale","given":"Dan A."},{"family":"Thomsen","given":"Mads S."},{"family":"Tuckett","given":"Chenae A."},{"family":"Tuya","given":"Fernando"},{"family":"Vanderklift","given":"Mathew A."},{"family":"Wilson","given":"Shaun"}],"issued":{"date-parts":[["2016",7,8]]}}}],"schema":"https://github.com/citation-style-language/schema/raw/master/csl-citation.json"} </w:instrText>
      </w:r>
      <w:r>
        <w:fldChar w:fldCharType="separate"/>
      </w:r>
      <w:r w:rsidR="00731629" w:rsidRPr="00731629">
        <w:rPr>
          <w:lang w:val="it-IT"/>
        </w:rPr>
        <w:t xml:space="preserve">(Bertani </w:t>
      </w:r>
      <w:r w:rsidR="00731629" w:rsidRPr="00731629">
        <w:rPr>
          <w:i/>
          <w:iCs/>
          <w:lang w:val="it-IT"/>
        </w:rPr>
        <w:t>et al.</w:t>
      </w:r>
      <w:r w:rsidR="00731629" w:rsidRPr="00731629">
        <w:rPr>
          <w:lang w:val="it-IT"/>
        </w:rPr>
        <w:t xml:space="preserve"> 2016; Meunier </w:t>
      </w:r>
      <w:r w:rsidR="00731629" w:rsidRPr="00731629">
        <w:rPr>
          <w:i/>
          <w:iCs/>
          <w:lang w:val="it-IT"/>
        </w:rPr>
        <w:t>et al.</w:t>
      </w:r>
      <w:r w:rsidR="00731629" w:rsidRPr="00731629">
        <w:rPr>
          <w:lang w:val="it-IT"/>
        </w:rPr>
        <w:t xml:space="preserve"> 2024; Turner </w:t>
      </w:r>
      <w:r w:rsidR="00731629" w:rsidRPr="00731629">
        <w:rPr>
          <w:i/>
          <w:iCs/>
          <w:lang w:val="it-IT"/>
        </w:rPr>
        <w:t>et al.</w:t>
      </w:r>
      <w:r w:rsidR="00731629" w:rsidRPr="00731629">
        <w:rPr>
          <w:lang w:val="it-IT"/>
        </w:rPr>
        <w:t xml:space="preserve"> 2020; </w:t>
      </w:r>
      <w:proofErr w:type="spellStart"/>
      <w:r w:rsidR="00731629" w:rsidRPr="00731629">
        <w:rPr>
          <w:lang w:val="it-IT"/>
        </w:rPr>
        <w:t>Wernberg</w:t>
      </w:r>
      <w:proofErr w:type="spellEnd"/>
      <w:r w:rsidR="00731629" w:rsidRPr="00731629">
        <w:rPr>
          <w:lang w:val="it-IT"/>
        </w:rPr>
        <w:t xml:space="preserve"> </w:t>
      </w:r>
      <w:r w:rsidR="00731629" w:rsidRPr="00731629">
        <w:rPr>
          <w:i/>
          <w:iCs/>
          <w:lang w:val="it-IT"/>
        </w:rPr>
        <w:t>et al.</w:t>
      </w:r>
      <w:r w:rsidR="00731629" w:rsidRPr="00731629">
        <w:rPr>
          <w:lang w:val="it-IT"/>
        </w:rPr>
        <w:t xml:space="preserve"> 2016)</w:t>
      </w:r>
      <w:r>
        <w:fldChar w:fldCharType="end"/>
      </w:r>
      <w:r>
        <w:t xml:space="preserve">. </w:t>
      </w:r>
    </w:p>
    <w:p w14:paraId="3B2FCC87" w14:textId="1BBC7348" w:rsidR="009E298A" w:rsidRDefault="00731629" w:rsidP="00D97037">
      <w:pPr>
        <w:pStyle w:val="NormalWeb"/>
        <w:spacing w:before="0" w:beforeAutospacing="0" w:after="0" w:afterAutospacing="0"/>
      </w:pPr>
      <w:r>
        <w:t xml:space="preserve">However, </w:t>
      </w:r>
      <w:r>
        <w:t xml:space="preserve">the evidence for abrupt shift or collapse are limited </w:t>
      </w:r>
      <w:r>
        <w:t xml:space="preserve">in freshwater systems </w:t>
      </w:r>
      <w:r>
        <w:fldChar w:fldCharType="begin"/>
      </w:r>
      <w:r>
        <w:instrText xml:space="preserve"> ADDIN ZOTERO_ITEM CSL_CITATION {"citationID":"yIawa0Jw","properties":{"formattedCitation":"(Bertani {\\i{}et al.} 2016; Filiz {\\i{}et al.} 2020; Polazzo {\\i{}et al.} 2022)","plainCitation":"(Bertani et al. 2016; Filiz et al. 2020; Polazzo et al. 2022)","noteIndex":0},"citationItems":[{"id":652,"uris":["http://zotero.org/users/10426170/items/UUFWY7A6"],"itemData":{"id":652,"type":"article-journal","abstract":"Extreme climatic events, such as heatwaves and droughts, are occurring more frequently in many regions of the world. Lakes may be especially vulnerable to climatic perturbations, which can trigger sudden ecosystem changes through alterations in the hydrologic regime. However, the nature of lake response to climatic extremes, and associated long-term ecosystem-level implications are difficult to predict, due to the paucity of time series allowing exploration of ecosystem behavior before, during, and after extreme events. We investigated the impacts of the 2003 European heatwave on a small, stratifying lake by analyzing available limnological data between 1986 and 2012. In summer 2003, a shift from an unvegetated to a macrophyte-dominated regime occurred, due to the rapid spread of a benthic charophyte. We explored candidate mechanisms driving the shift by comparing empirical observations with the outcome of a model on lake alternative states parameterized for our study lake. Our results support the hypothesis that enhanced light availability due to a heatwave-induced decrease in water level drove the switch in dominant primary producers. The spread of the charophyte was associated with strong depletion of inorganic nutrients and suppression of the typical summer phytoplankton peak. These bottom-up interactions triggered cascading effects at higher trophic levels, inducing a decline in herbivorous zooplankters with high food requirements and in predatory taxa. Some of the changes in the lake food web persist through the available time series. If incidence of heatwaves increases, as projected across temperate regions, our findings suggest that abrupt and long-lasting ecosystem-level reorganizations may occur in small, stratifying lakes.","container-title":"Ecosystems","DOI":"10.1007/s10021-015-9914-5","ISSN":"14350629","issue":"1","title":"Extreme Climatic Event Triggers a Lake Regime Shift that Propagates Across Multiple Trophic Levels","volume":"19","author":[{"family":"Bertani","given":"Isabella"},{"family":"Primicerio","given":"Raul"},{"family":"Rossetti","given":"Giampaolo"}],"issued":{"date-parts":[["2016"]]}}},{"id":2652,"uris":["http://zotero.org/users/10426170/items/KMN75PTT"],"itemData":{"id":2652,"type":"article-journal","abstract":"Phytoplankton usually responds directly and fast to environmental fluctuations, making them useful indicators of lake ecosystem changes caused by various stressors. Here, we examined the phytoplankton community composition before, during, and after a simulated 1-month heat wave in a mesocosm facility in Silkeborg, Denmark. The experiment was conducted over three contrasting temperature scenarios (ambient (A0), Intergovernmental Panel on Climate Change A2 scenario (circa +3 °C, A2) and A2+ %50 (circa +4.5 °C, A2+)) crossed with two nutrient levels (low (LN) and high (HN)) with four replicates. The facility includes 24 mesocosms mimicking shallow lakes, which at the time of our experiment had run without interruption for 11 years. The 1-month heat wave effect was simulated by increasing the temperature by 5 °C (1 July to 1 August) in A2 and A2+, while A0 was not additionally heated. Throughout the study, HN treatments were mostly dominated by Cyanobacteria, whereas LN treatments were richer in genera and mostly dominated by Chlorophyta. Linear mixed model analyses revealed that high nutrient conditions were the most important structuring factor, which, regardless of temperature treatments and heat waves, increased total phytoplankton, Chlorophyta, Bacillariophyta, and Cyanobacteria biomasses and decreased genus richness and the grazing pressure of zooplankton. The effect of temperature was, however, modest. The effect of warming on the phytoplankton community was not significant before the heat wave, yet during the heat wave it became significant, especially in LN-A2+, and negative interaction effects between nutrient and A2+ warming were recorded. These warming effects continued after the heat wave, as also evidenced by Co-inertia analyses. In contrast to the prevailing theory stating that more diverse ecosystems would be more stable, HN were less affected by the heat wave disturbance, most likely because the dominant phytoplankton group cyanobacteria is adapted to high nutrient conditions and also benefits from increased temperature. We did not find any significant change in phytoplankton size diversity, but size evenness decreased in HN as a result of an increase in the smallest and largest size classes simultaneously. We conclude that the phytoplankton community was most strongly affected by the nutrient level, but less sensitive to changes in both temperature treatments and the heat wave simulation in these systems, which have been adapted for a long time to different temperatures. Moreover, the temperature and heat wave effects were observed mostly in LN systems, indicating that the sensitivity of phytoplankton community structure to high temperatures is dependent on nutrient availability.","container-title":"Water","DOI":"10.3390/w12123394","ISSN":"2073-4441","issue":"12","language":"en","license":"http://creativecommons.org/licenses/by/3.0/","note":"number: 12\npublisher: Multidisciplinary Digital Publishing Institute","page":"3394","source":"www.mdpi.com","title":"Phytoplankton Community Response to Nutrients, Temperatures, and a Heat Wave in Shallow Lakes: An Experimental Approach","title-short":"Phytoplankton Community Response to Nutrients, Temperatures, and a Heat Wave in Shallow Lakes","volume":"12","author":[{"family":"Filiz","given":"Nur"},{"family":"Işkın","given":"Uğur"},{"family":"Beklioğlu","given":"Meryem"},{"family":"Öğlü","given":"Burak"},{"family":"Cao","given":"Yu"},{"family":"Davidson","given":"Thomas A."},{"family":"Søndergaard","given":"Martin"},{"family":"Lauridsen","given":"Torben L."},{"family":"Jeppesen","given":"Erik"}],"issued":{"date-parts":[["2020",12]]}}},{"id":1683,"uris":["http://zotero.org/users/10426170/items/E5S869CU"],"itemData":{"id":1683,"type":"article-journal","abstract":"Freshwater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C."}],"issued":{"date-parts":[["2022"]]}}}],"schema":"https://github.com/citation-style-language/schema/raw/master/csl-citation.json"} </w:instrText>
      </w:r>
      <w:r>
        <w:fldChar w:fldCharType="separate"/>
      </w:r>
      <w:r w:rsidRPr="00731629">
        <w:rPr>
          <w:lang w:val="en-US"/>
        </w:rPr>
        <w:t xml:space="preserve">(Bertani </w:t>
      </w:r>
      <w:r w:rsidRPr="00731629">
        <w:rPr>
          <w:i/>
          <w:iCs/>
          <w:lang w:val="en-US"/>
        </w:rPr>
        <w:t>et al.</w:t>
      </w:r>
      <w:r w:rsidRPr="00731629">
        <w:rPr>
          <w:lang w:val="en-US"/>
        </w:rPr>
        <w:t xml:space="preserve"> 2016; </w:t>
      </w:r>
      <w:proofErr w:type="spellStart"/>
      <w:r w:rsidRPr="00731629">
        <w:rPr>
          <w:lang w:val="en-US"/>
        </w:rPr>
        <w:t>Filiz</w:t>
      </w:r>
      <w:proofErr w:type="spellEnd"/>
      <w:r w:rsidRPr="00731629">
        <w:rPr>
          <w:lang w:val="en-US"/>
        </w:rPr>
        <w:t xml:space="preserve"> </w:t>
      </w:r>
      <w:r w:rsidRPr="00731629">
        <w:rPr>
          <w:i/>
          <w:iCs/>
          <w:lang w:val="en-US"/>
        </w:rPr>
        <w:t>et al.</w:t>
      </w:r>
      <w:r w:rsidRPr="00731629">
        <w:rPr>
          <w:lang w:val="en-US"/>
        </w:rPr>
        <w:t xml:space="preserve"> 2020; Polazzo </w:t>
      </w:r>
      <w:r w:rsidRPr="00731629">
        <w:rPr>
          <w:i/>
          <w:iCs/>
          <w:lang w:val="en-US"/>
        </w:rPr>
        <w:t>et al.</w:t>
      </w:r>
      <w:r w:rsidRPr="00731629">
        <w:rPr>
          <w:lang w:val="en-US"/>
        </w:rPr>
        <w:t xml:space="preserve"> 2022)</w:t>
      </w:r>
      <w:r>
        <w:fldChar w:fldCharType="end"/>
      </w:r>
      <w:r>
        <w:t>.</w:t>
      </w:r>
      <w:r>
        <w:t xml:space="preserve"> Scarse evidence for collapse may relate to the fact that most</w:t>
      </w:r>
      <w:r w:rsidR="00EA6778">
        <w:t xml:space="preserve"> studies </w:t>
      </w:r>
      <w:r>
        <w:t xml:space="preserve">analyse </w:t>
      </w:r>
      <w:r w:rsidR="00CF26AC">
        <w:t xml:space="preserve">a single HW event </w:t>
      </w:r>
      <w:r>
        <w:fldChar w:fldCharType="begin"/>
      </w:r>
      <w:r>
        <w:instrText xml:space="preserve"> ADDIN ZOTERO_ITEM CSL_CITATION {"citationID":"yaAnxn85","properties":{"formattedCitation":"(Polazzo {\\i{}et al.} 2022)","plainCitation":"(Polazzo et al. 2022)","noteIndex":0},"citationItems":[{"id":1683,"uris":["http://zotero.org/users/10426170/items/E5S869CU"],"itemData":{"id":1683,"type":"article-journal","abstract":"Freshwater ecosystems are strongly influenced by weather extremes such as heatwaves (HWs), which are predicted to increase in frequency and magnitude in the future. In addition to these climate extremes, the freshwater realm is impacted by the exposure to various classes of chemicals emitted by anthropogenic activities. Currently, there is limited knowledge on how the combined exposure to HWs and chemicals affects the structure and functioning of freshwater ecosystems. Here, we review the available literature describing the single and combined effects of HWs and chemicals on different levels of biological organization, to obtain a holistic view of their potential interactive effects. We only found a few studies (13 out of the 61 studies included in this review) that investigated the biological effects of HWs in combination with chemical pollution. The reported interactive effects of HWs and chemicals varied largely not only within the different trophic levels but also depending on the studied endpoints for populations or individuals. Hence, owing also to the little number of studies available, no consistent interactive effects could be highlighted at any level of biological organization. Moreover, we found an imbalance towards single species and population experiments, with only five studies using a multitrophic approach. This results in a knowledge gap for relevant community and ecosystem level endpoints, which prevents the exploration of important indirect effects that can compromise food web stability. Moreover, this knowledge gap impairs the validity of chemical risk assessments and our ability to protect ecosystems. Finally, we highlight the urgency of integrating extreme events into multiple stressors studies and provide specific recommendations to guide further experimental research in this regard.","container-title":"Global Change Biology","DOI":"10.1111/gcb.15971","ISSN":"1365-2486","issue":"4","language":"en","note":"_eprint: https://onlinelibrary.wiley.com/doi/pdf/10.1111/gcb.15971","page":"1248-1267","source":"Wiley Online Library","title":"Combined effects of heatwaves and micropollutants on freshwater ecosystems: Towards an integrated assessment of extreme events in multiple stressors research","title-short":"Combined effects of heatwaves and micropollutants on freshwater ecosystems","volume":"28","author":[{"family":"Polazzo","given":"Francesco"},{"family":"Roth","given":"Sabrina K."},{"family":"Hermann","given":"Markus"},{"family":"Mangold-Döring","given":"Annika"},{"family":"Rico","given":"Andreu"},{"family":"Sobek","given":"Anna"},{"family":"Van den Brink","given":"Paul J."},{"family":"Jackson","given":"Michelle C."}],"issued":{"date-parts":[["2022"]]}}}],"schema":"https://github.com/citation-style-language/schema/raw/master/csl-citation.json"} </w:instrText>
      </w:r>
      <w:r>
        <w:fldChar w:fldCharType="separate"/>
      </w:r>
      <w:r w:rsidRPr="00731629">
        <w:rPr>
          <w:lang w:val="en-GB"/>
        </w:rPr>
        <w:t xml:space="preserve">(Polazzo </w:t>
      </w:r>
      <w:r w:rsidRPr="00731629">
        <w:rPr>
          <w:i/>
          <w:iCs/>
          <w:lang w:val="en-GB"/>
        </w:rPr>
        <w:t>et al.</w:t>
      </w:r>
      <w:r w:rsidRPr="00731629">
        <w:rPr>
          <w:lang w:val="en-GB"/>
        </w:rPr>
        <w:t xml:space="preserve"> 2022)</w:t>
      </w:r>
      <w:r>
        <w:fldChar w:fldCharType="end"/>
      </w:r>
      <w:r>
        <w:t>.</w:t>
      </w:r>
      <w:r w:rsidR="00CF26AC">
        <w:t xml:space="preserve"> </w:t>
      </w:r>
      <w:r>
        <w:t>A single HW event, although detrimental, may not be sufficient to determine an abrubut shift in freshwater systems. Indeed, freshwater organism experience large</w:t>
      </w:r>
      <w:r w:rsidR="00CF26AC">
        <w:t xml:space="preserve"> daily and seasonal temperature fluctuations</w:t>
      </w:r>
      <w:r>
        <w:t>, and are thus adapted to large environmental fluctuations (REF).</w:t>
      </w:r>
      <w:r w:rsidR="00CF26AC">
        <w:t xml:space="preserve"> </w:t>
      </w:r>
      <w:r w:rsidR="002A2CFB">
        <w:t>Yet, since HWs are projected to become more frequent in the future,</w:t>
      </w:r>
      <w:r w:rsidR="009E298A" w:rsidRPr="009E298A">
        <w:t xml:space="preserve"> </w:t>
      </w:r>
      <w:r w:rsidR="009E298A">
        <w:t>co</w:t>
      </w:r>
      <w:r w:rsidR="009E298A" w:rsidRPr="009E298A">
        <w:t>ncern</w:t>
      </w:r>
      <w:r w:rsidR="009E298A">
        <w:t xml:space="preserve"> is rising</w:t>
      </w:r>
      <w:r w:rsidR="009E298A" w:rsidRPr="009E298A">
        <w:t xml:space="preserve"> about whether and how natural communities can face these perturbations and keep performing their functions.</w:t>
      </w:r>
    </w:p>
    <w:p w14:paraId="265D6617" w14:textId="2314A66A" w:rsidR="00EA6778" w:rsidRDefault="002A2CFB" w:rsidP="00D97037">
      <w:pPr>
        <w:pStyle w:val="NormalWeb"/>
        <w:spacing w:before="0" w:beforeAutospacing="0" w:after="0" w:afterAutospacing="0"/>
      </w:pPr>
      <w:r>
        <w:t xml:space="preserve">There is currently a lack of knowledge and understing about how multiple recurrent HWs can influence community and ecosystem stability. The few avaible studies considering recurrent HWs have focused on other aspects of </w:t>
      </w:r>
      <w:r w:rsidR="003F73C8">
        <w:t>HW’s</w:t>
      </w:r>
      <w:r>
        <w:t xml:space="preserve"> </w:t>
      </w:r>
      <w:r w:rsidR="003F73C8">
        <w:t>effects</w:t>
      </w:r>
      <w:r>
        <w:t xml:space="preserve"> </w:t>
      </w:r>
      <w:r w:rsidR="00731629">
        <w:t xml:space="preserve">of freshwater orgsnisms </w:t>
      </w:r>
      <w:r>
        <w:fldChar w:fldCharType="begin"/>
      </w:r>
      <w:r>
        <w:instrText xml:space="preserve"> ADDIN ZOTERO_ITEM CSL_CITATION {"citationID":"v7AXe2Mo","properties":{"formattedCitation":"(Hermann {\\i{}et al.} 2023, 2024)","plainCitation":"(Hermann et al. 2023, 2024)","noteIndex":0},"citationItems":[{"id":1865,"uris":["http://zotero.org/users/10426170/items/HDIQISPY"],"itemData":{"id":1865,"type":"article-journal","abstract":"Climate impacts of elevated temperatures and more severe and frequent weather extremes like heatwaves are globally becoming discernible on nature. While a mechanistic understanding is pivotal for ecosystem management, stressors like pesticides may interact with warming, leading to unpredictable effects on freshwater ecosystems. These multiple stressor studies are scarce and experimental designs often lack environmental realism. To investigate the multiple stressor effects, we conducted a microcosm experiment for 48 days comprising benthic macroinvertebrates, zooplankton, phytoplankton, macrophytes, and microbes. The fungicide carbendazim (100 μg/L) was investigated combined with temperature scenarios representing elevated temperatures (+4 °C) or heatwaves (+0 to +8 °C), both applied with similar energy input on a daily fluctuating ambient temperature (18 °C ± 1.5 °C), which served as control. Measurements showed the highest carbendazim dissipation in water under heatwaves followed by elevated and ambient temperatures. Average carbendazim concentrations were about 50% in water and 16% in sediment of the nominal concentration. In both heated cosms, zooplankton community dynamics revealed an unexpected shift from Rotifera to Cladocera and Copepoda nauplii, indicating variations in their thermal sensitivity, tolerance and resilience. Notably, warming and heatwaves shaped community responses similarly, suggesting heat intensity rather than distribution patterns determined the community structure. Heatwaves led to significant early and longer-lasting adverse effects that were exacerbated over time with Cladocera and Copepoda being most sensitive likely due to significant carbendazim interactions. Finally, a structural equation model demonstrated significant relationships between zooplankton and macrophytes and significantly negative carbendazim effects on zooplankton, whereas positive on macroinvertebrate abundances. The relationship between macroinvertebrate feeding and abundance was masked by significantly temperature-affected microbial leaf litter decomposition. Despite the thermal tolerance of zooplankton communities, our study highlights an increased pesticide threat under temperature extremes. More intense heatwaves are thus likely to cause significant alterations in community assemblages which will adversely affect ecosystem's processes and functions.","container-title":"Environmental Pollution","DOI":"10.1016/j.envpol.2023.121498","ISSN":"0269-7491","journalAbbreviation":"Environmental Pollution","language":"en","page":"121498","source":"ScienceDirect","title":"Heatwaves, elevated temperatures, and a pesticide cause interactive effects on multi-trophic levels of a freshwater ecosystem","volume":"327","author":[{"family":"Hermann","given":"Markus"},{"family":"Peeters","given":"Edwin T. H. M."},{"family":"Van den Brink","given":"Paul J."}],"issued":{"date-parts":[["2023",6,15]]}}},{"id":2654,"uris":["http://zotero.org/users/10426170/items/7LFIZCI2"],"itemData":{"id":2654,"type":"article-journal","abstract":"Ongoing global climate change will shift nature towards Anthropocene's unprecedented conditions by increasing average temperatures and the frequency and severity of extreme events, such as heatwaves. While such climatic changes pose an increased threat for freshwater ecosystems, other stressors like pesticides may interact with warming and lead to unpredictable effects. Studies that examine the underpinned mechanisms of multiple stressor effects are scarce and often lack environmental realism. Here, we conducted a multiple stressors experiment using outdoor freshwater mesocosms with natural assemblages of macroinvertebrates, zooplankton, phytoplankton, macrophytes, and microbes. The effects of the neonicotinoid insecticide imidacloprid (1 µg/L) were investigated in combination with three temperature scenarios representing ambient, elevated temperatures (+4 °C), and heatwaves (+0 to 8 °C), the latter two having similar energy input. We found similar imidacloprid dissipation patterns for all temperature treatments with lowest average dissipation half-lives under both warming scenarios (DT50: 3 days) and highest under ambient temperatures (DT50: 4 days) throughout the experiment. Amongst all communities, only the zooplankton community was significantly affected by the combined treatments. This community demonstrated low chemical sensitivity with lagged and significant negative imidacloprid effects only for cyclopoids. Heatwaves caused early and long-lasting significant effects on the zooplankton community as compared to elevated temperatures, with Polyarthra, Daphnia longispina, Lecanidae, and cyclopoids being the most negatively affected taxa, whereas Ceriodaphnia and nauplii showed positive responses to temperature. Community recovery from imidacloprid stress was slower under heatwaves, suggesting temperature-enhanced toxicity. Finally, microbial and macrofauna litter degradation were significantly enhanced by temperature, whereas the latter was also negatively affected by imidacloprid. A structural equation model depicted cascading food web effects of both stressors with stronger relationships and significant negative stressor effects at higher than at lower trophic levels. Our study highlights the threat of a series of heatwaves compared to elevated temperatures for imidacloprid-stressed freshwaters.","container-title":"Water Research","DOI":"10.1016/j.watres.2024.121903","ISSN":"0043-1354","journalAbbreviation":"Water Research","page":"121903","source":"ScienceDirect","title":"Combined stress of an insecticide and heatwaves or elevated temperature induce community and food web effects in a Mediterranean freshwater ecosystem","volume":"260","author":[{"family":"Hermann","given":"Markus"},{"family":"Polazzo","given":"Francesco"},{"family":"Cherta","given":"Laura"},{"family":"Crettaz-Minaglia","given":"Melina"},{"family":"García-Astillero","given":"Ariadna"},{"family":"Peeters","given":"Edwin T. H. M."},{"family":"Rico","given":"Andreu"},{"family":"Van den Brink","given":"Paul J."}],"issued":{"date-parts":[["2024",8,15]]}}}],"schema":"https://github.com/citation-style-language/schema/raw/master/csl-citation.json"} </w:instrText>
      </w:r>
      <w:r>
        <w:fldChar w:fldCharType="separate"/>
      </w:r>
      <w:r w:rsidRPr="002A2CFB">
        <w:rPr>
          <w:lang w:val="en-GB"/>
        </w:rPr>
        <w:t xml:space="preserve">(Hermann </w:t>
      </w:r>
      <w:r w:rsidRPr="002A2CFB">
        <w:rPr>
          <w:i/>
          <w:iCs/>
          <w:lang w:val="en-GB"/>
        </w:rPr>
        <w:t>et al.</w:t>
      </w:r>
      <w:r w:rsidRPr="002A2CFB">
        <w:rPr>
          <w:lang w:val="en-GB"/>
        </w:rPr>
        <w:t xml:space="preserve"> 2023, 2024)</w:t>
      </w:r>
      <w:r>
        <w:fldChar w:fldCharType="end"/>
      </w:r>
      <w:r>
        <w:t xml:space="preserve">. </w:t>
      </w:r>
    </w:p>
    <w:p w14:paraId="1FD58C0D" w14:textId="098286F9" w:rsidR="003F73C8" w:rsidRDefault="003F73C8" w:rsidP="00D97037">
      <w:pPr>
        <w:pStyle w:val="NormalWeb"/>
        <w:spacing w:before="0" w:beforeAutospacing="0" w:after="0" w:afterAutospacing="0"/>
      </w:pPr>
      <w:r>
        <w:t xml:space="preserve">There are </w:t>
      </w:r>
      <w:r w:rsidRPr="003F73C8">
        <w:t xml:space="preserve">two major </w:t>
      </w:r>
      <w:r w:rsidR="009E298A">
        <w:t xml:space="preserve">stability-related </w:t>
      </w:r>
      <w:r w:rsidRPr="003F73C8">
        <w:t>ecological framework that are commonly applied to systems facing repeated perturbations</w:t>
      </w:r>
      <w:r>
        <w:t xml:space="preserve">: </w:t>
      </w:r>
      <w:r>
        <w:t>critical slowing down</w:t>
      </w:r>
      <w:r>
        <w:t xml:space="preserve"> and community rescue. </w:t>
      </w:r>
    </w:p>
    <w:p w14:paraId="5C82ED12" w14:textId="465DC4DF" w:rsidR="00CB399C" w:rsidRDefault="003F73C8" w:rsidP="00E75FB6">
      <w:pPr>
        <w:pStyle w:val="NormalWeb"/>
      </w:pPr>
      <w:r>
        <w:t xml:space="preserve">Critical slowing down </w:t>
      </w:r>
      <w:r w:rsidR="0070095B">
        <w:t>is a mechanism relayed</w:t>
      </w:r>
      <w:r>
        <w:t xml:space="preserve"> to the abrupt shift in funcitoning or composition communities and ecosystems show when experiencing a gradually increasing pressure or when exposed to repeated perturbations </w:t>
      </w:r>
      <w:r>
        <w:fldChar w:fldCharType="begin"/>
      </w:r>
      <w:r>
        <w:instrText xml:space="preserve"> ADDIN ZOTERO_ITEM CSL_CITATION {"citationID":"mHkSvpzA","properties":{"formattedCitation":"(Veraart {\\i{}et al.} 2012)","plainCitation":"(Veraart et al. 2012)","noteIndex":0},"citationItems":[{"id":2615,"uris":["http://zotero.org/users/10426170/items/VUKN2TBT"],"itemData":{"id":2615,"type":"article-journal","abstract":"Decreased rates of recovery from perturbations, or critical slowing down, are demonstrated in a living system, indicating that recovery rates can be used to probe the resilience of complex systems.","container-title":"Nature","DOI":"10.1038/nature10723","ISSN":"1476-4687","issue":"7381","language":"en","license":"2011 Springer Nature Limited","note":"publisher: Nature Publishing Group","page":"357-359","source":"www.nature.com","title":"Recovery rates reflect distance to a tipping point in a living system","volume":"481","author":[{"family":"Veraart","given":"Annelies J."},{"family":"Faassen","given":"Elisabeth J."},{"family":"Dakos","given":"Vasilis"},{"family":"Nes","given":"Egbert H.","non-dropping-particle":"van"},{"family":"Lürling","given":"Miquel"},{"family":"Scheffer","given":"Marten"}],"issued":{"date-parts":[["2012",1]]}}}],"schema":"https://github.com/citation-style-language/schema/raw/master/csl-citation.json"} </w:instrText>
      </w:r>
      <w:r>
        <w:fldChar w:fldCharType="separate"/>
      </w:r>
      <w:r w:rsidRPr="003F73C8">
        <w:rPr>
          <w:lang w:val="en-GB"/>
        </w:rPr>
        <w:t>(</w:t>
      </w:r>
      <w:proofErr w:type="spellStart"/>
      <w:r w:rsidRPr="003F73C8">
        <w:rPr>
          <w:lang w:val="en-GB"/>
        </w:rPr>
        <w:t>Veraart</w:t>
      </w:r>
      <w:proofErr w:type="spellEnd"/>
      <w:r w:rsidRPr="003F73C8">
        <w:rPr>
          <w:lang w:val="en-GB"/>
        </w:rPr>
        <w:t xml:space="preserve"> </w:t>
      </w:r>
      <w:r w:rsidRPr="003F73C8">
        <w:rPr>
          <w:i/>
          <w:iCs/>
          <w:lang w:val="en-GB"/>
        </w:rPr>
        <w:t>et al.</w:t>
      </w:r>
      <w:r w:rsidRPr="003F73C8">
        <w:rPr>
          <w:lang w:val="en-GB"/>
        </w:rPr>
        <w:t xml:space="preserve"> 2012)</w:t>
      </w:r>
      <w:r>
        <w:fldChar w:fldCharType="end"/>
      </w:r>
      <w:r>
        <w:t xml:space="preserve">. The exact </w:t>
      </w:r>
      <w:r w:rsidR="00E75FB6">
        <w:t xml:space="preserve">shifting point is notoriously difficult to predict (REF). </w:t>
      </w:r>
      <w:r w:rsidR="00E75FB6">
        <w:t xml:space="preserve">Therefore, the focus has shifted to deducing processes from patterns. This involves identifying observable signals in measurable aspects of a biological system that indicate changes in the underlying processes, which may </w:t>
      </w:r>
      <w:r w:rsidR="00E75FB6">
        <w:t>results in alterations of</w:t>
      </w:r>
      <w:r w:rsidR="00E75FB6">
        <w:t xml:space="preserve"> the system</w:t>
      </w:r>
      <w:r w:rsidR="00E75FB6">
        <w:t>’</w:t>
      </w:r>
      <w:r w:rsidR="00E75FB6">
        <w:t>s structure and function.</w:t>
      </w:r>
      <w:r>
        <w:t xml:space="preserve"> </w:t>
      </w:r>
      <w:r w:rsidR="00E75FB6">
        <w:t xml:space="preserve">In the last two decades, the phenomenon known as clitical slowing down has been indicated as a possible </w:t>
      </w:r>
      <w:r>
        <w:t xml:space="preserve">early warning signals (EWSs) </w:t>
      </w:r>
      <w:r w:rsidR="00E75FB6">
        <w:t xml:space="preserve">of an approching abrubt shift, </w:t>
      </w:r>
      <w:r>
        <w:t>derived from dynamic systems theory (</w:t>
      </w:r>
      <w:r w:rsidR="00E75FB6">
        <w:t>REF</w:t>
      </w:r>
      <w:r>
        <w:t>)</w:t>
      </w:r>
      <w:r w:rsidR="00E75FB6">
        <w:t xml:space="preserve">. </w:t>
      </w:r>
      <w:r w:rsidR="00E75FB6">
        <w:t xml:space="preserve">The theory suggests that early warning signals could be based on the idea that recovery rates from disturbances </w:t>
      </w:r>
      <w:r w:rsidR="00E75FB6">
        <w:t>tend to</w:t>
      </w:r>
      <w:r w:rsidR="00E75FB6">
        <w:t xml:space="preserve"> zero as a system </w:t>
      </w:r>
      <w:r w:rsidR="00E75FB6">
        <w:t>approaches</w:t>
      </w:r>
      <w:r w:rsidR="00E75FB6">
        <w:t xml:space="preserve"> a</w:t>
      </w:r>
      <w:r w:rsidR="00E75FB6">
        <w:t xml:space="preserve"> transition point</w:t>
      </w:r>
      <w:r w:rsidR="00E75FB6">
        <w:t xml:space="preserve">. However, there is limited evidence to support this occurring in </w:t>
      </w:r>
      <w:r w:rsidR="00E75FB6">
        <w:t>complex</w:t>
      </w:r>
      <w:r w:rsidR="00E75FB6">
        <w:t xml:space="preserve"> systems.</w:t>
      </w:r>
      <w:r w:rsidR="00CB399C">
        <w:t xml:space="preserve"> </w:t>
      </w:r>
    </w:p>
    <w:p w14:paraId="6526043A" w14:textId="377C3507" w:rsidR="009E298A" w:rsidRDefault="009E298A" w:rsidP="00D97037">
      <w:pPr>
        <w:pStyle w:val="NormalWeb"/>
        <w:spacing w:before="0" w:beforeAutospacing="0" w:after="0" w:afterAutospacing="0"/>
      </w:pPr>
      <w:r>
        <w:lastRenderedPageBreak/>
        <w:t>O</w:t>
      </w:r>
      <w:r w:rsidRPr="009E298A">
        <w:t>ppositely</w:t>
      </w:r>
      <w:r>
        <w:t>,</w:t>
      </w:r>
      <w:r w:rsidRPr="009E298A">
        <w:t xml:space="preserve"> </w:t>
      </w:r>
      <w:r>
        <w:t>c</w:t>
      </w:r>
      <w:r>
        <w:t xml:space="preserve">ommunity rescue happens when ecological or evolutionary processes restore </w:t>
      </w:r>
      <w:r>
        <w:t>recovery</w:t>
      </w:r>
      <w:r>
        <w:t xml:space="preserve"> </w:t>
      </w:r>
      <w:r>
        <w:t>under stressful conditions</w:t>
      </w:r>
      <w:r>
        <w:t xml:space="preserve"> that would have been </w:t>
      </w:r>
      <w:r>
        <w:t>detrimental</w:t>
      </w:r>
      <w:r>
        <w:t xml:space="preserve"> to the community in its original form, thereby preventing </w:t>
      </w:r>
      <w:r w:rsidR="0070095B">
        <w:t>community</w:t>
      </w:r>
      <w:r>
        <w:t xml:space="preserve"> or ecosystem functioning from collapsing</w:t>
      </w:r>
      <w:r>
        <w:t xml:space="preserve"> in a worsening environment. Although empirical examples of community rescue are scarce, it is considered a key mechanism that enhances stress resistance in communities and helps maintain aggregate community properties, such as biomass, under stressful conditions.</w:t>
      </w:r>
    </w:p>
    <w:p w14:paraId="2E1A152F" w14:textId="77777777" w:rsidR="009E298A" w:rsidRDefault="009E298A" w:rsidP="00D97037">
      <w:pPr>
        <w:pStyle w:val="NormalWeb"/>
        <w:spacing w:before="0" w:beforeAutospacing="0" w:after="0" w:afterAutospacing="0"/>
      </w:pPr>
    </w:p>
    <w:p w14:paraId="62E8CA05" w14:textId="3AE1032B" w:rsidR="002328D7" w:rsidRDefault="0070095B" w:rsidP="00B657D3">
      <w:pPr>
        <w:pStyle w:val="NormalWeb"/>
        <w:spacing w:before="0" w:beforeAutospacing="0" w:after="0" w:afterAutospacing="0"/>
      </w:pPr>
      <w:r w:rsidRPr="0070095B">
        <w:t xml:space="preserve">It is possible that both critical slowing down and community rescue could occur in communities that have been exposed to recurrent HWs. </w:t>
      </w:r>
      <w:r>
        <w:t>A</w:t>
      </w:r>
      <w:r w:rsidRPr="0070095B">
        <w:t xml:space="preserve"> community may sustain and</w:t>
      </w:r>
      <w:r>
        <w:t xml:space="preserve"> </w:t>
      </w:r>
      <w:r w:rsidRPr="0070095B">
        <w:t>/</w:t>
      </w:r>
      <w:r>
        <w:t xml:space="preserve"> </w:t>
      </w:r>
      <w:r w:rsidRPr="0070095B">
        <w:t>or recover following a first HW. However, the recovery following a subsequent HW may be impaired, and additional HWs may impede further recovery as a result of accumulating stress, driving the community to collapse. It is also possible to envisage a community rescue. A first HW may result in a decline in community functioning, which could be recovered through a compositional change that promotes stress-tolerant species</w:t>
      </w:r>
      <w:r>
        <w:t xml:space="preserve"> </w:t>
      </w:r>
      <w:r>
        <w:fldChar w:fldCharType="begin"/>
      </w:r>
      <w:r>
        <w:instrText xml:space="preserve"> ADDIN ZOTERO_ITEM CSL_CITATION {"citationID":"Onrx24tE","properties":{"formattedCitation":"(Fug\\uc0\\u232{}re {\\i{}et al.} 2020)","plainCitation":"(Fugère et al. 2020)","noteIndex":0},"citationItems":[{"id":805,"uris":["http://zotero.org/users/10426170/items/ESRFTQKK"],"itemData":{"id":805,"type":"article-journal","abstract":"Community rescue occurs when ecological or evolutionary processes restore positive growth in a highly stressful environment that was lethal to the community in its ancestral form, thus averting biomass collapse in a deteriorating environment. Laboratory evidence suggests that community rescue is most likely in high-biomass communities that have previously experienced moderate doses of sublethal stress. We assessed this result under more natural conditions, in a mesocosm experiment with phytoplankton communities exposed to the ubiquitous herbicide glyphosate. We tested whether community biomass and prior herbicide exposure would facilitate community rescue after severe contamination. We found that prior exposure to glyphosate was a very strong predictor of the rescue outcome, while high community biomass was not. Furthermore, although glyphosate had negative effects on diversity, it did not influence community composition significantly, suggesting a modest role for genus sorting in this rescue process. Our results expand the scope of community rescue theory to complex ecosystems and confirm that prior stress exposure is a key predictor of rescue.","container-title":"Nature Ecology and Evolution","DOI":"10.1038/s41559-020-1134-5","ISSN":"2397334X","issue":"4","note":"PMID: 32123321","page":"578-588","title":"Community rescue in experimental phytoplankton communities facing severe herbicide pollution","volume":"4","author":[{"family":"Fugère","given":"Vincent"},{"family":"Hébert","given":"Marie Pier"},{"family":"Costa","given":"Naíla Barbosa","non-dropping-particle":"da"},{"family":"Xu","given":"Charles C.Y."},{"family":"Barrett","given":"Rowan D.H."},{"family":"Beisner","given":"Beatrix E."},{"family":"Bell","given":"Graham"},{"family":"Fussmann","given":"Gregor F."},{"family":"Shapiro","given":"B. Jesse"},{"family":"Yargeau","given":"Viviane"},{"family":"Gonzalez","given":"Andrew"}],"issued":{"date-parts":[["2020"]]}}}],"schema":"https://github.com/citation-style-language/schema/raw/master/csl-citation.json"} </w:instrText>
      </w:r>
      <w:r>
        <w:fldChar w:fldCharType="separate"/>
      </w:r>
      <w:r w:rsidRPr="0070095B">
        <w:rPr>
          <w:lang w:val="en-GB"/>
        </w:rPr>
        <w:t>(</w:t>
      </w:r>
      <w:proofErr w:type="spellStart"/>
      <w:r w:rsidRPr="0070095B">
        <w:rPr>
          <w:lang w:val="en-GB"/>
        </w:rPr>
        <w:t>Fugère</w:t>
      </w:r>
      <w:proofErr w:type="spellEnd"/>
      <w:r w:rsidRPr="0070095B">
        <w:rPr>
          <w:lang w:val="en-GB"/>
        </w:rPr>
        <w:t xml:space="preserve"> </w:t>
      </w:r>
      <w:r w:rsidRPr="0070095B">
        <w:rPr>
          <w:i/>
          <w:iCs/>
          <w:lang w:val="en-GB"/>
        </w:rPr>
        <w:t>et al.</w:t>
      </w:r>
      <w:r w:rsidRPr="0070095B">
        <w:rPr>
          <w:lang w:val="en-GB"/>
        </w:rPr>
        <w:t xml:space="preserve"> 2020)</w:t>
      </w:r>
      <w:r>
        <w:fldChar w:fldCharType="end"/>
      </w:r>
      <w:r w:rsidRPr="0070095B">
        <w:t xml:space="preserve">. This new community composition might then be more resistant to a following HW, and thus determine higher community stability. The same process may occur as a result of adaptation or evolutionary processes, where more resistant genotypes are selected and result in a more resistant and stable community to subsequent HWs. </w:t>
      </w:r>
      <w:r w:rsidR="00E67287">
        <w:t xml:space="preserve">Thus, both framework are plausible and have been documented in communities undergoing repeated perturbations </w:t>
      </w:r>
      <w:r w:rsidR="00E67287">
        <w:fldChar w:fldCharType="begin"/>
      </w:r>
      <w:r w:rsidR="00E67287">
        <w:instrText xml:space="preserve"> ADDIN ZOTERO_ITEM CSL_CITATION {"citationID":"DTFwRcqw","properties":{"formattedCitation":"(Fug\\uc0\\u232{}re {\\i{}et al.} 2020; Veraart {\\i{}et al.} 2012)","plainCitation":"(Fugère et al. 2020; Veraart et al. 2012)","noteIndex":0},"citationItems":[{"id":805,"uris":["http://zotero.org/users/10426170/items/ESRFTQKK"],"itemData":{"id":805,"type":"article-journal","abstract":"Community rescue occurs when ecological or evolutionary processes restore positive growth in a highly stressful environment that was lethal to the community in its ancestral form, thus averting biomass collapse in a deteriorating environment. Laboratory evidence suggests that community rescue is most likely in high-biomass communities that have previously experienced moderate doses of sublethal stress. We assessed this result under more natural conditions, in a mesocosm experiment with phytoplankton communities exposed to the ubiquitous herbicide glyphosate. We tested whether community biomass and prior herbicide exposure would facilitate community rescue after severe contamination. We found that prior exposure to glyphosate was a very strong predictor of the rescue outcome, while high community biomass was not. Furthermore, although glyphosate had negative effects on diversity, it did not influence community composition significantly, suggesting a modest role for genus sorting in this rescue process. Our results expand the scope of community rescue theory to complex ecosystems and confirm that prior stress exposure is a key predictor of rescue.","container-title":"Nature Ecology and Evolution","DOI":"10.1038/s41559-020-1134-5","ISSN":"2397334X","issue":"4","note":"PMID: 32123321","page":"578-588","title":"Community rescue in experimental phytoplankton communities facing severe herbicide pollution","volume":"4","author":[{"family":"Fugère","given":"Vincent"},{"family":"Hébert","given":"Marie Pier"},{"family":"Costa","given":"Naíla Barbosa","non-dropping-particle":"da"},{"family":"Xu","given":"Charles C.Y."},{"family":"Barrett","given":"Rowan D.H."},{"family":"Beisner","given":"Beatrix E."},{"family":"Bell","given":"Graham"},{"family":"Fussmann","given":"Gregor F."},{"family":"Shapiro","given":"B. Jesse"},{"family":"Yargeau","given":"Viviane"},{"family":"Gonzalez","given":"Andrew"}],"issued":{"date-parts":[["2020"]]}}},{"id":2615,"uris":["http://zotero.org/users/10426170/items/VUKN2TBT"],"itemData":{"id":2615,"type":"article-journal","abstract":"Decreased rates of recovery from perturbations, or critical slowing down, are demonstrated in a living system, indicating that recovery rates can be used to probe the resilience of complex systems.","container-title":"Nature","DOI":"10.1038/nature10723","ISSN":"1476-4687","issue":"7381","language":"en","license":"2011 Springer Nature Limited","note":"publisher: Nature Publishing Group","page":"357-359","source":"www.nature.com","title":"Recovery rates reflect distance to a tipping point in a living system","volume":"481","author":[{"family":"Veraart","given":"Annelies J."},{"family":"Faassen","given":"Elisabeth J."},{"family":"Dakos","given":"Vasilis"},{"family":"Nes","given":"Egbert H.","non-dropping-particle":"van"},{"family":"Lürling","given":"Miquel"},{"family":"Scheffer","given":"Marten"}],"issued":{"date-parts":[["2012",1]]}}}],"schema":"https://github.com/citation-style-language/schema/raw/master/csl-citation.json"} </w:instrText>
      </w:r>
      <w:r w:rsidR="00E67287">
        <w:fldChar w:fldCharType="separate"/>
      </w:r>
      <w:r w:rsidR="00E67287" w:rsidRPr="00E67287">
        <w:rPr>
          <w:lang w:val="en-GB"/>
        </w:rPr>
        <w:t>(</w:t>
      </w:r>
      <w:proofErr w:type="spellStart"/>
      <w:r w:rsidR="00E67287" w:rsidRPr="00E67287">
        <w:rPr>
          <w:lang w:val="en-GB"/>
        </w:rPr>
        <w:t>Fugère</w:t>
      </w:r>
      <w:proofErr w:type="spellEnd"/>
      <w:r w:rsidR="00E67287" w:rsidRPr="00E67287">
        <w:rPr>
          <w:lang w:val="en-GB"/>
        </w:rPr>
        <w:t xml:space="preserve"> </w:t>
      </w:r>
      <w:r w:rsidR="00E67287" w:rsidRPr="00E67287">
        <w:rPr>
          <w:i/>
          <w:iCs/>
          <w:lang w:val="en-GB"/>
        </w:rPr>
        <w:t>et al.</w:t>
      </w:r>
      <w:r w:rsidR="00E67287" w:rsidRPr="00E67287">
        <w:rPr>
          <w:lang w:val="en-GB"/>
        </w:rPr>
        <w:t xml:space="preserve"> 2020; </w:t>
      </w:r>
      <w:proofErr w:type="spellStart"/>
      <w:r w:rsidR="00E67287" w:rsidRPr="00E67287">
        <w:rPr>
          <w:lang w:val="en-GB"/>
        </w:rPr>
        <w:t>Veraart</w:t>
      </w:r>
      <w:proofErr w:type="spellEnd"/>
      <w:r w:rsidR="00E67287" w:rsidRPr="00E67287">
        <w:rPr>
          <w:lang w:val="en-GB"/>
        </w:rPr>
        <w:t xml:space="preserve"> </w:t>
      </w:r>
      <w:r w:rsidR="00E67287" w:rsidRPr="00E67287">
        <w:rPr>
          <w:i/>
          <w:iCs/>
          <w:lang w:val="en-GB"/>
        </w:rPr>
        <w:t>et al.</w:t>
      </w:r>
      <w:r w:rsidR="00E67287" w:rsidRPr="00E67287">
        <w:rPr>
          <w:lang w:val="en-GB"/>
        </w:rPr>
        <w:t xml:space="preserve"> 2012)</w:t>
      </w:r>
      <w:r w:rsidR="00E67287">
        <w:fldChar w:fldCharType="end"/>
      </w:r>
      <w:r w:rsidR="00B657D3">
        <w:t>. Critically though, the result in terms of community stability would be opposite</w:t>
      </w:r>
      <w:r w:rsidR="008577B8">
        <w:t xml:space="preserve">, where community rescue is stabilising and critical slowing down is destabilising. </w:t>
      </w:r>
    </w:p>
    <w:p w14:paraId="263AD757" w14:textId="77777777" w:rsidR="00DC19C3" w:rsidRDefault="00DC19C3" w:rsidP="00B657D3">
      <w:pPr>
        <w:pStyle w:val="NormalWeb"/>
        <w:spacing w:before="0" w:beforeAutospacing="0" w:after="0" w:afterAutospacing="0"/>
      </w:pPr>
    </w:p>
    <w:p w14:paraId="1E18DE7C" w14:textId="0E6738B0" w:rsidR="008577B8" w:rsidRDefault="00DC19C3" w:rsidP="00B657D3">
      <w:pPr>
        <w:pStyle w:val="NormalWeb"/>
        <w:spacing w:before="0" w:beforeAutospacing="0" w:after="0" w:afterAutospacing="0"/>
      </w:pPr>
      <w:r w:rsidRPr="00DC19C3">
        <w:t xml:space="preserve">It is crucial to emphasise that a recent meta-analysis has demonstrated that critical transitions are not commonly observed in empirical data (Hillebrand et al., 2020). Nevertheless, it is not necessary for a community to collapse in order to </w:t>
      </w:r>
      <w:r>
        <w:t>show</w:t>
      </w:r>
      <w:r w:rsidRPr="00DC19C3">
        <w:t xml:space="preserve"> a slowing down in recovery. It can be anticipated that repeated HWs may result in a reduction in a community’s recovery capacity, even </w:t>
      </w:r>
      <w:r>
        <w:t>though</w:t>
      </w:r>
      <w:r w:rsidRPr="00DC19C3">
        <w:t xml:space="preserve"> community collapse</w:t>
      </w:r>
      <w:r>
        <w:t xml:space="preserve"> is not reached. </w:t>
      </w:r>
    </w:p>
    <w:p w14:paraId="4DF0080D" w14:textId="25766179" w:rsidR="008577B8" w:rsidRDefault="008577B8" w:rsidP="008577B8">
      <w:pPr>
        <w:pStyle w:val="NormalWeb"/>
      </w:pPr>
      <w:r>
        <w:t xml:space="preserve">With this </w:t>
      </w:r>
      <w:r w:rsidR="0070095B">
        <w:t>article</w:t>
      </w:r>
      <w:r>
        <w:t xml:space="preserve"> we wanted to test </w:t>
      </w:r>
      <w:r>
        <w:t xml:space="preserve">which of these </w:t>
      </w:r>
      <w:r>
        <w:t>two major ecological framework</w:t>
      </w:r>
      <w:r>
        <w:t>s</w:t>
      </w:r>
      <w:r>
        <w:t xml:space="preserve"> </w:t>
      </w:r>
      <w:r>
        <w:t>is more likely to appear in a phytoplankton community exposed to recurring HWs.</w:t>
      </w:r>
    </w:p>
    <w:p w14:paraId="4498E5BC" w14:textId="60AA88F0" w:rsidR="008577B8" w:rsidRDefault="008577B8" w:rsidP="008577B8">
      <w:pPr>
        <w:pStyle w:val="NormalWeb"/>
      </w:pPr>
      <w:r>
        <w:t>For this we used data coming from an outdoor pond mesocosm experiment (2021 Spain) where a semi-natural phytoplankton community was exposed to three subsequent heatwaves</w:t>
      </w:r>
      <w:r w:rsidR="00DC19C3">
        <w:t xml:space="preserve"> of increasing intensity</w:t>
      </w:r>
      <w:r w:rsidR="004D1EF4">
        <w:t xml:space="preserve">, and </w:t>
      </w:r>
      <w:r w:rsidR="00DC19C3">
        <w:t>t</w:t>
      </w:r>
      <w:r w:rsidR="004D1EF4">
        <w:t>he change in the short term recovery after each HW</w:t>
      </w:r>
      <w:r w:rsidR="00DC19C3">
        <w:t xml:space="preserve"> was assessed</w:t>
      </w:r>
      <w:r w:rsidR="004D1EF4">
        <w:t>.</w:t>
      </w:r>
    </w:p>
    <w:p w14:paraId="5A789C36" w14:textId="389E599A" w:rsidR="0049064C" w:rsidRPr="00CB399C" w:rsidRDefault="0049064C" w:rsidP="0049064C">
      <w:pPr>
        <w:pStyle w:val="Heading1"/>
        <w:rPr>
          <w:lang w:val="en-US"/>
        </w:rPr>
      </w:pPr>
      <w:r>
        <w:t>Materials and Methods</w:t>
      </w:r>
    </w:p>
    <w:p w14:paraId="17E0130D" w14:textId="782C58F3" w:rsidR="00B657D3" w:rsidRDefault="00E37FB0" w:rsidP="00145269">
      <w:pPr>
        <w:pStyle w:val="Heading2"/>
      </w:pPr>
      <w:r>
        <w:t>Mesocosm experiment</w:t>
      </w:r>
    </w:p>
    <w:p w14:paraId="5860B449" w14:textId="638B353E" w:rsidR="00E37FB0" w:rsidRDefault="00E37FB0" w:rsidP="00B657D3">
      <w:pPr>
        <w:pStyle w:val="NormalWeb"/>
        <w:spacing w:before="0" w:beforeAutospacing="0" w:after="0" w:afterAutospacing="0"/>
      </w:pPr>
      <w:r w:rsidRPr="00E37FB0">
        <w:t>We performed an outdoor mesocosm experiment at thefacilities of the IMDEA Water Institute (Alcalá</w:t>
      </w:r>
      <w:r>
        <w:t xml:space="preserve"> </w:t>
      </w:r>
      <w:r w:rsidRPr="00E37FB0">
        <w:t>de</w:t>
      </w:r>
      <w:r>
        <w:t xml:space="preserve"> </w:t>
      </w:r>
      <w:r w:rsidRPr="00E37FB0">
        <w:t xml:space="preserve">Henares, Madrid, Spain) between April and </w:t>
      </w:r>
      <w:r>
        <w:t xml:space="preserve">July </w:t>
      </w:r>
      <w:r w:rsidRPr="00E37FB0">
        <w:t xml:space="preserve">2021. The </w:t>
      </w:r>
      <w:r>
        <w:t>8</w:t>
      </w:r>
      <w:r w:rsidRPr="00E37FB0">
        <w:t xml:space="preserve"> mesocosms used in this study were filled</w:t>
      </w:r>
      <w:r>
        <w:t xml:space="preserve"> </w:t>
      </w:r>
      <w:r w:rsidRPr="00E37FB0">
        <w:t>with 40 cm of sediments and 850 L of</w:t>
      </w:r>
      <w:r>
        <w:t xml:space="preserve"> </w:t>
      </w:r>
      <w:r w:rsidRPr="00E37FB0">
        <w:t>water from an artificial lagoon. The biological community of the mesocosms was composed of phytoplankton, zooplankton, and</w:t>
      </w:r>
      <w:r w:rsidR="0042566A">
        <w:t xml:space="preserve"> </w:t>
      </w:r>
      <w:r w:rsidRPr="00E37FB0">
        <w:t>macroinvertebrates, and was allowed to establish and</w:t>
      </w:r>
      <w:r>
        <w:t xml:space="preserve"> </w:t>
      </w:r>
      <w:r w:rsidRPr="00E37FB0">
        <w:t>homogenize among experimental units for 2 months</w:t>
      </w:r>
      <w:r>
        <w:t xml:space="preserve"> </w:t>
      </w:r>
      <w:r w:rsidRPr="00E37FB0">
        <w:t>prior to the start of the experiment.</w:t>
      </w:r>
      <w:r>
        <w:t xml:space="preserve"> Four</w:t>
      </w:r>
      <w:r w:rsidRPr="00E37FB0">
        <w:t xml:space="preserve"> of the test mesocosms were used to simulate</w:t>
      </w:r>
      <w:r>
        <w:t xml:space="preserve"> the</w:t>
      </w:r>
      <w:r w:rsidRPr="00E37FB0">
        <w:t xml:space="preserve"> HW scenario (n = 4): three repeated HWs (Figure 1); while four</w:t>
      </w:r>
      <w:r>
        <w:t xml:space="preserve"> </w:t>
      </w:r>
      <w:r w:rsidRPr="00E37FB0">
        <w:t>mesocosms were kept at ambient temperature for the</w:t>
      </w:r>
      <w:r>
        <w:t xml:space="preserve"> </w:t>
      </w:r>
      <w:r w:rsidRPr="00E37FB0">
        <w:t xml:space="preserve">whole experimental duration and were used as controls. </w:t>
      </w:r>
      <w:r>
        <w:t>The</w:t>
      </w:r>
      <w:r w:rsidRPr="00E37FB0">
        <w:t xml:space="preserve"> HWs treatment</w:t>
      </w:r>
      <w:r>
        <w:t xml:space="preserve"> </w:t>
      </w:r>
      <w:r w:rsidRPr="00E37FB0">
        <w:t xml:space="preserve">consisted of three HWs lasting 7 days each and separatedone another by 7 days of ambient temperature. In the HWs treatment, the </w:t>
      </w:r>
      <w:r w:rsidRPr="00E37FB0">
        <w:lastRenderedPageBreak/>
        <w:t>temperature was +8</w:t>
      </w:r>
      <w:r w:rsidR="00464538" w:rsidRPr="00114A60">
        <w:t>°C</w:t>
      </w:r>
      <w:r w:rsidR="00464538" w:rsidRPr="00E37FB0">
        <w:t xml:space="preserve"> </w:t>
      </w:r>
      <w:r w:rsidR="00464538">
        <w:t xml:space="preserve"> </w:t>
      </w:r>
      <w:r w:rsidRPr="00E37FB0">
        <w:t>above the control temperatur</w:t>
      </w:r>
      <w:r w:rsidR="00464538">
        <w:t xml:space="preserve">e, which meant that the HW absolute temperature progressively increased from the first to the third HW, as the water temperature in the control mesocosm warmed as summer arrived. </w:t>
      </w:r>
    </w:p>
    <w:p w14:paraId="486C8337" w14:textId="29C8ECE0" w:rsidR="00E37FB0" w:rsidRDefault="00E37FB0" w:rsidP="00B657D3">
      <w:pPr>
        <w:pStyle w:val="NormalWeb"/>
        <w:spacing w:before="0" w:beforeAutospacing="0" w:after="0" w:afterAutospacing="0"/>
      </w:pPr>
      <w:r w:rsidRPr="00E37FB0">
        <w:t>All temperature manipulations and recordings were carried out using a transportable temperature and heatwave</w:t>
      </w:r>
      <w:r w:rsidR="000A1588">
        <w:t xml:space="preserve"> </w:t>
      </w:r>
      <w:r w:rsidRPr="00E37FB0">
        <w:t xml:space="preserve">control device (TENTACLE) applicable for aquatic micro-and mesocosm experiments </w:t>
      </w:r>
      <w:r>
        <w:fldChar w:fldCharType="begin"/>
      </w:r>
      <w:r>
        <w:instrText xml:space="preserve"> ADDIN ZOTERO_ITEM CSL_CITATION {"citationID":"OSVI1cw5","properties":{"formattedCitation":"(Hermann {\\i{}et al.} 2022)","plainCitation":"(Hermann et al. 2022)","noteIndex":0},"citationItems":[{"id":1637,"uris":["http://zotero.org/users/10426170/items/XKXKYY5Y"],"itemData":{"id":1637,"type":"article-journal","abstract":"Future global climate change with higher mean temperatures and increased intensity and frequency of heatwaves as extreme weather events will affect aquatic ecosystems with, yet, unpredictable severity and consequences. Although models suggest increased risk of species extinction up to the year 2050 for series of different climate change scenarios, environmental complexity may result in unconsidered effects of future temperature alterations on ecosystems. Apart from these environmental changes, additional anthropogenic stressors, e.g. chemical release, may cause unprecedented interaction effects on ecosystems. Ongoing efforts to better understand such temperature-chemical interaction effects comprise almost exclusively experimental designs using constant temperature regimes instead of environmentally realistic daily temperature variations. In this paper we describe an Arduino-based temperature and heatwave control device (TENTACLE) that is transportable, inexpensive, multifunctional, and easily reproducible. TENTACLE offers water temperature monitoring and manipulation of up to 3 different climate change-related scenarios: i) natural (ambient) sinusoidal fluctuations (laboratory applications), ii) elevated fluctuations, and iii) heatwaves as extreme events. The use of replaceable heating elements and low-cost materials suitable for field studies creates a high flexibility for researchers who may conduct in- or out-door, small- or large-scale, fresh- or salt-water experiments at different geographical locations.","container-title":"HardwareX","DOI":"10.1016/j.ohx.2022.e00307","ISSN":"2468-0672","journalAbbreviation":"HardwareX","language":"en","page":"e00307","source":"ScienceDirect","title":"A transportable temperature and heatwave control device (TENTACLE) for laboratory and field simulations of different climate change scenarios in aquatic micro- and mesocosms","volume":"11","author":[{"family":"Hermann","given":"Markus"},{"family":"Jansen","given":"Richard"},{"family":"Glind","given":"Johan","non-dropping-particle":"van de"},{"family":"Peeters","given":"Edwin T. H. M."},{"family":"Van den Brink","given":"Paul J."}],"issued":{"date-parts":[["2022",4,1]]}}}],"schema":"https://github.com/citation-style-language/schema/raw/master/csl-citation.json"} </w:instrText>
      </w:r>
      <w:r>
        <w:fldChar w:fldCharType="separate"/>
      </w:r>
      <w:r w:rsidRPr="00E37FB0">
        <w:rPr>
          <w:lang w:val="en-GB"/>
        </w:rPr>
        <w:t xml:space="preserve">(Hermann </w:t>
      </w:r>
      <w:r w:rsidRPr="00E37FB0">
        <w:rPr>
          <w:i/>
          <w:iCs/>
          <w:lang w:val="en-GB"/>
        </w:rPr>
        <w:t>et al.</w:t>
      </w:r>
      <w:r w:rsidRPr="00E37FB0">
        <w:rPr>
          <w:lang w:val="en-GB"/>
        </w:rPr>
        <w:t xml:space="preserve"> 2022)</w:t>
      </w:r>
      <w:r>
        <w:fldChar w:fldCharType="end"/>
      </w:r>
      <w:r>
        <w:t xml:space="preserve">. </w:t>
      </w:r>
      <w:r w:rsidR="00722898">
        <w:t>Additionally, we place a H</w:t>
      </w:r>
      <w:r w:rsidR="00722898">
        <w:t>obo logger (Onset Computer Corporation, Bourne, MA, USA)</w:t>
      </w:r>
      <w:r w:rsidR="00722898">
        <w:t xml:space="preserve"> in one control mesocosm and one mesocosm undergoing the HWs treatment to have an independent water temperature measurement. </w:t>
      </w:r>
    </w:p>
    <w:p w14:paraId="163862B8" w14:textId="77777777" w:rsidR="00722898" w:rsidRDefault="00722898" w:rsidP="00B657D3">
      <w:pPr>
        <w:pStyle w:val="NormalWeb"/>
        <w:spacing w:before="0" w:beforeAutospacing="0" w:after="0" w:afterAutospacing="0"/>
      </w:pPr>
    </w:p>
    <w:p w14:paraId="6076DE46" w14:textId="2CF5EF34" w:rsidR="001155C3" w:rsidRDefault="001155C3" w:rsidP="001155C3">
      <w:pPr>
        <w:pStyle w:val="Heading2"/>
      </w:pPr>
      <w:r>
        <w:t>Phytoplankton sampling</w:t>
      </w:r>
      <w:r w:rsidR="0062155A">
        <w:t xml:space="preserve"> and biomass quantification</w:t>
      </w:r>
    </w:p>
    <w:p w14:paraId="69669DE9" w14:textId="3F07F331" w:rsidR="001155C3" w:rsidRDefault="001155C3" w:rsidP="00B657D3">
      <w:pPr>
        <w:pStyle w:val="NormalWeb"/>
        <w:spacing w:before="0" w:beforeAutospacing="0" w:after="0" w:afterAutospacing="0"/>
      </w:pPr>
      <w:r w:rsidRPr="001155C3">
        <w:t xml:space="preserve">The </w:t>
      </w:r>
      <w:r>
        <w:t>phytoplankton</w:t>
      </w:r>
      <w:r w:rsidRPr="001155C3">
        <w:t xml:space="preserve"> community was sampled on days </w:t>
      </w:r>
      <w:r>
        <w:t>-</w:t>
      </w:r>
      <w:r w:rsidRPr="001155C3">
        <w:t>4,</w:t>
      </w:r>
      <w:r>
        <w:t xml:space="preserve"> </w:t>
      </w:r>
      <w:r w:rsidR="006B305E">
        <w:t>3</w:t>
      </w:r>
      <w:r>
        <w:t>,</w:t>
      </w:r>
      <w:r w:rsidRPr="001155C3">
        <w:t xml:space="preserve"> 10,</w:t>
      </w:r>
      <w:r>
        <w:t xml:space="preserve"> 15, </w:t>
      </w:r>
      <w:r w:rsidRPr="001155C3">
        <w:t xml:space="preserve">24, </w:t>
      </w:r>
      <w:r>
        <w:t xml:space="preserve">30, and </w:t>
      </w:r>
      <w:r w:rsidRPr="001155C3">
        <w:t>38 to the start of the</w:t>
      </w:r>
      <w:r>
        <w:t xml:space="preserve"> first </w:t>
      </w:r>
      <w:r w:rsidRPr="001155C3">
        <w:t>HW. Samplings w</w:t>
      </w:r>
      <w:r w:rsidR="00145269">
        <w:t>ere performed</w:t>
      </w:r>
      <w:r w:rsidRPr="001155C3">
        <w:t xml:space="preserve"> by taking depth-integrated water samples with a polyvinyl chloride (PVC)</w:t>
      </w:r>
      <w:r w:rsidR="00145269">
        <w:t xml:space="preserve"> </w:t>
      </w:r>
      <w:r w:rsidRPr="001155C3">
        <w:t>tube (six sub-samples per mesocosm mixed in a bucket).</w:t>
      </w:r>
      <w:r w:rsidR="00145269">
        <w:t xml:space="preserve"> </w:t>
      </w:r>
      <w:r w:rsidRPr="001155C3">
        <w:t>Next, for phytoplankton samples, 250 ml of this water</w:t>
      </w:r>
      <w:r w:rsidR="00145269">
        <w:t xml:space="preserve"> </w:t>
      </w:r>
      <w:r w:rsidRPr="001155C3">
        <w:t>sample were introduced into glass amber bottles and 10%</w:t>
      </w:r>
      <w:r w:rsidR="00145269">
        <w:t xml:space="preserve"> </w:t>
      </w:r>
      <w:r w:rsidRPr="001155C3">
        <w:t>Lugol’s iodine was added for preservation.</w:t>
      </w:r>
      <w:r w:rsidR="00145269">
        <w:t xml:space="preserve"> </w:t>
      </w:r>
      <w:r w:rsidR="00145269" w:rsidRPr="00145269">
        <w:t>Phytoplankton taxa</w:t>
      </w:r>
      <w:r w:rsidR="003B2EDE">
        <w:t xml:space="preserve"> identification</w:t>
      </w:r>
      <w:r w:rsidR="00145269" w:rsidRPr="00145269">
        <w:t xml:space="preserve"> and counts were </w:t>
      </w:r>
      <w:r w:rsidR="003B2EDE">
        <w:t>perfomed</w:t>
      </w:r>
      <w:r w:rsidR="00145269" w:rsidRPr="00145269">
        <w:t xml:space="preserve"> </w:t>
      </w:r>
      <w:r w:rsidR="003B2EDE">
        <w:t>on</w:t>
      </w:r>
      <w:r w:rsidR="00145269" w:rsidRPr="00145269">
        <w:t xml:space="preserve"> a 1 mL subsample by means of an inverted microscope and a Sedgewick-Rafter counting cell (Graticules Optics).</w:t>
      </w:r>
    </w:p>
    <w:p w14:paraId="03C3CC85" w14:textId="5EF200F3" w:rsidR="00731629" w:rsidRDefault="0062155A" w:rsidP="00B657D3">
      <w:pPr>
        <w:pStyle w:val="NormalWeb"/>
        <w:spacing w:before="0" w:beforeAutospacing="0" w:after="0" w:afterAutospacing="0"/>
      </w:pPr>
      <w:r w:rsidRPr="0062155A">
        <w:t xml:space="preserve">Every </w:t>
      </w:r>
      <w:r>
        <w:t>phytoplankton taxon</w:t>
      </w:r>
      <w:r w:rsidRPr="0062155A">
        <w:t xml:space="preserve"> was</w:t>
      </w:r>
      <w:r>
        <w:t xml:space="preserve"> </w:t>
      </w:r>
      <w:r w:rsidRPr="0062155A">
        <w:t>digitally photographed with scale reference using a camera</w:t>
      </w:r>
      <w:r>
        <w:t xml:space="preserve"> </w:t>
      </w:r>
      <w:r w:rsidRPr="0062155A">
        <w:t xml:space="preserve">Samsung 12 mp (4032 </w:t>
      </w:r>
      <w:r>
        <w:t>X</w:t>
      </w:r>
      <w:r w:rsidRPr="0062155A">
        <w:t xml:space="preserve"> 3024, JPG format), and measuredusing Image J software</w:t>
      </w:r>
      <w:r>
        <w:t xml:space="preserve"> </w:t>
      </w:r>
      <w:r>
        <w:fldChar w:fldCharType="begin"/>
      </w:r>
      <w:r>
        <w:instrText xml:space="preserve"> ADDIN ZOTERO_ITEM CSL_CITATION {"citationID":"PDeh801J","properties":{"formattedCitation":"(Schneider {\\i{}et al.} 2012)","plainCitation":"(Schneider et al. 2012)","noteIndex":0},"citationItems":[{"id":115,"uris":["http://zotero.org/users/10426170/items/LSJI8LX8"],"itemData":{"id":115,"type":"article-journal","container-title":"Nature Methods","DOI":"10.1038/nmeth.2089","ISSN":"15487091","issue":"7","title":"NIH Image to ImageJ: 25 years of image analysis","volume":"9","author":[{"family":"Schneider","given":"Caroline A."},{"family":"Rasband","given":"Wayne S."},{"family":"Eliceiri","given":"Kevin W."}],"issued":{"date-parts":[["2012"]]}}}],"schema":"https://github.com/citation-style-language/schema/raw/master/csl-citation.json"} </w:instrText>
      </w:r>
      <w:r>
        <w:fldChar w:fldCharType="separate"/>
      </w:r>
      <w:r w:rsidRPr="0062155A">
        <w:rPr>
          <w:lang w:val="en-GB"/>
        </w:rPr>
        <w:t xml:space="preserve">(Schneider </w:t>
      </w:r>
      <w:r w:rsidRPr="0062155A">
        <w:rPr>
          <w:i/>
          <w:iCs/>
          <w:lang w:val="en-GB"/>
        </w:rPr>
        <w:t>et al.</w:t>
      </w:r>
      <w:r w:rsidRPr="0062155A">
        <w:rPr>
          <w:lang w:val="en-GB"/>
        </w:rPr>
        <w:t xml:space="preserve"> 2012)</w:t>
      </w:r>
      <w:r>
        <w:fldChar w:fldCharType="end"/>
      </w:r>
      <w:r w:rsidRPr="0062155A">
        <w:t>. The</w:t>
      </w:r>
      <w:r>
        <w:t xml:space="preserve"> </w:t>
      </w:r>
      <w:r w:rsidRPr="0062155A">
        <w:t>biovolume (μm</w:t>
      </w:r>
      <w:r w:rsidRPr="00381888">
        <w:rPr>
          <w:vertAlign w:val="superscript"/>
        </w:rPr>
        <w:t>3</w:t>
      </w:r>
      <w:r w:rsidRPr="0062155A">
        <w:t xml:space="preserve">/org) of the </w:t>
      </w:r>
      <w:r w:rsidR="00381888">
        <w:t>phytoplankton</w:t>
      </w:r>
      <w:r w:rsidRPr="0062155A">
        <w:t xml:space="preserve"> individuals was calculated using geometric models according to</w:t>
      </w:r>
      <w:r w:rsidR="00381888">
        <w:t xml:space="preserve"> </w:t>
      </w:r>
      <w:r w:rsidR="00381888">
        <w:fldChar w:fldCharType="begin"/>
      </w:r>
      <w:r w:rsidR="00381888">
        <w:instrText xml:space="preserve"> ADDIN ZOTERO_ITEM CSL_CITATION {"citationID":"1Y0gRkER","properties":{"formattedCitation":"(Hillebrand {\\i{}et al.} 1999; Sun &amp; Liu 2003)","plainCitation":"(Hillebrand et al. 1999; Sun &amp; Liu 2003)","noteIndex":0},"citationItems":[{"id":67,"uris":["http://zotero.org/users/10426170/items/ERSHPQDM"],"itemData":{"id":67,"type":"article-journal","abstract":"Microalgal bitvolume is commonly calculated to assess the relative abundance (as biomass or carbon) of co-occurring algae varying in shape and/or size. However, a standardized set of equations for bitvolume calculations from microscopically measured linear dimensions that includes the entire range of microalgal shapes is not available yet. In comparison with automated methods, the use of microscopical measurements allows high taxonomic resolution, up to the species level, and has fewer sources of error. We present a set of geometric shapes and mathematical equations for calculating bitvolumes of &gt;850 pelagic and benthic marine and freshwater microalgal genera. The equations are designed to minimize the effort of microscopic measurement. The similarities and differences between our proposal for standardization and previously published proposals are discussed and recommendations for quality standards given.","container-title":"Journal of Phycology","DOI":"10.1046/j.1529-8817.1999.3520403.x","ISSN":"00223646","issue":"2","title":"Biovolume calculation for pelagic and benthic microalgae","volume":"35","author":[{"family":"Hillebrand","given":"Helmut"},{"family":"Dürselen","given":"Claus Dieter"},{"family":"Kirschtel","given":"David"},{"family":"Pollingher","given":"Utsa"},{"family":"Zohary","given":"Tamar"}],"issued":{"date-parts":[["1999"]]}}},{"id":68,"uris":["http://zotero.org/users/10426170/items/CH32P6GK"],"itemData":{"id":68,"type":"article-journal","abstract":"Phytoplankton biovolume can be measured or calculated through the calculation of similar geometric models. A set of geometric models is suggested for calculating cell biovolume and surface area for 284 phytoplankton genera in China Sea waters. Thirty-one geometric shapes have been assigned to estimate the biovolume and surface area of phytoplankton cells. Reductions of error and microscopic effort are also discussed. The model has been verified by its application in the China Seas regions. The software to make these calculations is available at http://www.ouc.edu.cn/csmxy/sunjun/biovolume.htm.","container-title":"Journal of Plankton Research","DOI":"10.1093/plankt/fbg096","ISSN":"01427873","issue":"11","title":"Geometric models for calculating cell biovolume and surface area for phytoplankton","volume":"25","author":[{"family":"Sun","given":"Jun"},{"family":"Liu","given":"Dongyan"}],"issued":{"date-parts":[["2003"]]}}}],"schema":"https://github.com/citation-style-language/schema/raw/master/csl-citation.json"} </w:instrText>
      </w:r>
      <w:r w:rsidR="00381888">
        <w:fldChar w:fldCharType="separate"/>
      </w:r>
      <w:r w:rsidR="00381888" w:rsidRPr="00381888">
        <w:rPr>
          <w:lang w:val="en-GB"/>
        </w:rPr>
        <w:t xml:space="preserve">Hillebrand </w:t>
      </w:r>
      <w:r w:rsidR="00381888" w:rsidRPr="00381888">
        <w:rPr>
          <w:i/>
          <w:iCs/>
          <w:lang w:val="en-GB"/>
        </w:rPr>
        <w:t>et al.</w:t>
      </w:r>
      <w:r w:rsidR="00381888" w:rsidRPr="00381888">
        <w:rPr>
          <w:lang w:val="en-GB"/>
        </w:rPr>
        <w:t xml:space="preserve"> </w:t>
      </w:r>
      <w:r w:rsidR="00381888">
        <w:rPr>
          <w:lang w:val="en-GB"/>
        </w:rPr>
        <w:t>(</w:t>
      </w:r>
      <w:r w:rsidR="00381888" w:rsidRPr="00381888">
        <w:rPr>
          <w:lang w:val="en-GB"/>
        </w:rPr>
        <w:t>1999</w:t>
      </w:r>
      <w:r w:rsidR="00381888">
        <w:rPr>
          <w:lang w:val="en-GB"/>
        </w:rPr>
        <w:t>) and</w:t>
      </w:r>
      <w:r w:rsidR="00381888" w:rsidRPr="00381888">
        <w:rPr>
          <w:lang w:val="en-GB"/>
        </w:rPr>
        <w:t xml:space="preserve"> Sun &amp; Liu </w:t>
      </w:r>
      <w:r w:rsidR="00381888">
        <w:rPr>
          <w:lang w:val="en-GB"/>
        </w:rPr>
        <w:t>(</w:t>
      </w:r>
      <w:r w:rsidR="00381888" w:rsidRPr="00381888">
        <w:rPr>
          <w:lang w:val="en-GB"/>
        </w:rPr>
        <w:t>2003)</w:t>
      </w:r>
      <w:r w:rsidR="00381888">
        <w:fldChar w:fldCharType="end"/>
      </w:r>
      <w:r w:rsidRPr="0062155A">
        <w:t>. Biovolume was transformed to</w:t>
      </w:r>
      <w:r w:rsidR="00381888">
        <w:t xml:space="preserve"> </w:t>
      </w:r>
      <w:r w:rsidRPr="0062155A">
        <w:t>fresh weight using the following ratio 1 μg = 106 μm</w:t>
      </w:r>
      <w:r w:rsidRPr="00381888">
        <w:rPr>
          <w:vertAlign w:val="superscript"/>
        </w:rPr>
        <w:t>3</w:t>
      </w:r>
      <w:r w:rsidRPr="0062155A">
        <w:t>,assuming specific weight of water = 1.</w:t>
      </w:r>
    </w:p>
    <w:p w14:paraId="27182065" w14:textId="10BB8CD0" w:rsidR="00145269" w:rsidRDefault="00145269" w:rsidP="00145269">
      <w:pPr>
        <w:pStyle w:val="Heading2"/>
      </w:pPr>
      <w:r>
        <w:t>Ecosystem functioning proxies</w:t>
      </w:r>
    </w:p>
    <w:p w14:paraId="0B92965A" w14:textId="619B8D94" w:rsidR="00145269" w:rsidRDefault="0062155A" w:rsidP="00145269">
      <w:pPr>
        <w:rPr>
          <w:rFonts w:ascii="Times New Roman" w:hAnsi="Times New Roman" w:cs="Times New Roman"/>
        </w:rPr>
      </w:pPr>
      <w:r>
        <w:rPr>
          <w:rFonts w:ascii="Times New Roman" w:hAnsi="Times New Roman" w:cs="Times New Roman"/>
        </w:rPr>
        <w:t xml:space="preserve">We measured chlorophyll </w:t>
      </w:r>
      <w:r w:rsidR="00381888">
        <w:rPr>
          <w:rFonts w:ascii="Times New Roman" w:hAnsi="Times New Roman" w:cs="Times New Roman"/>
        </w:rPr>
        <w:t>–</w:t>
      </w:r>
      <w:r>
        <w:rPr>
          <w:rFonts w:ascii="Times New Roman" w:hAnsi="Times New Roman" w:cs="Times New Roman"/>
        </w:rPr>
        <w:t xml:space="preserve"> </w:t>
      </w:r>
      <w:r w:rsidRPr="000B614D">
        <w:rPr>
          <w:rFonts w:ascii="Times New Roman" w:hAnsi="Times New Roman" w:cs="Times New Roman"/>
          <w:i/>
          <w:iCs/>
        </w:rPr>
        <w:t>a</w:t>
      </w:r>
      <w:r w:rsidR="00381888">
        <w:rPr>
          <w:rFonts w:ascii="Times New Roman" w:hAnsi="Times New Roman" w:cs="Times New Roman"/>
        </w:rPr>
        <w:t xml:space="preserve"> </w:t>
      </w:r>
      <w:r w:rsidR="000B614D">
        <w:rPr>
          <w:rFonts w:ascii="Times New Roman" w:hAnsi="Times New Roman" w:cs="Times New Roman"/>
        </w:rPr>
        <w:t>(</w:t>
      </w:r>
      <w:proofErr w:type="spellStart"/>
      <w:r w:rsidR="000B614D">
        <w:rPr>
          <w:rFonts w:ascii="Times New Roman" w:hAnsi="Times New Roman" w:cs="Times New Roman"/>
        </w:rPr>
        <w:t>chl</w:t>
      </w:r>
      <w:proofErr w:type="spellEnd"/>
      <w:r w:rsidR="000B614D">
        <w:rPr>
          <w:rFonts w:ascii="Times New Roman" w:hAnsi="Times New Roman" w:cs="Times New Roman"/>
        </w:rPr>
        <w:t xml:space="preserve"> </w:t>
      </w:r>
      <w:r w:rsidR="000B614D" w:rsidRPr="000B614D">
        <w:rPr>
          <w:rFonts w:ascii="Times New Roman" w:hAnsi="Times New Roman" w:cs="Times New Roman"/>
          <w:i/>
          <w:iCs/>
        </w:rPr>
        <w:t>a</w:t>
      </w:r>
      <w:r w:rsidR="000B614D">
        <w:rPr>
          <w:rFonts w:ascii="Times New Roman" w:hAnsi="Times New Roman" w:cs="Times New Roman"/>
        </w:rPr>
        <w:t>)</w:t>
      </w:r>
      <w:r w:rsidR="00381888">
        <w:rPr>
          <w:rFonts w:ascii="Times New Roman" w:hAnsi="Times New Roman" w:cs="Times New Roman"/>
        </w:rPr>
        <w:t xml:space="preserve"> a</w:t>
      </w:r>
      <w:r w:rsidR="000B614D">
        <w:rPr>
          <w:rFonts w:ascii="Times New Roman" w:hAnsi="Times New Roman" w:cs="Times New Roman"/>
        </w:rPr>
        <w:t>s</w:t>
      </w:r>
      <w:r w:rsidR="00381888">
        <w:rPr>
          <w:rFonts w:ascii="Times New Roman" w:hAnsi="Times New Roman" w:cs="Times New Roman"/>
        </w:rPr>
        <w:t xml:space="preserve"> proxy for </w:t>
      </w:r>
      <w:r w:rsidR="000B614D">
        <w:rPr>
          <w:rFonts w:ascii="Times New Roman" w:hAnsi="Times New Roman" w:cs="Times New Roman"/>
        </w:rPr>
        <w:t xml:space="preserve">primary productivity, as it represents </w:t>
      </w:r>
      <w:r w:rsidR="00381888">
        <w:rPr>
          <w:rFonts w:ascii="Times New Roman" w:hAnsi="Times New Roman" w:cs="Times New Roman"/>
        </w:rPr>
        <w:t>the living part of the phytoplankton biomass</w:t>
      </w:r>
      <w:r w:rsidR="000B614D">
        <w:rPr>
          <w:rFonts w:ascii="Times New Roman" w:hAnsi="Times New Roman" w:cs="Times New Roman"/>
        </w:rPr>
        <w:t xml:space="preserve">. </w:t>
      </w:r>
      <w:proofErr w:type="spellStart"/>
      <w:r w:rsidR="000B614D">
        <w:rPr>
          <w:rFonts w:ascii="Times New Roman" w:hAnsi="Times New Roman" w:cs="Times New Roman"/>
        </w:rPr>
        <w:t>Chl</w:t>
      </w:r>
      <w:proofErr w:type="spellEnd"/>
      <w:r w:rsidR="000B614D">
        <w:rPr>
          <w:rFonts w:ascii="Times New Roman" w:hAnsi="Times New Roman" w:cs="Times New Roman"/>
        </w:rPr>
        <w:t xml:space="preserve"> </w:t>
      </w:r>
      <w:r w:rsidR="000B614D" w:rsidRPr="000B614D">
        <w:rPr>
          <w:rFonts w:ascii="Times New Roman" w:hAnsi="Times New Roman" w:cs="Times New Roman"/>
          <w:i/>
          <w:iCs/>
        </w:rPr>
        <w:t>a</w:t>
      </w:r>
      <w:r w:rsidR="000B614D">
        <w:rPr>
          <w:rFonts w:ascii="Times New Roman" w:hAnsi="Times New Roman" w:cs="Times New Roman"/>
          <w:i/>
          <w:iCs/>
        </w:rPr>
        <w:t xml:space="preserve"> </w:t>
      </w:r>
      <w:r w:rsidR="000B614D">
        <w:rPr>
          <w:rFonts w:ascii="Times New Roman" w:hAnsi="Times New Roman" w:cs="Times New Roman"/>
        </w:rPr>
        <w:t xml:space="preserve">was measured on days -4, 3, 7, </w:t>
      </w:r>
      <w:r w:rsidR="000B614D" w:rsidRPr="000B614D">
        <w:rPr>
          <w:rFonts w:ascii="Times New Roman" w:hAnsi="Times New Roman" w:cs="Times New Roman"/>
        </w:rPr>
        <w:t>10, 1</w:t>
      </w:r>
      <w:r w:rsidR="006B305E">
        <w:rPr>
          <w:rFonts w:ascii="Times New Roman" w:hAnsi="Times New Roman" w:cs="Times New Roman"/>
        </w:rPr>
        <w:t>5</w:t>
      </w:r>
      <w:r w:rsidR="000B614D" w:rsidRPr="000B614D">
        <w:rPr>
          <w:rFonts w:ascii="Times New Roman" w:hAnsi="Times New Roman" w:cs="Times New Roman"/>
        </w:rPr>
        <w:t>, 24, 3</w:t>
      </w:r>
      <w:r w:rsidR="006B305E">
        <w:rPr>
          <w:rFonts w:ascii="Times New Roman" w:hAnsi="Times New Roman" w:cs="Times New Roman"/>
        </w:rPr>
        <w:t>0</w:t>
      </w:r>
      <w:r w:rsidR="000B614D" w:rsidRPr="000B614D">
        <w:rPr>
          <w:rFonts w:ascii="Times New Roman" w:hAnsi="Times New Roman" w:cs="Times New Roman"/>
        </w:rPr>
        <w:t xml:space="preserve">, </w:t>
      </w:r>
      <w:r w:rsidR="000B614D">
        <w:rPr>
          <w:rFonts w:ascii="Times New Roman" w:hAnsi="Times New Roman" w:cs="Times New Roman"/>
        </w:rPr>
        <w:t xml:space="preserve">and </w:t>
      </w:r>
      <w:r w:rsidR="000B614D" w:rsidRPr="000B614D">
        <w:rPr>
          <w:rFonts w:ascii="Times New Roman" w:hAnsi="Times New Roman" w:cs="Times New Roman"/>
        </w:rPr>
        <w:t>38</w:t>
      </w:r>
      <w:r w:rsidR="000B614D">
        <w:rPr>
          <w:rFonts w:ascii="Times New Roman" w:hAnsi="Times New Roman" w:cs="Times New Roman"/>
        </w:rPr>
        <w:t xml:space="preserve"> i</w:t>
      </w:r>
      <w:r w:rsidR="000B614D" w:rsidRPr="000B614D">
        <w:rPr>
          <w:rFonts w:ascii="Times New Roman" w:hAnsi="Times New Roman" w:cs="Times New Roman"/>
        </w:rPr>
        <w:t>n situ by using a portable multi-meter (YSI Pro DSS 626,973–01)</w:t>
      </w:r>
      <w:r w:rsidR="000B614D">
        <w:rPr>
          <w:rFonts w:ascii="Times New Roman" w:hAnsi="Times New Roman" w:cs="Times New Roman"/>
        </w:rPr>
        <w:t xml:space="preserve">. </w:t>
      </w:r>
      <w:r w:rsidR="008C7836">
        <w:rPr>
          <w:rFonts w:ascii="Times New Roman" w:hAnsi="Times New Roman" w:cs="Times New Roman"/>
        </w:rPr>
        <w:t xml:space="preserve">We also measured dissolved oxygen (DO) during the experimental period. </w:t>
      </w:r>
      <w:r w:rsidR="008C7836" w:rsidRPr="008C7836">
        <w:rPr>
          <w:rFonts w:ascii="Times New Roman" w:hAnsi="Times New Roman" w:cs="Times New Roman"/>
        </w:rPr>
        <w:t xml:space="preserve">Oxygen is essential to all aerobic organisms, and its dynamics in </w:t>
      </w:r>
      <w:r w:rsidR="008C7836">
        <w:rPr>
          <w:rFonts w:ascii="Times New Roman" w:hAnsi="Times New Roman" w:cs="Times New Roman"/>
        </w:rPr>
        <w:t xml:space="preserve">freshwater </w:t>
      </w:r>
      <w:r w:rsidR="008C7836" w:rsidRPr="008C7836">
        <w:rPr>
          <w:rFonts w:ascii="Times New Roman" w:hAnsi="Times New Roman" w:cs="Times New Roman"/>
        </w:rPr>
        <w:t xml:space="preserve">involve interconnected physical and biological processes that form the basis of the functioning of </w:t>
      </w:r>
      <w:r w:rsidR="008C7836">
        <w:rPr>
          <w:rFonts w:ascii="Times New Roman" w:hAnsi="Times New Roman" w:cs="Times New Roman"/>
        </w:rPr>
        <w:t xml:space="preserve">freshwater </w:t>
      </w:r>
      <w:r w:rsidR="008C7836">
        <w:rPr>
          <w:rFonts w:ascii="Times New Roman" w:hAnsi="Times New Roman" w:cs="Times New Roman"/>
        </w:rPr>
        <w:t xml:space="preserve">ecosystems. DO was measured </w:t>
      </w:r>
      <w:r w:rsidR="008C7836">
        <w:rPr>
          <w:rFonts w:ascii="Times New Roman" w:hAnsi="Times New Roman" w:cs="Times New Roman"/>
        </w:rPr>
        <w:t xml:space="preserve">on days </w:t>
      </w:r>
      <w:r w:rsidR="006B305E">
        <w:rPr>
          <w:rFonts w:ascii="Times New Roman" w:hAnsi="Times New Roman" w:cs="Times New Roman"/>
        </w:rPr>
        <w:t xml:space="preserve">-4, 3, 7, </w:t>
      </w:r>
      <w:r w:rsidR="006B305E" w:rsidRPr="000B614D">
        <w:rPr>
          <w:rFonts w:ascii="Times New Roman" w:hAnsi="Times New Roman" w:cs="Times New Roman"/>
        </w:rPr>
        <w:t>10, 1</w:t>
      </w:r>
      <w:r w:rsidR="006B305E">
        <w:rPr>
          <w:rFonts w:ascii="Times New Roman" w:hAnsi="Times New Roman" w:cs="Times New Roman"/>
        </w:rPr>
        <w:t>5</w:t>
      </w:r>
      <w:r w:rsidR="006B305E" w:rsidRPr="000B614D">
        <w:rPr>
          <w:rFonts w:ascii="Times New Roman" w:hAnsi="Times New Roman" w:cs="Times New Roman"/>
        </w:rPr>
        <w:t>, 24, 3</w:t>
      </w:r>
      <w:r w:rsidR="006B305E">
        <w:rPr>
          <w:rFonts w:ascii="Times New Roman" w:hAnsi="Times New Roman" w:cs="Times New Roman"/>
        </w:rPr>
        <w:t>0</w:t>
      </w:r>
      <w:r w:rsidR="006B305E" w:rsidRPr="000B614D">
        <w:rPr>
          <w:rFonts w:ascii="Times New Roman" w:hAnsi="Times New Roman" w:cs="Times New Roman"/>
        </w:rPr>
        <w:t xml:space="preserve">, </w:t>
      </w:r>
      <w:r w:rsidR="006B305E">
        <w:rPr>
          <w:rFonts w:ascii="Times New Roman" w:hAnsi="Times New Roman" w:cs="Times New Roman"/>
        </w:rPr>
        <w:t xml:space="preserve">and </w:t>
      </w:r>
      <w:r w:rsidR="006B305E" w:rsidRPr="000B614D">
        <w:rPr>
          <w:rFonts w:ascii="Times New Roman" w:hAnsi="Times New Roman" w:cs="Times New Roman"/>
        </w:rPr>
        <w:t>38</w:t>
      </w:r>
      <w:r w:rsidR="008C7836">
        <w:rPr>
          <w:rFonts w:ascii="Times New Roman" w:hAnsi="Times New Roman" w:cs="Times New Roman"/>
        </w:rPr>
        <w:t>i</w:t>
      </w:r>
      <w:r w:rsidR="008C7836" w:rsidRPr="000B614D">
        <w:rPr>
          <w:rFonts w:ascii="Times New Roman" w:hAnsi="Times New Roman" w:cs="Times New Roman"/>
        </w:rPr>
        <w:t>n situ by using a portable multi-meter (YSI Pro DSS 626,973–01)</w:t>
      </w:r>
      <w:r w:rsidR="008C7836">
        <w:rPr>
          <w:rFonts w:ascii="Times New Roman" w:hAnsi="Times New Roman" w:cs="Times New Roman"/>
        </w:rPr>
        <w:t>.</w:t>
      </w:r>
    </w:p>
    <w:p w14:paraId="14784EB1" w14:textId="77777777" w:rsidR="008C7836" w:rsidRDefault="008C7836" w:rsidP="00145269">
      <w:pPr>
        <w:rPr>
          <w:rFonts w:ascii="Times New Roman" w:hAnsi="Times New Roman" w:cs="Times New Roman"/>
        </w:rPr>
      </w:pPr>
    </w:p>
    <w:p w14:paraId="185AD2BF" w14:textId="702A0A88" w:rsidR="00B359F8" w:rsidRDefault="00B359F8" w:rsidP="00B359F8">
      <w:pPr>
        <w:pStyle w:val="Heading2"/>
      </w:pPr>
      <w:r>
        <w:t>Statistical analysis</w:t>
      </w:r>
    </w:p>
    <w:p w14:paraId="76DE19BB" w14:textId="52C4A004" w:rsidR="00B359F8" w:rsidRDefault="00B359F8" w:rsidP="00B359F8">
      <w:pPr>
        <w:rPr>
          <w:rFonts w:ascii="Times New Roman" w:hAnsi="Times New Roman" w:cs="Times New Roman"/>
        </w:rPr>
      </w:pPr>
      <w:r w:rsidRPr="00B359F8">
        <w:rPr>
          <w:rFonts w:ascii="Times New Roman" w:hAnsi="Times New Roman" w:cs="Times New Roman"/>
        </w:rPr>
        <w:t xml:space="preserve">To investigate the effect of heatwave treatment on oxygen levels in mesocosms, we employed a linear mixed-effects model (LMM) using the </w:t>
      </w:r>
      <w:proofErr w:type="spellStart"/>
      <w:r w:rsidRPr="00B359F8">
        <w:rPr>
          <w:rFonts w:ascii="Times New Roman" w:hAnsi="Times New Roman" w:cs="Times New Roman"/>
        </w:rPr>
        <w:t>lmer</w:t>
      </w:r>
      <w:proofErr w:type="spellEnd"/>
      <w:r w:rsidRPr="00B359F8">
        <w:rPr>
          <w:rFonts w:ascii="Times New Roman" w:hAnsi="Times New Roman" w:cs="Times New Roman"/>
        </w:rPr>
        <w:t xml:space="preserve"> function from the </w:t>
      </w:r>
      <w:r>
        <w:rPr>
          <w:rFonts w:ascii="Times New Roman" w:hAnsi="Times New Roman" w:cs="Times New Roman"/>
        </w:rPr>
        <w:t>“</w:t>
      </w:r>
      <w:r w:rsidRPr="00B359F8">
        <w:rPr>
          <w:rFonts w:ascii="Times New Roman" w:hAnsi="Times New Roman" w:cs="Times New Roman"/>
        </w:rPr>
        <w:t>lme4</w:t>
      </w:r>
      <w:r>
        <w:rPr>
          <w:rFonts w:ascii="Times New Roman" w:hAnsi="Times New Roman" w:cs="Times New Roman"/>
        </w:rPr>
        <w:t>”</w:t>
      </w:r>
      <w:r w:rsidRPr="00B359F8">
        <w:rPr>
          <w:rFonts w:ascii="Times New Roman" w:hAnsi="Times New Roman" w:cs="Times New Roman"/>
        </w:rPr>
        <w:t xml:space="preserve"> package</w:t>
      </w:r>
      <w:r w:rsidRPr="00B359F8">
        <w:rPr>
          <w:rFonts w:ascii="Times New Roman" w:hAnsi="Times New Roman" w:cs="Times New Roman"/>
        </w:rPr>
        <w:t xml:space="preserve"> </w:t>
      </w:r>
      <w:r w:rsidRPr="00B359F8">
        <w:rPr>
          <w:rFonts w:ascii="Times New Roman" w:hAnsi="Times New Roman" w:cs="Times New Roman"/>
        </w:rPr>
        <w:fldChar w:fldCharType="begin"/>
      </w:r>
      <w:r w:rsidRPr="00B359F8">
        <w:rPr>
          <w:rFonts w:ascii="Times New Roman" w:hAnsi="Times New Roman" w:cs="Times New Roman"/>
        </w:rPr>
        <w:instrText xml:space="preserve"> ADDIN ZOTERO_ITEM CSL_CITATION {"citationID":"inztlpHT","properties":{"formattedCitation":"(Bates {\\i{}et al.} 2015)","plainCitation":"(Bates et al. 2015)","noteIndex":0},"citationItems":[{"id":376,"uris":["http://zotero.org/users/10426170/items/MPU58KVM"],"itemData":{"id":376,"type":"article-journal","abstract":"Maximum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Software","DOI":"10.18637/jss.v067.i01","ISSN":"15487660","issue":"1","note":"arXiv: 1406.5823","title":"Fitting linear mixed-effects models using lme4","volume":"67","author":[{"family":"Bates","given":"Douglas"},{"family":"Mächler","given":"Martin"},{"family":"Bolker","given":"Benjamin M."},{"family":"Walker","given":"Steven C."}],"issued":{"date-parts":[["2015"]]}}}],"schema":"https://github.com/citation-style-language/schema/raw/master/csl-citation.json"} </w:instrText>
      </w:r>
      <w:r w:rsidRPr="00B359F8">
        <w:rPr>
          <w:rFonts w:ascii="Times New Roman" w:hAnsi="Times New Roman" w:cs="Times New Roman"/>
        </w:rPr>
        <w:fldChar w:fldCharType="separate"/>
      </w:r>
      <w:r w:rsidRPr="00B359F8">
        <w:rPr>
          <w:rFonts w:ascii="Times New Roman" w:hAnsi="Times New Roman" w:cs="Times New Roman"/>
          <w:kern w:val="0"/>
        </w:rPr>
        <w:t xml:space="preserve">(Bates </w:t>
      </w:r>
      <w:r w:rsidRPr="00B359F8">
        <w:rPr>
          <w:rFonts w:ascii="Times New Roman" w:hAnsi="Times New Roman" w:cs="Times New Roman"/>
          <w:i/>
          <w:iCs/>
          <w:kern w:val="0"/>
        </w:rPr>
        <w:t>et al.</w:t>
      </w:r>
      <w:r w:rsidRPr="00B359F8">
        <w:rPr>
          <w:rFonts w:ascii="Times New Roman" w:hAnsi="Times New Roman" w:cs="Times New Roman"/>
          <w:kern w:val="0"/>
        </w:rPr>
        <w:t xml:space="preserve"> 2015)</w:t>
      </w:r>
      <w:r w:rsidRPr="00B359F8">
        <w:rPr>
          <w:rFonts w:ascii="Times New Roman" w:hAnsi="Times New Roman" w:cs="Times New Roman"/>
        </w:rPr>
        <w:fldChar w:fldCharType="end"/>
      </w:r>
      <w:r w:rsidRPr="00B359F8">
        <w:rPr>
          <w:rFonts w:ascii="Times New Roman" w:hAnsi="Times New Roman" w:cs="Times New Roman"/>
        </w:rPr>
        <w:t xml:space="preserve">. The model included </w:t>
      </w:r>
      <w:r>
        <w:rPr>
          <w:rFonts w:ascii="Times New Roman" w:hAnsi="Times New Roman" w:cs="Times New Roman"/>
        </w:rPr>
        <w:t>HW</w:t>
      </w:r>
      <w:r w:rsidR="005F6ADC">
        <w:rPr>
          <w:rFonts w:ascii="Times New Roman" w:hAnsi="Times New Roman" w:cs="Times New Roman"/>
        </w:rPr>
        <w:t xml:space="preserve">, </w:t>
      </w:r>
      <w:r>
        <w:rPr>
          <w:rFonts w:ascii="Times New Roman" w:hAnsi="Times New Roman" w:cs="Times New Roman"/>
        </w:rPr>
        <w:t>time</w:t>
      </w:r>
      <w:r w:rsidR="005F6ADC">
        <w:rPr>
          <w:rFonts w:ascii="Times New Roman" w:hAnsi="Times New Roman" w:cs="Times New Roman"/>
        </w:rPr>
        <w:t>, and their interaction</w:t>
      </w:r>
      <w:r w:rsidRPr="00B359F8">
        <w:rPr>
          <w:rFonts w:ascii="Times New Roman" w:hAnsi="Times New Roman" w:cs="Times New Roman"/>
        </w:rPr>
        <w:t xml:space="preserve"> as fixed effects, with mesocosm identifier as a random effect to account for the repeated measures within each mesocosm</w:t>
      </w:r>
      <w:r>
        <w:rPr>
          <w:rFonts w:ascii="Times New Roman" w:hAnsi="Times New Roman" w:cs="Times New Roman"/>
        </w:rPr>
        <w:t xml:space="preserve">. </w:t>
      </w:r>
      <w:r w:rsidRPr="00B359F8">
        <w:rPr>
          <w:rFonts w:ascii="Times New Roman" w:hAnsi="Times New Roman" w:cs="Times New Roman"/>
        </w:rPr>
        <w:t xml:space="preserve">The model diagnostics were performed using the </w:t>
      </w:r>
      <w:r>
        <w:rPr>
          <w:rFonts w:ascii="Times New Roman" w:hAnsi="Times New Roman" w:cs="Times New Roman"/>
        </w:rPr>
        <w:t>“</w:t>
      </w:r>
      <w:proofErr w:type="spellStart"/>
      <w:r w:rsidRPr="00B359F8">
        <w:rPr>
          <w:rFonts w:ascii="Times New Roman" w:hAnsi="Times New Roman" w:cs="Times New Roman"/>
        </w:rPr>
        <w:t>check_model</w:t>
      </w:r>
      <w:proofErr w:type="spellEnd"/>
      <w:r>
        <w:rPr>
          <w:rFonts w:ascii="Times New Roman" w:hAnsi="Times New Roman" w:cs="Times New Roman"/>
        </w:rPr>
        <w:t>”</w:t>
      </w:r>
      <w:r w:rsidRPr="00B359F8">
        <w:rPr>
          <w:rFonts w:ascii="Times New Roman" w:hAnsi="Times New Roman" w:cs="Times New Roman"/>
        </w:rPr>
        <w:t xml:space="preserve"> function from the performance package</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{"citationID":"wXPJFZN3","properties":{"formattedCitation":"(L\\uc0\\u252{}decke {\\i{}et al.} 2020)","plainCitation":"(Lüdecke et al. 2020)","noteIndex":0},"citationItems":[{"id":844,"uris":["http://zotero.org/users/10426170/items/4GGDT9N8"],"itemData":{"id":844,"type":"article-journal","abstract":"Description Utilities for computing measures to assess model quality, which are not directly provided by R's 'base' or 'stats' packages. These include e.g. measures like r-squared, intraclass correlation coefficient (Nakagawa, Johnson &amp; Schielzeth (2017) &lt;doi:10.1098/rsif.2017.0213&gt;), root mean squared error or functions to check models for overdispersion, singularity or zero-inflation and more. Functions apply to a large variety of regression models, including generalized linear models, mixed effects models and Bayesian models.","container-title":"CRAN.R","title":"performance: Assessment of Regression Models Performance. R package version 0.4.4. https://CRAN.R-project.org/package=performance","author":[{"family":"Lüdecke","given":"Daniel"},{"family":"Makowski","given":"Dominique"},{"family":"Waggoner","given":"Philip"}],"issued":{"date-parts":[["2020"]]}}}],"schema":"https://github.com/citation-style-language/schema/raw/master/csl-citation.json"} </w:instrText>
      </w:r>
      <w:r>
        <w:rPr>
          <w:rFonts w:ascii="Times New Roman" w:hAnsi="Times New Roman" w:cs="Times New Roman"/>
        </w:rPr>
        <w:fldChar w:fldCharType="separate"/>
      </w:r>
      <w:r w:rsidRPr="00B359F8">
        <w:rPr>
          <w:rFonts w:ascii="Times New Roman" w:hAnsi="Times New Roman" w:cs="Times New Roman"/>
          <w:kern w:val="0"/>
        </w:rPr>
        <w:t>(</w:t>
      </w:r>
      <w:proofErr w:type="spellStart"/>
      <w:r w:rsidRPr="00B359F8">
        <w:rPr>
          <w:rFonts w:ascii="Times New Roman" w:hAnsi="Times New Roman" w:cs="Times New Roman"/>
          <w:kern w:val="0"/>
        </w:rPr>
        <w:t>Lüdecke</w:t>
      </w:r>
      <w:proofErr w:type="spellEnd"/>
      <w:r w:rsidRPr="00B359F8">
        <w:rPr>
          <w:rFonts w:ascii="Times New Roman" w:hAnsi="Times New Roman" w:cs="Times New Roman"/>
          <w:kern w:val="0"/>
        </w:rPr>
        <w:t xml:space="preserve"> </w:t>
      </w:r>
      <w:r w:rsidRPr="00B359F8">
        <w:rPr>
          <w:rFonts w:ascii="Times New Roman" w:hAnsi="Times New Roman" w:cs="Times New Roman"/>
          <w:i/>
          <w:iCs/>
          <w:kern w:val="0"/>
        </w:rPr>
        <w:t>et al.</w:t>
      </w:r>
      <w:r w:rsidRPr="00B359F8">
        <w:rPr>
          <w:rFonts w:ascii="Times New Roman" w:hAnsi="Times New Roman" w:cs="Times New Roman"/>
          <w:kern w:val="0"/>
        </w:rPr>
        <w:t xml:space="preserve"> 2020)</w:t>
      </w:r>
      <w:r>
        <w:rPr>
          <w:rFonts w:ascii="Times New Roman" w:hAnsi="Times New Roman" w:cs="Times New Roman"/>
        </w:rPr>
        <w:fldChar w:fldCharType="end"/>
      </w:r>
      <w:r w:rsidRPr="00B359F8">
        <w:rPr>
          <w:rFonts w:ascii="Times New Roman" w:hAnsi="Times New Roman" w:cs="Times New Roman"/>
        </w:rPr>
        <w:t xml:space="preserve"> to ensure the assumptions of the LMM were met</w:t>
      </w:r>
      <w:r>
        <w:rPr>
          <w:rFonts w:ascii="Times New Roman" w:hAnsi="Times New Roman" w:cs="Times New Roman"/>
        </w:rPr>
        <w:t>. When an interaction</w:t>
      </w:r>
      <w:r w:rsidRPr="00B359F8">
        <w:rPr>
          <w:rFonts w:ascii="Times New Roman" w:hAnsi="Times New Roman" w:cs="Times New Roman"/>
        </w:rPr>
        <w:t xml:space="preserve"> effect between </w:t>
      </w:r>
      <w:r>
        <w:rPr>
          <w:rFonts w:ascii="Times New Roman" w:hAnsi="Times New Roman" w:cs="Times New Roman"/>
        </w:rPr>
        <w:t>HW</w:t>
      </w:r>
      <w:r w:rsidRPr="00B359F8">
        <w:rPr>
          <w:rFonts w:ascii="Times New Roman" w:hAnsi="Times New Roman" w:cs="Times New Roman"/>
        </w:rPr>
        <w:t xml:space="preserve"> and </w:t>
      </w:r>
      <w:r>
        <w:rPr>
          <w:rFonts w:ascii="Times New Roman" w:hAnsi="Times New Roman" w:cs="Times New Roman"/>
        </w:rPr>
        <w:t>time was found</w:t>
      </w:r>
      <w:r w:rsidRPr="00B359F8">
        <w:rPr>
          <w:rFonts w:ascii="Times New Roman" w:hAnsi="Times New Roman" w:cs="Times New Roman"/>
        </w:rPr>
        <w:t xml:space="preserve"> </w:t>
      </w:r>
      <w:r>
        <w:rPr>
          <w:rFonts w:ascii="Times New Roman" w:hAnsi="Times New Roman" w:cs="Times New Roman"/>
        </w:rPr>
        <w:t xml:space="preserve">we performed a </w:t>
      </w:r>
      <w:r w:rsidRPr="00B359F8">
        <w:rPr>
          <w:rFonts w:ascii="Times New Roman" w:hAnsi="Times New Roman" w:cs="Times New Roman"/>
        </w:rPr>
        <w:t xml:space="preserve">post-hoc comparisons across different days </w:t>
      </w:r>
      <w:r>
        <w:rPr>
          <w:rFonts w:ascii="Times New Roman" w:hAnsi="Times New Roman" w:cs="Times New Roman"/>
        </w:rPr>
        <w:t>using</w:t>
      </w:r>
      <w:r w:rsidRPr="00B359F8">
        <w:rPr>
          <w:rFonts w:ascii="Times New Roman" w:hAnsi="Times New Roman" w:cs="Times New Roman"/>
        </w:rPr>
        <w:t xml:space="preserve"> the </w:t>
      </w:r>
      <w:r>
        <w:rPr>
          <w:rFonts w:ascii="Times New Roman" w:hAnsi="Times New Roman" w:cs="Times New Roman"/>
        </w:rPr>
        <w:t>“</w:t>
      </w:r>
      <w:proofErr w:type="spellStart"/>
      <w:r w:rsidRPr="00B359F8">
        <w:rPr>
          <w:rFonts w:ascii="Times New Roman" w:hAnsi="Times New Roman" w:cs="Times New Roman"/>
        </w:rPr>
        <w:t>emmeans</w:t>
      </w:r>
      <w:proofErr w:type="spellEnd"/>
      <w:r>
        <w:rPr>
          <w:rFonts w:ascii="Times New Roman" w:hAnsi="Times New Roman" w:cs="Times New Roman"/>
        </w:rPr>
        <w:t>”</w:t>
      </w:r>
      <w:r w:rsidRPr="00B359F8">
        <w:rPr>
          <w:rFonts w:ascii="Times New Roman" w:hAnsi="Times New Roman" w:cs="Times New Roman"/>
        </w:rPr>
        <w:t xml:space="preserve"> package </w:t>
      </w:r>
      <w:r>
        <w:rPr>
          <w:rFonts w:ascii="Times New Roman" w:hAnsi="Times New Roman" w:cs="Times New Roman"/>
        </w:rPr>
        <w:fldChar w:fldCharType="begin"/>
      </w:r>
      <w:r>
        <w:rPr>
          <w:rFonts w:ascii="Times New Roman" w:hAnsi="Times New Roman" w:cs="Times New Roman"/>
        </w:rPr>
        <w:instrText xml:space="preserve"> ADDIN ZOTERO_ITEM CSL_CITATION {"citationID":"WuOhc15Q","properties":{"formattedCitation":"(Lenth {\\i{}et al.} 2024)","plainCitation":"(Lenth et al. 2024)","noteIndex":0},"citationItems":[{"id":2659,"uris":["http://zotero.org/users/10426170/items/J9BEWWTX"],"itemData":{"id":2659,"type":"software","abstract":"Obtain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Means","title-short":"emmeans","URL":"https://cran.r-project.org/web/packages/emmeans/index.html","version":"1.10.2","author":[{"family":"Lenth","given":"Russell V."},{"family":"Bolker","given":"Ben"},{"family":"Buerkner","given":"Paul"},{"family":"Giné-Vázquez","given":"Iago"},{"family":"Herve","given":"Maxime"},{"family":"Jung","given":"Maarten"},{"family":"Love","given":"Jonathon"},{"family":"Miguez","given":"Fernando"},{"family":"Piaskowski","given":"Julia"},{"family":"Riebl","given":"Hannes"},{"family":"Singmann","given":"Henrik"}],"accessed":{"date-parts":[["2024",6,25]]},"issued":{"date-parts":[["2024",5,20]]}}}],"schema":"https://github.com/citation-style-language/schema/raw/master/csl-citation.json"} </w:instrText>
      </w:r>
      <w:r>
        <w:rPr>
          <w:rFonts w:ascii="Times New Roman" w:hAnsi="Times New Roman" w:cs="Times New Roman"/>
        </w:rPr>
        <w:fldChar w:fldCharType="separate"/>
      </w:r>
      <w:r w:rsidRPr="00B359F8">
        <w:rPr>
          <w:rFonts w:ascii="Times New Roman" w:hAnsi="Times New Roman" w:cs="Times New Roman"/>
          <w:kern w:val="0"/>
        </w:rPr>
        <w:t xml:space="preserve">(Lenth </w:t>
      </w:r>
      <w:r w:rsidRPr="00B359F8">
        <w:rPr>
          <w:rFonts w:ascii="Times New Roman" w:hAnsi="Times New Roman" w:cs="Times New Roman"/>
          <w:i/>
          <w:iCs/>
          <w:kern w:val="0"/>
        </w:rPr>
        <w:t>et al.</w:t>
      </w:r>
      <w:r w:rsidRPr="00B359F8">
        <w:rPr>
          <w:rFonts w:ascii="Times New Roman" w:hAnsi="Times New Roman" w:cs="Times New Roman"/>
          <w:kern w:val="0"/>
        </w:rPr>
        <w:t xml:space="preserve"> 2024)</w:t>
      </w:r>
      <w:r>
        <w:rPr>
          <w:rFonts w:ascii="Times New Roman" w:hAnsi="Times New Roman" w:cs="Times New Roman"/>
        </w:rPr>
        <w:fldChar w:fldCharType="end"/>
      </w:r>
      <w:r w:rsidRPr="00B359F8">
        <w:rPr>
          <w:rFonts w:ascii="Times New Roman" w:hAnsi="Times New Roman" w:cs="Times New Roman"/>
        </w:rPr>
        <w:t xml:space="preserve"> to perform estimated marginal means (EMMs) analysis. </w:t>
      </w:r>
    </w:p>
    <w:p w14:paraId="74C23396" w14:textId="4DD288B2" w:rsidR="005F6ADC" w:rsidRDefault="005F6ADC" w:rsidP="00B359F8">
      <w:pPr>
        <w:rPr>
          <w:rFonts w:ascii="Times New Roman" w:hAnsi="Times New Roman" w:cs="Times New Roman"/>
        </w:rPr>
      </w:pPr>
      <w:r>
        <w:rPr>
          <w:rFonts w:ascii="Times New Roman" w:hAnsi="Times New Roman" w:cs="Times New Roman"/>
        </w:rPr>
        <w:t xml:space="preserve">The same approach was used to analyse the effects of the HWs on </w:t>
      </w:r>
      <w:proofErr w:type="spellStart"/>
      <w:r>
        <w:rPr>
          <w:rFonts w:ascii="Times New Roman" w:hAnsi="Times New Roman" w:cs="Times New Roman"/>
        </w:rPr>
        <w:t>chl</w:t>
      </w:r>
      <w:proofErr w:type="spellEnd"/>
      <w:r>
        <w:rPr>
          <w:rFonts w:ascii="Times New Roman" w:hAnsi="Times New Roman" w:cs="Times New Roman"/>
        </w:rPr>
        <w:t xml:space="preserve"> </w:t>
      </w:r>
      <w:r w:rsidRPr="005F6ADC">
        <w:rPr>
          <w:rFonts w:ascii="Times New Roman" w:hAnsi="Times New Roman" w:cs="Times New Roman"/>
          <w:i/>
          <w:iCs/>
        </w:rPr>
        <w:t>a</w:t>
      </w:r>
      <w:r>
        <w:rPr>
          <w:rFonts w:ascii="Times New Roman" w:hAnsi="Times New Roman" w:cs="Times New Roman"/>
          <w:i/>
          <w:iCs/>
        </w:rPr>
        <w:t xml:space="preserve">. </w:t>
      </w:r>
    </w:p>
    <w:p w14:paraId="55BE8BED" w14:textId="77777777" w:rsidR="005F6ADC" w:rsidRDefault="005F6ADC" w:rsidP="00B359F8">
      <w:pPr>
        <w:rPr>
          <w:rFonts w:ascii="Times New Roman" w:hAnsi="Times New Roman" w:cs="Times New Roman"/>
        </w:rPr>
      </w:pPr>
    </w:p>
    <w:p w14:paraId="58D29C5D" w14:textId="77777777" w:rsidR="00D94652" w:rsidRDefault="005F6ADC" w:rsidP="00B359F8">
      <w:pPr>
        <w:rPr>
          <w:rFonts w:ascii="Times New Roman" w:hAnsi="Times New Roman" w:cs="Times New Roman"/>
        </w:rPr>
      </w:pPr>
      <w:r>
        <w:rPr>
          <w:rFonts w:ascii="Times New Roman" w:hAnsi="Times New Roman" w:cs="Times New Roman"/>
        </w:rPr>
        <w:lastRenderedPageBreak/>
        <w:t xml:space="preserve">To investigate the effects of the </w:t>
      </w:r>
      <w:r w:rsidRPr="005F6ADC">
        <w:rPr>
          <w:rFonts w:ascii="Times New Roman" w:hAnsi="Times New Roman" w:cs="Times New Roman"/>
        </w:rPr>
        <w:t>HW</w:t>
      </w:r>
      <w:r>
        <w:rPr>
          <w:rFonts w:ascii="Times New Roman" w:hAnsi="Times New Roman" w:cs="Times New Roman"/>
        </w:rPr>
        <w:t>s</w:t>
      </w:r>
      <w:r w:rsidRPr="005F6ADC">
        <w:rPr>
          <w:rFonts w:ascii="Times New Roman" w:hAnsi="Times New Roman" w:cs="Times New Roman"/>
        </w:rPr>
        <w:t xml:space="preserve"> </w:t>
      </w:r>
      <w:r>
        <w:rPr>
          <w:rFonts w:ascii="Times New Roman" w:hAnsi="Times New Roman" w:cs="Times New Roman"/>
        </w:rPr>
        <w:t>on community composition,</w:t>
      </w:r>
      <w:r w:rsidRPr="005F6ADC">
        <w:rPr>
          <w:rFonts w:ascii="Times New Roman" w:hAnsi="Times New Roman" w:cs="Times New Roman"/>
        </w:rPr>
        <w:t xml:space="preserve"> we performed </w:t>
      </w:r>
      <w:r>
        <w:rPr>
          <w:rFonts w:ascii="Times New Roman" w:hAnsi="Times New Roman" w:cs="Times New Roman"/>
        </w:rPr>
        <w:t xml:space="preserve">a non-parametric </w:t>
      </w:r>
      <w:r w:rsidRPr="005F6ADC">
        <w:rPr>
          <w:rFonts w:ascii="Times New Roman" w:hAnsi="Times New Roman" w:cs="Times New Roman"/>
        </w:rPr>
        <w:t>permutational multivariate analysis of variance (PERMANOVA, function</w:t>
      </w:r>
      <w:r>
        <w:rPr>
          <w:rFonts w:ascii="Times New Roman" w:hAnsi="Times New Roman" w:cs="Times New Roman"/>
        </w:rPr>
        <w:t xml:space="preserve"> </w:t>
      </w:r>
      <w:r w:rsidRPr="005F6ADC">
        <w:rPr>
          <w:rFonts w:ascii="Times New Roman" w:hAnsi="Times New Roman" w:cs="Times New Roman"/>
        </w:rPr>
        <w:t xml:space="preserve">adonis2 of the R package </w:t>
      </w:r>
      <w:r>
        <w:rPr>
          <w:rFonts w:ascii="Times New Roman" w:hAnsi="Times New Roman" w:cs="Times New Roman"/>
        </w:rPr>
        <w:t>“</w:t>
      </w:r>
      <w:r w:rsidRPr="005F6ADC">
        <w:rPr>
          <w:rFonts w:ascii="Times New Roman" w:hAnsi="Times New Roman" w:cs="Times New Roman"/>
        </w:rPr>
        <w:t>vegan</w:t>
      </w:r>
      <w:r>
        <w:rPr>
          <w:rFonts w:ascii="Times New Roman" w:hAnsi="Times New Roman" w:cs="Times New Roman"/>
        </w:rPr>
        <w:t>”</w:t>
      </w:r>
      <w:r w:rsidRPr="005F6ADC">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{"citationID":"ea1Z1EiM","properties":{"formattedCitation":"(Oksanen {\\i{}et al.} 2019)","plainCitation":"(Oksanen et al. 2019)","noteIndex":0},"citationItems":[{"id":845,"uris":["http://zotero.org/users/10426170/items/36M72WPN"],"itemData":{"id":845,"type":"article-journal","abstract":"Depends permute (&gt;= 0.9-0), lattice, R (&gt;= 3.2.0) Suggests parallel, tcltk, knitr Imports MASS, cluster, mgcv VignetteBuilder utils, knitr Description Ordination methods, diversity analysis and other functions for community and vegetation ecologists. License GPL-2","container-title":"Community ecology package","title":"vegan: Community Ecology Package. R package version 2.4-2.","volume":"2.5-6","author":[{"family":"Oksanen","given":"Jari"},{"family":"Blanchet","given":"F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H"},{"family":"Szoecs","given":"Eduard"},{"family":"Wagner","given":"Helene"}],"issued":{"date-parts":[["2019"]]}}}],"schema":"https://github.com/citation-style-language/schema/raw/master/csl-citation.json"} </w:instrText>
      </w:r>
      <w:r>
        <w:rPr>
          <w:rFonts w:ascii="Times New Roman" w:hAnsi="Times New Roman" w:cs="Times New Roman"/>
        </w:rPr>
        <w:fldChar w:fldCharType="separate"/>
      </w:r>
      <w:r w:rsidRPr="005F6ADC">
        <w:rPr>
          <w:rFonts w:ascii="Times New Roman" w:hAnsi="Times New Roman" w:cs="Times New Roman"/>
          <w:kern w:val="0"/>
        </w:rPr>
        <w:t xml:space="preserve">(Oksanen </w:t>
      </w:r>
      <w:r w:rsidRPr="005F6ADC">
        <w:rPr>
          <w:rFonts w:ascii="Times New Roman" w:hAnsi="Times New Roman" w:cs="Times New Roman"/>
          <w:i/>
          <w:iCs/>
          <w:kern w:val="0"/>
        </w:rPr>
        <w:t>et al.</w:t>
      </w:r>
      <w:r w:rsidRPr="005F6ADC">
        <w:rPr>
          <w:rFonts w:ascii="Times New Roman" w:hAnsi="Times New Roman" w:cs="Times New Roman"/>
          <w:kern w:val="0"/>
        </w:rPr>
        <w:t xml:space="preserve"> 2019)</w:t>
      </w:r>
      <w:r>
        <w:rPr>
          <w:rFonts w:ascii="Times New Roman" w:hAnsi="Times New Roman" w:cs="Times New Roman"/>
        </w:rPr>
        <w:fldChar w:fldCharType="end"/>
      </w:r>
      <w:r>
        <w:rPr>
          <w:rFonts w:ascii="Times New Roman" w:hAnsi="Times New Roman" w:cs="Times New Roman"/>
        </w:rPr>
        <w:t xml:space="preserve"> </w:t>
      </w:r>
      <w:r w:rsidRPr="005F6ADC">
        <w:rPr>
          <w:rFonts w:ascii="Times New Roman" w:hAnsi="Times New Roman" w:cs="Times New Roman"/>
        </w:rPr>
        <w:t>with</w:t>
      </w:r>
      <w:r>
        <w:rPr>
          <w:rFonts w:ascii="Times New Roman" w:hAnsi="Times New Roman" w:cs="Times New Roman"/>
        </w:rPr>
        <w:t xml:space="preserve"> </w:t>
      </w:r>
      <w:r w:rsidRPr="005F6ADC">
        <w:rPr>
          <w:rFonts w:ascii="Times New Roman" w:hAnsi="Times New Roman" w:cs="Times New Roman"/>
        </w:rPr>
        <w:t>999 permutations and based on Bray–Curtis distances</w:t>
      </w:r>
      <w:r>
        <w:rPr>
          <w:rFonts w:ascii="Times New Roman" w:hAnsi="Times New Roman" w:cs="Times New Roman"/>
        </w:rPr>
        <w:t>.</w:t>
      </w:r>
    </w:p>
    <w:p w14:paraId="0B41582E" w14:textId="77777777" w:rsidR="00D94652" w:rsidRDefault="00D94652" w:rsidP="00B359F8">
      <w:pPr>
        <w:rPr>
          <w:rFonts w:ascii="Times New Roman" w:hAnsi="Times New Roman" w:cs="Times New Roman"/>
        </w:rPr>
      </w:pPr>
    </w:p>
    <w:p w14:paraId="6D7371C8" w14:textId="2B6A7D14" w:rsidR="00D94652" w:rsidRDefault="00D94652" w:rsidP="00D94652">
      <w:pPr>
        <w:pStyle w:val="Heading1"/>
      </w:pPr>
      <w:r>
        <w:t>Results</w:t>
      </w:r>
    </w:p>
    <w:p w14:paraId="71A8EC72" w14:textId="58A72993" w:rsidR="00114A60" w:rsidRPr="00114A60" w:rsidRDefault="00114A60" w:rsidP="00114A60">
      <w:pPr>
        <w:rPr>
          <w:rFonts w:ascii="Times New Roman" w:hAnsi="Times New Roman" w:cs="Times New Roman"/>
        </w:rPr>
      </w:pPr>
      <w:r w:rsidRPr="00114A60">
        <w:rPr>
          <w:rFonts w:ascii="Times New Roman" w:hAnsi="Times New Roman" w:cs="Times New Roman"/>
        </w:rPr>
        <w:t xml:space="preserve">During the </w:t>
      </w:r>
      <w:r>
        <w:rPr>
          <w:rFonts w:ascii="Times New Roman" w:hAnsi="Times New Roman" w:cs="Times New Roman"/>
        </w:rPr>
        <w:t>experiment</w:t>
      </w:r>
      <w:r w:rsidRPr="00114A60">
        <w:rPr>
          <w:rFonts w:ascii="Times New Roman" w:hAnsi="Times New Roman" w:cs="Times New Roman"/>
        </w:rPr>
        <w:t>, water temperatures ranged between 13.1 and 27.6 °C (</w:t>
      </w:r>
      <w:proofErr w:type="spellStart"/>
      <w:r w:rsidRPr="00114A60">
        <w:rPr>
          <w:rFonts w:ascii="Times New Roman" w:hAnsi="Times New Roman" w:cs="Times New Roman"/>
        </w:rPr>
        <w:t>Amb</w:t>
      </w:r>
      <w:proofErr w:type="spellEnd"/>
      <w:r w:rsidRPr="00114A60">
        <w:rPr>
          <w:rFonts w:ascii="Times New Roman" w:hAnsi="Times New Roman" w:cs="Times New Roman"/>
        </w:rPr>
        <w:t xml:space="preserve">), and 13.2 and 35.7 °C (HW) (Fig. 1). Throughout the whole experiment the average ambient water temperature was 20.18 °C and ranged between 13 °C and 29.64 °C (Fig. 1). </w:t>
      </w:r>
      <w:r w:rsidRPr="00114A60">
        <w:rPr>
          <w:rFonts w:ascii="Times New Roman" w:hAnsi="Times New Roman" w:cs="Times New Roman"/>
        </w:rPr>
        <w:t>Except for</w:t>
      </w:r>
      <w:r w:rsidRPr="00114A60">
        <w:rPr>
          <w:rFonts w:ascii="Times New Roman" w:hAnsi="Times New Roman" w:cs="Times New Roman"/>
        </w:rPr>
        <w:t xml:space="preserve"> a few temporary declining temperature periods, the ambient water temperature gradually increased during the experiment. </w:t>
      </w:r>
      <w:r>
        <w:rPr>
          <w:rFonts w:ascii="Times New Roman" w:hAnsi="Times New Roman" w:cs="Times New Roman"/>
        </w:rPr>
        <w:t xml:space="preserve">The average HW water temperature was </w:t>
      </w:r>
      <w:r w:rsidRPr="00114A60">
        <w:rPr>
          <w:rFonts w:ascii="Times New Roman" w:hAnsi="Times New Roman" w:cs="Times New Roman"/>
        </w:rPr>
        <w:t>24.19°C</w:t>
      </w:r>
      <w:r>
        <w:rPr>
          <w:rFonts w:ascii="Times New Roman" w:hAnsi="Times New Roman" w:cs="Times New Roman"/>
        </w:rPr>
        <w:t xml:space="preserve">, and ranged between </w:t>
      </w:r>
      <w:r w:rsidRPr="00114A60">
        <w:rPr>
          <w:rFonts w:ascii="Times New Roman" w:hAnsi="Times New Roman" w:cs="Times New Roman"/>
        </w:rPr>
        <w:t>13.21°C</w:t>
      </w:r>
      <w:r>
        <w:rPr>
          <w:rFonts w:ascii="Times New Roman" w:hAnsi="Times New Roman" w:cs="Times New Roman"/>
        </w:rPr>
        <w:t xml:space="preserve"> and </w:t>
      </w:r>
      <w:r w:rsidRPr="00114A60">
        <w:rPr>
          <w:rFonts w:ascii="Times New Roman" w:hAnsi="Times New Roman" w:cs="Times New Roman"/>
        </w:rPr>
        <w:t>35.73°C</w:t>
      </w:r>
      <w:r>
        <w:rPr>
          <w:rFonts w:ascii="Times New Roman" w:hAnsi="Times New Roman" w:cs="Times New Roman"/>
        </w:rPr>
        <w:t>.</w:t>
      </w:r>
    </w:p>
    <w:p w14:paraId="1B1F8388" w14:textId="30235AC9" w:rsidR="00114A60" w:rsidRPr="00114A60" w:rsidRDefault="00114A60" w:rsidP="00114A60">
      <w:r>
        <w:rPr>
          <w:noProof/>
        </w:rPr>
        <w:drawing>
          <wp:inline distT="0" distB="0" distL="0" distR="0" wp14:anchorId="575EA35D" wp14:editId="134E8938">
            <wp:extent cx="5731510" cy="3439160"/>
            <wp:effectExtent l="0" t="0" r="0" b="2540"/>
            <wp:docPr id="1336189262" name="Picture 9" descr="A graph of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89262" name="Picture 9" descr="A graph of a number of different colored lines&#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5D26AD74" w14:textId="5CE08A98" w:rsidR="000A1588" w:rsidRDefault="000A1588" w:rsidP="000A1588">
      <w:pPr>
        <w:rPr>
          <w:rFonts w:ascii="Times New Roman" w:hAnsi="Times New Roman" w:cs="Times New Roman"/>
        </w:rPr>
      </w:pPr>
      <w:r>
        <w:rPr>
          <w:rFonts w:ascii="Times New Roman" w:hAnsi="Times New Roman" w:cs="Times New Roman"/>
        </w:rPr>
        <w:t>Dissolved o</w:t>
      </w:r>
      <w:r w:rsidRPr="000A1588">
        <w:rPr>
          <w:rFonts w:ascii="Times New Roman" w:hAnsi="Times New Roman" w:cs="Times New Roman"/>
        </w:rPr>
        <w:t>xygen</w:t>
      </w:r>
      <w:r>
        <w:rPr>
          <w:rFonts w:ascii="Times New Roman" w:hAnsi="Times New Roman" w:cs="Times New Roman"/>
        </w:rPr>
        <w:t xml:space="preserve"> declined sharply after the first </w:t>
      </w:r>
      <w:r w:rsidR="003B2EDE">
        <w:rPr>
          <w:rFonts w:ascii="Times New Roman" w:hAnsi="Times New Roman" w:cs="Times New Roman"/>
        </w:rPr>
        <w:t>HW but</w:t>
      </w:r>
      <w:r>
        <w:rPr>
          <w:rFonts w:ascii="Times New Roman" w:hAnsi="Times New Roman" w:cs="Times New Roman"/>
        </w:rPr>
        <w:t xml:space="preserve"> recovered quicky returning to values higher than the control</w:t>
      </w:r>
      <w:r w:rsidR="003B2EDE">
        <w:rPr>
          <w:rFonts w:ascii="Times New Roman" w:hAnsi="Times New Roman" w:cs="Times New Roman"/>
        </w:rPr>
        <w:t xml:space="preserve"> between the first and the second HW</w:t>
      </w:r>
      <w:r>
        <w:rPr>
          <w:rFonts w:ascii="Times New Roman" w:hAnsi="Times New Roman" w:cs="Times New Roman"/>
        </w:rPr>
        <w:t xml:space="preserve"> (Fig. 2). The second HW determined a similar decreased in DO, which was however completely recovered, and in between the second and third HWs, </w:t>
      </w:r>
      <w:r w:rsidR="003B2EDE">
        <w:rPr>
          <w:rFonts w:ascii="Times New Roman" w:hAnsi="Times New Roman" w:cs="Times New Roman"/>
        </w:rPr>
        <w:t xml:space="preserve">although with a less steep recovery trajectory, </w:t>
      </w:r>
      <w:r>
        <w:rPr>
          <w:rFonts w:ascii="Times New Roman" w:hAnsi="Times New Roman" w:cs="Times New Roman"/>
        </w:rPr>
        <w:t xml:space="preserve">DO returned to control levels. </w:t>
      </w:r>
      <w:r w:rsidRPr="000A1588">
        <w:rPr>
          <w:rFonts w:ascii="Times New Roman" w:hAnsi="Times New Roman" w:cs="Times New Roman"/>
        </w:rPr>
        <w:t xml:space="preserve">The third </w:t>
      </w:r>
      <w:r w:rsidR="003B2EDE">
        <w:rPr>
          <w:rFonts w:ascii="Times New Roman" w:hAnsi="Times New Roman" w:cs="Times New Roman"/>
        </w:rPr>
        <w:t>HW</w:t>
      </w:r>
      <w:r w:rsidRPr="000A1588">
        <w:rPr>
          <w:rFonts w:ascii="Times New Roman" w:hAnsi="Times New Roman" w:cs="Times New Roman"/>
        </w:rPr>
        <w:t xml:space="preserve"> </w:t>
      </w:r>
      <w:r w:rsidR="003B2EDE">
        <w:rPr>
          <w:rFonts w:ascii="Times New Roman" w:hAnsi="Times New Roman" w:cs="Times New Roman"/>
        </w:rPr>
        <w:t>drastically</w:t>
      </w:r>
      <w:r w:rsidRPr="000A1588">
        <w:rPr>
          <w:rFonts w:ascii="Times New Roman" w:hAnsi="Times New Roman" w:cs="Times New Roman"/>
        </w:rPr>
        <w:t xml:space="preserve"> decreased DO during its </w:t>
      </w:r>
      <w:r w:rsidRPr="000A1588">
        <w:rPr>
          <w:rFonts w:ascii="Times New Roman" w:hAnsi="Times New Roman" w:cs="Times New Roman"/>
        </w:rPr>
        <w:t>course and</w:t>
      </w:r>
      <w:r w:rsidRPr="000A1588">
        <w:rPr>
          <w:rFonts w:ascii="Times New Roman" w:hAnsi="Times New Roman" w:cs="Times New Roman"/>
        </w:rPr>
        <w:t xml:space="preserve"> </w:t>
      </w:r>
      <w:r w:rsidR="003B2EDE">
        <w:rPr>
          <w:rFonts w:ascii="Times New Roman" w:hAnsi="Times New Roman" w:cs="Times New Roman"/>
        </w:rPr>
        <w:t>on day 38, DO further declined, showing no sign of recovery</w:t>
      </w:r>
      <w:r>
        <w:rPr>
          <w:rFonts w:ascii="Times New Roman" w:hAnsi="Times New Roman" w:cs="Times New Roman"/>
        </w:rPr>
        <w:t xml:space="preserve"> (Fig. 2)</w:t>
      </w:r>
      <w:r w:rsidRPr="000A1588">
        <w:rPr>
          <w:rFonts w:ascii="Times New Roman" w:hAnsi="Times New Roman" w:cs="Times New Roman"/>
        </w:rPr>
        <w:t>.</w:t>
      </w:r>
    </w:p>
    <w:p w14:paraId="31F6D0E7" w14:textId="70CB0112" w:rsidR="000A1588" w:rsidRDefault="00701612" w:rsidP="000A1588">
      <w:pPr>
        <w:rPr>
          <w:rFonts w:ascii="Times New Roman" w:hAnsi="Times New Roman" w:cs="Times New Roman"/>
        </w:rPr>
      </w:pPr>
      <w:r>
        <w:rPr>
          <w:rFonts w:ascii="Times New Roman" w:hAnsi="Times New Roman" w:cs="Times New Roman"/>
          <w:noProof/>
        </w:rPr>
        <w:lastRenderedPageBreak/>
        <w:drawing>
          <wp:inline distT="0" distB="0" distL="0" distR="0" wp14:anchorId="36F4F43E" wp14:editId="3AAEE1F4">
            <wp:extent cx="5731510" cy="3439160"/>
            <wp:effectExtent l="0" t="0" r="0" b="2540"/>
            <wp:docPr id="2099279276" name="Picture 5" descr="A graph showing a line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79276" name="Picture 5" descr="A graph showing a line of a graph&#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6A04FF9E" w14:textId="528F4D64" w:rsidR="000C3BB4" w:rsidRDefault="000C3BB4" w:rsidP="000A1588">
      <w:pPr>
        <w:rPr>
          <w:rFonts w:ascii="Times New Roman" w:hAnsi="Times New Roman" w:cs="Times New Roman"/>
        </w:rPr>
      </w:pPr>
      <w:r>
        <w:rPr>
          <w:rFonts w:ascii="Times New Roman" w:hAnsi="Times New Roman" w:cs="Times New Roman"/>
        </w:rPr>
        <w:t xml:space="preserve">Figure 1. </w:t>
      </w:r>
      <w:r w:rsidRPr="000C3BB4">
        <w:rPr>
          <w:rFonts w:ascii="Times New Roman" w:hAnsi="Times New Roman" w:cs="Times New Roman"/>
        </w:rPr>
        <w:t>Dissolved oxygen dynamics over time. The red areas show the three heatwaves</w:t>
      </w:r>
      <w:r>
        <w:rPr>
          <w:rFonts w:ascii="Times New Roman" w:hAnsi="Times New Roman" w:cs="Times New Roman"/>
        </w:rPr>
        <w:t>, whereas the horizontal dashed line at 0 represent the mean DO in the control mesocosms.</w:t>
      </w:r>
    </w:p>
    <w:p w14:paraId="03C1CA88" w14:textId="77777777" w:rsidR="000C3BB4" w:rsidRDefault="000C3BB4" w:rsidP="000A1588">
      <w:pPr>
        <w:rPr>
          <w:rFonts w:ascii="Times New Roman" w:hAnsi="Times New Roman" w:cs="Times New Roman"/>
        </w:rPr>
      </w:pPr>
    </w:p>
    <w:p w14:paraId="1CB5F7E8" w14:textId="0302CFE8" w:rsidR="000A1588" w:rsidRDefault="000A1588" w:rsidP="000A1588">
      <w:pPr>
        <w:rPr>
          <w:rFonts w:ascii="Times New Roman" w:hAnsi="Times New Roman" w:cs="Times New Roman"/>
        </w:rPr>
      </w:pPr>
      <w:r>
        <w:rPr>
          <w:rFonts w:ascii="Times New Roman" w:hAnsi="Times New Roman" w:cs="Times New Roman"/>
        </w:rPr>
        <w:t>The LMM found a significant interaction between HW and time, suggesting a time dependent effect of the HWs (Table 1)</w:t>
      </w:r>
      <w:r w:rsidR="000C3BB4">
        <w:rPr>
          <w:rFonts w:ascii="Times New Roman" w:hAnsi="Times New Roman" w:cs="Times New Roman"/>
        </w:rPr>
        <w:t>.</w:t>
      </w:r>
    </w:p>
    <w:p w14:paraId="5611C6C1" w14:textId="77777777" w:rsidR="003B2EDE" w:rsidRDefault="003B2EDE" w:rsidP="000A1588">
      <w:pPr>
        <w:rPr>
          <w:rFonts w:ascii="Times New Roman" w:hAnsi="Times New Roman" w:cs="Times New Roman"/>
        </w:rPr>
      </w:pPr>
    </w:p>
    <w:tbl>
      <w:tblPr>
        <w:tblW w:w="3857" w:type="pct"/>
        <w:jc w:val="center"/>
        <w:tblLook w:val="0420" w:firstRow="1" w:lastRow="0" w:firstColumn="0" w:lastColumn="0" w:noHBand="0" w:noVBand="1"/>
      </w:tblPr>
      <w:tblGrid>
        <w:gridCol w:w="1368"/>
        <w:gridCol w:w="1189"/>
        <w:gridCol w:w="1251"/>
        <w:gridCol w:w="1115"/>
        <w:gridCol w:w="975"/>
        <w:gridCol w:w="1065"/>
      </w:tblGrid>
      <w:tr w:rsidR="00701612" w:rsidRPr="00701612" w14:paraId="06C6C5C3" w14:textId="77777777" w:rsidTr="00701612">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EAC7F8"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b/>
                <w:color w:val="000000"/>
                <w:sz w:val="22"/>
                <w:szCs w:val="22"/>
              </w:rPr>
              <w:t>term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061DB4"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b/>
                <w:color w:val="000000"/>
                <w:sz w:val="22"/>
                <w:szCs w:val="22"/>
              </w:rPr>
              <w:t>estimate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AE6D76"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proofErr w:type="gramStart"/>
            <w:r w:rsidRPr="00701612">
              <w:rPr>
                <w:rFonts w:ascii="Times New Roman" w:eastAsia="Helvetica" w:hAnsi="Times New Roman" w:cs="Times New Roman"/>
                <w:b/>
                <w:color w:val="000000"/>
                <w:sz w:val="22"/>
                <w:szCs w:val="22"/>
              </w:rPr>
              <w:t>std.error</w:t>
            </w:r>
            <w:proofErr w:type="spellEnd"/>
            <w:proofErr w:type="gram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AA42D4"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b/>
                <w:color w:val="000000"/>
                <w:sz w:val="22"/>
                <w:szCs w:val="22"/>
              </w:rPr>
              <w:t>statistic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D27545"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701612">
              <w:rPr>
                <w:rFonts w:ascii="Times New Roman" w:eastAsia="Helvetica" w:hAnsi="Times New Roman" w:cs="Times New Roman"/>
                <w:b/>
                <w:color w:val="000000"/>
                <w:sz w:val="22"/>
                <w:szCs w:val="22"/>
              </w:rPr>
              <w:t>df</w:t>
            </w:r>
            <w:proofErr w:type="spell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E978A9"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701612">
              <w:rPr>
                <w:rFonts w:ascii="Times New Roman" w:eastAsia="Helvetica" w:hAnsi="Times New Roman" w:cs="Times New Roman"/>
                <w:b/>
                <w:color w:val="000000"/>
                <w:sz w:val="22"/>
                <w:szCs w:val="22"/>
              </w:rPr>
              <w:t>p.value</w:t>
            </w:r>
            <w:proofErr w:type="spellEnd"/>
          </w:p>
        </w:tc>
      </w:tr>
      <w:tr w:rsidR="00701612" w:rsidRPr="00701612" w14:paraId="3FE1BA2C" w14:textId="77777777" w:rsidTr="00701612">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02731"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(Intercept)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C5C44"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2.435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C71E5"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0.039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A4C2F"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62.613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999CB"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26.146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DB7D1"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0.000</w:t>
            </w:r>
          </w:p>
        </w:tc>
      </w:tr>
      <w:tr w:rsidR="00701612" w:rsidRPr="00701612" w14:paraId="031D01AA" w14:textId="77777777" w:rsidTr="0070161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FC1F2" w14:textId="6C31244C"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03548"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F93B"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DF965"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1.090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54A91"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26.146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A8354"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0.286</w:t>
            </w:r>
          </w:p>
        </w:tc>
      </w:tr>
      <w:tr w:rsidR="00701612" w:rsidRPr="00701612" w14:paraId="3F2C6D07" w14:textId="77777777" w:rsidTr="00701612">
        <w:trPr>
          <w:jc w:val="center"/>
        </w:trPr>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CD6BFF5"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Day</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58F193C"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0.003</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DC7D6C1"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0.002</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686A0A6"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1.957</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5CDE7C9"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46.000</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4741B793"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0.056</w:t>
            </w:r>
          </w:p>
        </w:tc>
      </w:tr>
      <w:tr w:rsidR="00701612" w:rsidRPr="00701612" w14:paraId="31091984" w14:textId="77777777" w:rsidTr="00701612">
        <w:trPr>
          <w:jc w:val="center"/>
        </w:trPr>
        <w:tc>
          <w:tcPr>
            <w:tcW w:w="0" w:type="auto"/>
            <w:tcBorders>
              <w:bottom w:val="single" w:sz="12" w:space="0" w:color="auto"/>
            </w:tcBorders>
            <w:shd w:val="clear" w:color="auto" w:fill="FFFFFF"/>
            <w:tcMar>
              <w:top w:w="0" w:type="dxa"/>
              <w:left w:w="0" w:type="dxa"/>
              <w:bottom w:w="0" w:type="dxa"/>
              <w:right w:w="0" w:type="dxa"/>
            </w:tcMar>
            <w:vAlign w:val="center"/>
          </w:tcPr>
          <w:p w14:paraId="0BFBA63C" w14:textId="23798B36"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proofErr w:type="gramStart"/>
            <w:r w:rsidRPr="00701612">
              <w:rPr>
                <w:rFonts w:ascii="Times New Roman" w:eastAsia="Helvetica" w:hAnsi="Times New Roman" w:cs="Times New Roman"/>
                <w:color w:val="000000"/>
                <w:sz w:val="22"/>
                <w:szCs w:val="22"/>
              </w:rPr>
              <w:t>HW:Day</w:t>
            </w:r>
            <w:proofErr w:type="spellEnd"/>
            <w:proofErr w:type="gramEnd"/>
          </w:p>
        </w:tc>
        <w:tc>
          <w:tcPr>
            <w:tcW w:w="0" w:type="auto"/>
            <w:tcBorders>
              <w:bottom w:val="single" w:sz="12" w:space="0" w:color="auto"/>
            </w:tcBorders>
            <w:shd w:val="clear" w:color="auto" w:fill="FFFFFF"/>
            <w:tcMar>
              <w:top w:w="0" w:type="dxa"/>
              <w:left w:w="0" w:type="dxa"/>
              <w:bottom w:w="0" w:type="dxa"/>
              <w:right w:w="0" w:type="dxa"/>
            </w:tcMar>
            <w:vAlign w:val="center"/>
          </w:tcPr>
          <w:p w14:paraId="502501F8"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-0.007</w:t>
            </w:r>
          </w:p>
        </w:tc>
        <w:tc>
          <w:tcPr>
            <w:tcW w:w="0" w:type="auto"/>
            <w:tcBorders>
              <w:bottom w:val="single" w:sz="12" w:space="0" w:color="auto"/>
            </w:tcBorders>
            <w:shd w:val="clear" w:color="auto" w:fill="FFFFFF"/>
            <w:tcMar>
              <w:top w:w="0" w:type="dxa"/>
              <w:left w:w="0" w:type="dxa"/>
              <w:bottom w:w="0" w:type="dxa"/>
              <w:right w:w="0" w:type="dxa"/>
            </w:tcMar>
            <w:vAlign w:val="center"/>
          </w:tcPr>
          <w:p w14:paraId="36C96D72"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0.002</w:t>
            </w:r>
          </w:p>
        </w:tc>
        <w:tc>
          <w:tcPr>
            <w:tcW w:w="0" w:type="auto"/>
            <w:tcBorders>
              <w:bottom w:val="single" w:sz="12" w:space="0" w:color="auto"/>
            </w:tcBorders>
            <w:shd w:val="clear" w:color="auto" w:fill="FFFFFF"/>
            <w:tcMar>
              <w:top w:w="0" w:type="dxa"/>
              <w:left w:w="0" w:type="dxa"/>
              <w:bottom w:w="0" w:type="dxa"/>
              <w:right w:w="0" w:type="dxa"/>
            </w:tcMar>
            <w:vAlign w:val="center"/>
          </w:tcPr>
          <w:p w14:paraId="68788CE6"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-2.689</w:t>
            </w:r>
          </w:p>
        </w:tc>
        <w:tc>
          <w:tcPr>
            <w:tcW w:w="0" w:type="auto"/>
            <w:tcBorders>
              <w:bottom w:val="single" w:sz="12" w:space="0" w:color="auto"/>
            </w:tcBorders>
            <w:shd w:val="clear" w:color="auto" w:fill="FFFFFF"/>
            <w:tcMar>
              <w:top w:w="0" w:type="dxa"/>
              <w:left w:w="0" w:type="dxa"/>
              <w:bottom w:w="0" w:type="dxa"/>
              <w:right w:w="0" w:type="dxa"/>
            </w:tcMar>
            <w:vAlign w:val="center"/>
          </w:tcPr>
          <w:p w14:paraId="73C22F44"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46.000</w:t>
            </w:r>
          </w:p>
        </w:tc>
        <w:tc>
          <w:tcPr>
            <w:tcW w:w="0" w:type="auto"/>
            <w:tcBorders>
              <w:bottom w:val="single" w:sz="12" w:space="0" w:color="auto"/>
            </w:tcBorders>
            <w:shd w:val="clear" w:color="auto" w:fill="FFFFFF"/>
            <w:tcMar>
              <w:top w:w="0" w:type="dxa"/>
              <w:left w:w="0" w:type="dxa"/>
              <w:bottom w:w="0" w:type="dxa"/>
              <w:right w:w="0" w:type="dxa"/>
            </w:tcMar>
            <w:vAlign w:val="center"/>
          </w:tcPr>
          <w:p w14:paraId="7B9C2A20"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701612">
              <w:rPr>
                <w:rFonts w:ascii="Times New Roman" w:eastAsia="Helvetica" w:hAnsi="Times New Roman" w:cs="Times New Roman"/>
                <w:b/>
                <w:bCs/>
                <w:color w:val="000000"/>
                <w:sz w:val="22"/>
                <w:szCs w:val="22"/>
              </w:rPr>
              <w:t>0.010</w:t>
            </w:r>
          </w:p>
        </w:tc>
      </w:tr>
    </w:tbl>
    <w:p w14:paraId="1A3CCC37" w14:textId="77777777" w:rsidR="00701612" w:rsidRDefault="00701612" w:rsidP="000A1588">
      <w:pPr>
        <w:rPr>
          <w:rFonts w:ascii="Times New Roman" w:hAnsi="Times New Roman" w:cs="Times New Roman"/>
        </w:rPr>
      </w:pPr>
    </w:p>
    <w:p w14:paraId="45C5E0FB" w14:textId="77777777" w:rsidR="000C3BB4" w:rsidRDefault="000C3BB4" w:rsidP="000A1588">
      <w:pPr>
        <w:rPr>
          <w:rFonts w:ascii="Times New Roman" w:hAnsi="Times New Roman" w:cs="Times New Roman"/>
        </w:rPr>
      </w:pPr>
    </w:p>
    <w:p w14:paraId="73D445C6" w14:textId="77777777" w:rsidR="000A1588" w:rsidRDefault="000A1588" w:rsidP="000A1588">
      <w:pPr>
        <w:rPr>
          <w:rFonts w:ascii="Times New Roman" w:hAnsi="Times New Roman" w:cs="Times New Roman"/>
        </w:rPr>
      </w:pPr>
    </w:p>
    <w:p w14:paraId="5243E896" w14:textId="77777777" w:rsidR="000C3BB4" w:rsidRDefault="000C3BB4" w:rsidP="000A1588">
      <w:pPr>
        <w:rPr>
          <w:rFonts w:ascii="Times New Roman" w:hAnsi="Times New Roman" w:cs="Times New Roman"/>
        </w:rPr>
      </w:pPr>
    </w:p>
    <w:p w14:paraId="752B5B81" w14:textId="4D6A7705" w:rsidR="000C3BB4" w:rsidRDefault="000C3BB4" w:rsidP="000A1588">
      <w:pPr>
        <w:rPr>
          <w:rFonts w:ascii="Times New Roman" w:hAnsi="Times New Roman" w:cs="Times New Roman"/>
        </w:rPr>
      </w:pPr>
      <w:r>
        <w:rPr>
          <w:rFonts w:ascii="Times New Roman" w:hAnsi="Times New Roman" w:cs="Times New Roman"/>
        </w:rPr>
        <w:t xml:space="preserve">The post-hoc analysis </w:t>
      </w:r>
      <w:r w:rsidR="003B2EDE">
        <w:rPr>
          <w:rFonts w:ascii="Times New Roman" w:hAnsi="Times New Roman" w:cs="Times New Roman"/>
        </w:rPr>
        <w:t xml:space="preserve">showed </w:t>
      </w:r>
      <w:r>
        <w:rPr>
          <w:rFonts w:ascii="Times New Roman" w:hAnsi="Times New Roman" w:cs="Times New Roman"/>
        </w:rPr>
        <w:t>that there was a significant difference in DO between control mesocosms and mesocosms undergoing HWs from day 24 onward. After day 24, the DO concentration was always significantly lower in mesocosms experiencing the HWs (Table 2).</w:t>
      </w:r>
    </w:p>
    <w:p w14:paraId="20E86F91" w14:textId="77777777" w:rsidR="003B2EDE" w:rsidRDefault="003B2EDE" w:rsidP="000A1588">
      <w:pPr>
        <w:rPr>
          <w:rFonts w:ascii="Times New Roman" w:hAnsi="Times New Roman" w:cs="Times New Roman"/>
        </w:rPr>
      </w:pPr>
    </w:p>
    <w:tbl>
      <w:tblPr>
        <w:tblW w:w="5000" w:type="pct"/>
        <w:jc w:val="center"/>
        <w:tblLook w:val="0420" w:firstRow="1" w:lastRow="0" w:firstColumn="0" w:lastColumn="0" w:noHBand="0" w:noVBand="1"/>
      </w:tblPr>
      <w:tblGrid>
        <w:gridCol w:w="1815"/>
        <w:gridCol w:w="738"/>
        <w:gridCol w:w="1252"/>
        <w:gridCol w:w="886"/>
        <w:gridCol w:w="1027"/>
        <w:gridCol w:w="996"/>
        <w:gridCol w:w="1121"/>
        <w:gridCol w:w="1191"/>
      </w:tblGrid>
      <w:tr w:rsidR="00701612" w:rsidRPr="00701612" w14:paraId="2B84D30F" w14:textId="77777777" w:rsidTr="009B23FD">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42E329"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b/>
                <w:color w:val="000000"/>
                <w:kern w:val="0"/>
                <w:sz w:val="22"/>
                <w:szCs w:val="22"/>
                <w:lang w:val="en-US"/>
                <w14:ligatures w14:val="none"/>
              </w:rPr>
              <w:t>contrast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117583"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b/>
                <w:color w:val="000000"/>
                <w:kern w:val="0"/>
                <w:sz w:val="22"/>
                <w:szCs w:val="22"/>
                <w:lang w:val="en-US"/>
                <w14:ligatures w14:val="none"/>
              </w:rPr>
              <w:t>Day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D5DF5C"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b/>
                <w:color w:val="000000"/>
                <w:kern w:val="0"/>
                <w:sz w:val="22"/>
                <w:szCs w:val="22"/>
                <w:lang w:val="en-US"/>
                <w14:ligatures w14:val="none"/>
              </w:rPr>
              <w:t>estimate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E68BD0"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b/>
                <w:color w:val="000000"/>
                <w:kern w:val="0"/>
                <w:sz w:val="22"/>
                <w:szCs w:val="22"/>
                <w:lang w:val="en-US"/>
                <w14:ligatures w14:val="none"/>
              </w:rPr>
              <w:t>SE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8E77AA"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proofErr w:type="spellStart"/>
            <w:r w:rsidRPr="00701612">
              <w:rPr>
                <w:rFonts w:ascii="Times New Roman" w:eastAsia="Helvetica" w:hAnsi="Times New Roman" w:cs="Times New Roman"/>
                <w:b/>
                <w:color w:val="000000"/>
                <w:kern w:val="0"/>
                <w:sz w:val="22"/>
                <w:szCs w:val="22"/>
                <w:lang w:val="en-US"/>
                <w14:ligatures w14:val="none"/>
              </w:rPr>
              <w:t>df</w:t>
            </w:r>
            <w:proofErr w:type="spell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918B14"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proofErr w:type="spellStart"/>
            <w:proofErr w:type="gramStart"/>
            <w:r w:rsidRPr="00701612">
              <w:rPr>
                <w:rFonts w:ascii="Times New Roman" w:eastAsia="Helvetica" w:hAnsi="Times New Roman" w:cs="Times New Roman"/>
                <w:b/>
                <w:color w:val="000000"/>
                <w:kern w:val="0"/>
                <w:sz w:val="22"/>
                <w:szCs w:val="22"/>
                <w:lang w:val="en-US"/>
                <w14:ligatures w14:val="none"/>
              </w:rPr>
              <w:t>t.ratio</w:t>
            </w:r>
            <w:proofErr w:type="spellEnd"/>
            <w:proofErr w:type="gram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913B55"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proofErr w:type="spellStart"/>
            <w:r w:rsidRPr="00701612">
              <w:rPr>
                <w:rFonts w:ascii="Times New Roman" w:eastAsia="Helvetica" w:hAnsi="Times New Roman" w:cs="Times New Roman"/>
                <w:b/>
                <w:color w:val="000000"/>
                <w:kern w:val="0"/>
                <w:sz w:val="22"/>
                <w:szCs w:val="22"/>
                <w:lang w:val="en-US"/>
                <w14:ligatures w14:val="none"/>
              </w:rPr>
              <w:t>p.value</w:t>
            </w:r>
            <w:proofErr w:type="spell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9E0724"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proofErr w:type="spellStart"/>
            <w:r w:rsidRPr="00701612">
              <w:rPr>
                <w:rFonts w:ascii="Times New Roman" w:eastAsia="Helvetica" w:hAnsi="Times New Roman" w:cs="Times New Roman"/>
                <w:b/>
                <w:color w:val="000000"/>
                <w:kern w:val="0"/>
                <w:sz w:val="22"/>
                <w:szCs w:val="22"/>
                <w:lang w:val="en-US"/>
                <w14:ligatures w14:val="none"/>
              </w:rPr>
              <w:t>p_value</w:t>
            </w:r>
            <w:proofErr w:type="spellEnd"/>
          </w:p>
        </w:tc>
      </w:tr>
      <w:tr w:rsidR="00701612" w:rsidRPr="00701612" w14:paraId="56DE0DFE" w14:textId="77777777" w:rsidTr="009B23FD">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1BE44"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Control - HW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D0C0C"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3FDED"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-0.087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15791"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0.063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95A3A"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35.683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722FC"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-1.381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5F510"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0.176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746A6"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0.176</w:t>
            </w:r>
          </w:p>
        </w:tc>
      </w:tr>
      <w:tr w:rsidR="00701612" w:rsidRPr="00701612" w14:paraId="40AD23C4"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BB240"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20715"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6958E"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45C1F"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F150F"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19.228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7CDC5"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-0.802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DD8EF"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0.432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7FE8D"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0.432</w:t>
            </w:r>
          </w:p>
        </w:tc>
      </w:tr>
      <w:tr w:rsidR="00701612" w:rsidRPr="00701612" w14:paraId="4CB98E82"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1E70D"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9B72F"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581A1"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AEB8F"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BA045"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8.677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0504E"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0.182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5A6FE"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0.860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40BE8"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0.86</w:t>
            </w:r>
          </w:p>
        </w:tc>
      </w:tr>
      <w:tr w:rsidR="00701612" w:rsidRPr="00701612" w14:paraId="38B12028"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CF928"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lastRenderedPageBreak/>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F2488"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96DAA"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10122"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517D2"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6.142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F9C0B"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1.122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2459C"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0.304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55601"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0.304</w:t>
            </w:r>
          </w:p>
        </w:tc>
      </w:tr>
      <w:tr w:rsidR="00701612" w:rsidRPr="00701612" w14:paraId="62CAF82A"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B766B"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AE98B"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E714E"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0.101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DA830"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9EDD1"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9.486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51D21"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2.490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B4949"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76E9A" w14:textId="774161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bCs/>
                <w:kern w:val="0"/>
                <w:lang w:val="en-US"/>
                <w14:ligatures w14:val="none"/>
              </w:rPr>
            </w:pPr>
            <w:r w:rsidRPr="00701612">
              <w:rPr>
                <w:rFonts w:ascii="Times New Roman" w:eastAsia="Helvetica" w:hAnsi="Times New Roman" w:cs="Times New Roman"/>
                <w:b/>
                <w:bCs/>
                <w:color w:val="000000"/>
                <w:kern w:val="0"/>
                <w:sz w:val="22"/>
                <w:szCs w:val="22"/>
                <w:lang w:val="en-US"/>
                <w14:ligatures w14:val="none"/>
              </w:rPr>
              <w:t>0.033</w:t>
            </w:r>
          </w:p>
        </w:tc>
      </w:tr>
      <w:tr w:rsidR="00701612" w:rsidRPr="00701612" w14:paraId="75B80CED"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F4498"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Control - 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72CD2"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F5791"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0.142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F495E"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E6002"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18.925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603CB"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2.869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C5F22"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A73C4" w14:textId="6D81D69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bCs/>
                <w:kern w:val="0"/>
                <w:lang w:val="en-US"/>
                <w14:ligatures w14:val="none"/>
              </w:rPr>
            </w:pPr>
            <w:r w:rsidRPr="00701612">
              <w:rPr>
                <w:rFonts w:ascii="Times New Roman" w:eastAsia="Helvetica" w:hAnsi="Times New Roman" w:cs="Times New Roman"/>
                <w:b/>
                <w:bCs/>
                <w:color w:val="000000"/>
                <w:kern w:val="0"/>
                <w:sz w:val="22"/>
                <w:szCs w:val="22"/>
                <w:lang w:val="en-US"/>
                <w14:ligatures w14:val="none"/>
              </w:rPr>
              <w:t>0.01</w:t>
            </w:r>
            <w:r>
              <w:rPr>
                <w:rFonts w:ascii="Times New Roman" w:eastAsia="Helvetica" w:hAnsi="Times New Roman" w:cs="Times New Roman"/>
                <w:b/>
                <w:bCs/>
                <w:color w:val="000000"/>
                <w:kern w:val="0"/>
                <w:sz w:val="22"/>
                <w:szCs w:val="22"/>
                <w:lang w:val="en-US"/>
                <w14:ligatures w14:val="none"/>
              </w:rPr>
              <w:t>0</w:t>
            </w:r>
          </w:p>
        </w:tc>
      </w:tr>
      <w:tr w:rsidR="00701612" w:rsidRPr="00701612" w14:paraId="5EE2C63E" w14:textId="77777777" w:rsidTr="009B23FD">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D4E180"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Control - HW</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DBB9A6"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38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6E0075"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0.195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143264"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DDEE68"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37.548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1001F1"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3.023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27659F" w14:textId="77777777"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kern w:val="0"/>
                <w:lang w:val="en-US"/>
                <w14:ligatures w14:val="none"/>
              </w:rPr>
            </w:pPr>
            <w:r w:rsidRPr="00701612">
              <w:rPr>
                <w:rFonts w:ascii="Times New Roman" w:eastAsia="Helvetica" w:hAnsi="Times New Roman" w:cs="Times New Roman"/>
                <w:color w:val="000000"/>
                <w:kern w:val="0"/>
                <w:sz w:val="22"/>
                <w:szCs w:val="22"/>
                <w:lang w:val="en-US"/>
                <w14:ligatures w14:val="none"/>
              </w:rPr>
              <w:t>0.004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727441" w14:textId="2F125634" w:rsidR="00701612" w:rsidRPr="00701612" w:rsidRDefault="00701612" w:rsidP="0070161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Times New Roman" w:hAnsi="Times New Roman" w:cs="Times New Roman"/>
                <w:b/>
                <w:bCs/>
                <w:kern w:val="0"/>
                <w:lang w:val="en-US"/>
                <w14:ligatures w14:val="none"/>
              </w:rPr>
            </w:pPr>
            <w:r w:rsidRPr="00701612">
              <w:rPr>
                <w:rFonts w:ascii="Times New Roman" w:eastAsia="Helvetica" w:hAnsi="Times New Roman" w:cs="Times New Roman"/>
                <w:b/>
                <w:bCs/>
                <w:color w:val="000000"/>
                <w:kern w:val="0"/>
                <w:sz w:val="22"/>
                <w:szCs w:val="22"/>
                <w:lang w:val="en-US"/>
                <w14:ligatures w14:val="none"/>
              </w:rPr>
              <w:t>0.004</w:t>
            </w:r>
          </w:p>
        </w:tc>
      </w:tr>
    </w:tbl>
    <w:p w14:paraId="14B45ECB" w14:textId="77777777" w:rsidR="00701612" w:rsidRDefault="00701612" w:rsidP="000A1588">
      <w:pPr>
        <w:rPr>
          <w:rFonts w:ascii="Times New Roman" w:hAnsi="Times New Roman" w:cs="Times New Roman"/>
        </w:rPr>
      </w:pPr>
    </w:p>
    <w:p w14:paraId="5342323F" w14:textId="77777777" w:rsidR="000C3BB4" w:rsidRDefault="000C3BB4" w:rsidP="00D94652"/>
    <w:p w14:paraId="4D68B202" w14:textId="1BC2B14F" w:rsidR="000C3BB4" w:rsidRDefault="000C3BB4" w:rsidP="00D94652">
      <w:pPr>
        <w:rPr>
          <w:rFonts w:ascii="Times New Roman" w:hAnsi="Times New Roman" w:cs="Times New Roman"/>
        </w:rPr>
      </w:pPr>
      <w:r w:rsidRPr="000C3BB4">
        <w:rPr>
          <w:rFonts w:ascii="Times New Roman" w:hAnsi="Times New Roman" w:cs="Times New Roman"/>
        </w:rPr>
        <w:t xml:space="preserve">Chlorophyll - </w:t>
      </w:r>
      <w:r w:rsidRPr="000C3BB4">
        <w:rPr>
          <w:rFonts w:ascii="Times New Roman" w:hAnsi="Times New Roman" w:cs="Times New Roman"/>
          <w:i/>
          <w:iCs/>
        </w:rPr>
        <w:t>a</w:t>
      </w:r>
      <w:r w:rsidRPr="000C3BB4">
        <w:rPr>
          <w:rFonts w:ascii="Times New Roman" w:hAnsi="Times New Roman" w:cs="Times New Roman"/>
        </w:rPr>
        <w:t xml:space="preserve"> </w:t>
      </w:r>
      <w:r w:rsidR="00F74060">
        <w:rPr>
          <w:rFonts w:ascii="Times New Roman" w:hAnsi="Times New Roman" w:cs="Times New Roman"/>
        </w:rPr>
        <w:t>showed a slight decline and relative slight recovery after the first two HWs. Though, after the third HW, c</w:t>
      </w:r>
      <w:r w:rsidR="00F74060" w:rsidRPr="000C3BB4">
        <w:rPr>
          <w:rFonts w:ascii="Times New Roman" w:hAnsi="Times New Roman" w:cs="Times New Roman"/>
        </w:rPr>
        <w:t xml:space="preserve">hlorophyll </w:t>
      </w:r>
      <w:r w:rsidR="00F74060">
        <w:rPr>
          <w:rFonts w:ascii="Times New Roman" w:hAnsi="Times New Roman" w:cs="Times New Roman"/>
        </w:rPr>
        <w:t>–</w:t>
      </w:r>
      <w:r w:rsidR="00F74060" w:rsidRPr="000C3BB4">
        <w:rPr>
          <w:rFonts w:ascii="Times New Roman" w:hAnsi="Times New Roman" w:cs="Times New Roman"/>
        </w:rPr>
        <w:t xml:space="preserve"> </w:t>
      </w:r>
      <w:r w:rsidR="00F74060" w:rsidRPr="000C3BB4">
        <w:rPr>
          <w:rFonts w:ascii="Times New Roman" w:hAnsi="Times New Roman" w:cs="Times New Roman"/>
          <w:i/>
          <w:iCs/>
        </w:rPr>
        <w:t>a</w:t>
      </w:r>
      <w:r w:rsidR="00F74060">
        <w:rPr>
          <w:rFonts w:ascii="Times New Roman" w:hAnsi="Times New Roman" w:cs="Times New Roman"/>
          <w:i/>
          <w:iCs/>
        </w:rPr>
        <w:t xml:space="preserve"> </w:t>
      </w:r>
      <w:r w:rsidR="00F74060">
        <w:rPr>
          <w:rFonts w:ascii="Times New Roman" w:hAnsi="Times New Roman" w:cs="Times New Roman"/>
        </w:rPr>
        <w:t xml:space="preserve">concentration abruptly declined in mesocosms experiencing the HWs compared to control levels (Fig. 3). </w:t>
      </w:r>
    </w:p>
    <w:p w14:paraId="2826DE65" w14:textId="03815279" w:rsidR="00701612" w:rsidRDefault="00F74060" w:rsidP="003B2EDE">
      <w:pPr>
        <w:rPr>
          <w:rFonts w:ascii="Times New Roman" w:hAnsi="Times New Roman" w:cs="Times New Roman"/>
        </w:rPr>
      </w:pPr>
      <w:r>
        <w:rPr>
          <w:rFonts w:ascii="Times New Roman" w:hAnsi="Times New Roman" w:cs="Times New Roman"/>
        </w:rPr>
        <w:t xml:space="preserve">The LMM analysis showed that the HW treatment had a significant effect on chlorophyll- a concentration (Table 3). </w:t>
      </w:r>
    </w:p>
    <w:p w14:paraId="3C2EE2B1" w14:textId="77777777" w:rsidR="003B2EDE" w:rsidRDefault="003B2EDE" w:rsidP="003B2EDE">
      <w:pPr>
        <w:rPr>
          <w:rFonts w:ascii="Times New Roman" w:hAnsi="Times New Roman" w:cs="Times New Roman"/>
        </w:rPr>
      </w:pPr>
    </w:p>
    <w:p w14:paraId="34EDDE1F" w14:textId="6E791958" w:rsidR="00722898" w:rsidRDefault="00722898" w:rsidP="003B2EDE">
      <w:pPr>
        <w:rPr>
          <w:rFonts w:ascii="Times New Roman" w:hAnsi="Times New Roman" w:cs="Times New Roman"/>
        </w:rPr>
      </w:pPr>
      <w:r>
        <w:rPr>
          <w:rFonts w:ascii="Times New Roman" w:hAnsi="Times New Roman" w:cs="Times New Roman"/>
          <w:noProof/>
        </w:rPr>
        <w:drawing>
          <wp:inline distT="0" distB="0" distL="0" distR="0" wp14:anchorId="36CE4386" wp14:editId="29F051DD">
            <wp:extent cx="5731510" cy="3439160"/>
            <wp:effectExtent l="0" t="0" r="0" b="2540"/>
            <wp:docPr id="1258863551" name="Picture 8" descr="A graph showing the growth of a number of day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63551" name="Picture 8" descr="A graph showing the growth of a number of day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56486F9E" w14:textId="77777777" w:rsidR="00722898" w:rsidRDefault="00722898" w:rsidP="003B2EDE">
      <w:pPr>
        <w:rPr>
          <w:rFonts w:ascii="Times New Roman" w:hAnsi="Times New Roman" w:cs="Times New Roman"/>
        </w:rPr>
      </w:pPr>
    </w:p>
    <w:p w14:paraId="6E789439" w14:textId="77777777" w:rsidR="00722898" w:rsidRPr="003B2EDE" w:rsidRDefault="00722898" w:rsidP="003B2EDE">
      <w:pPr>
        <w:rPr>
          <w:rFonts w:ascii="Times New Roman" w:hAnsi="Times New Roman" w:cs="Times New Roman"/>
        </w:rPr>
      </w:pPr>
    </w:p>
    <w:tbl>
      <w:tblPr>
        <w:tblW w:w="4077" w:type="pct"/>
        <w:jc w:val="center"/>
        <w:tblLook w:val="0420" w:firstRow="1" w:lastRow="0" w:firstColumn="0" w:lastColumn="0" w:noHBand="0" w:noVBand="1"/>
      </w:tblPr>
      <w:tblGrid>
        <w:gridCol w:w="1446"/>
        <w:gridCol w:w="1257"/>
        <w:gridCol w:w="1322"/>
        <w:gridCol w:w="1179"/>
        <w:gridCol w:w="1031"/>
        <w:gridCol w:w="1125"/>
      </w:tblGrid>
      <w:tr w:rsidR="00701612" w:rsidRPr="00701612" w14:paraId="4011DD13" w14:textId="77777777" w:rsidTr="00701612">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00967E"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b/>
                <w:color w:val="000000"/>
                <w:sz w:val="22"/>
                <w:szCs w:val="22"/>
              </w:rPr>
              <w:t>term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9A108D"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b/>
                <w:color w:val="000000"/>
                <w:sz w:val="22"/>
                <w:szCs w:val="22"/>
              </w:rPr>
              <w:t>estimate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79D495"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proofErr w:type="gramStart"/>
            <w:r w:rsidRPr="00701612">
              <w:rPr>
                <w:rFonts w:ascii="Times New Roman" w:eastAsia="Helvetica" w:hAnsi="Times New Roman" w:cs="Times New Roman"/>
                <w:b/>
                <w:color w:val="000000"/>
                <w:sz w:val="22"/>
                <w:szCs w:val="22"/>
              </w:rPr>
              <w:t>std.error</w:t>
            </w:r>
            <w:proofErr w:type="spellEnd"/>
            <w:proofErr w:type="gram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DD1D24"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b/>
                <w:color w:val="000000"/>
                <w:sz w:val="22"/>
                <w:szCs w:val="22"/>
              </w:rPr>
              <w:t>statistic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B3ACB8"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701612">
              <w:rPr>
                <w:rFonts w:ascii="Times New Roman" w:eastAsia="Helvetica" w:hAnsi="Times New Roman" w:cs="Times New Roman"/>
                <w:b/>
                <w:color w:val="000000"/>
                <w:sz w:val="22"/>
                <w:szCs w:val="22"/>
              </w:rPr>
              <w:t>df</w:t>
            </w:r>
            <w:proofErr w:type="spell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F5E2FD"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701612">
              <w:rPr>
                <w:rFonts w:ascii="Times New Roman" w:eastAsia="Helvetica" w:hAnsi="Times New Roman" w:cs="Times New Roman"/>
                <w:b/>
                <w:color w:val="000000"/>
                <w:sz w:val="22"/>
                <w:szCs w:val="22"/>
              </w:rPr>
              <w:t>p.value</w:t>
            </w:r>
            <w:proofErr w:type="spellEnd"/>
          </w:p>
        </w:tc>
      </w:tr>
      <w:tr w:rsidR="00701612" w:rsidRPr="00701612" w14:paraId="6A53BB59" w14:textId="77777777" w:rsidTr="00701612">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5BE87"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(Intercept)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B0620"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0.657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6E599"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0.214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2EEAE"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3.071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B69B9"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25.799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38FE3"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0.005</w:t>
            </w:r>
          </w:p>
        </w:tc>
      </w:tr>
      <w:tr w:rsidR="00701612" w:rsidRPr="00701612" w14:paraId="299AD078" w14:textId="77777777" w:rsidTr="0070161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776B6" w14:textId="22DB32BD"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HW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21243"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-0.650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36EA2"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0.303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7EB9C"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-2.148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68056"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25.799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633B7"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701612">
              <w:rPr>
                <w:rFonts w:ascii="Times New Roman" w:eastAsia="Helvetica" w:hAnsi="Times New Roman" w:cs="Times New Roman"/>
                <w:b/>
                <w:bCs/>
                <w:color w:val="000000"/>
                <w:sz w:val="22"/>
                <w:szCs w:val="22"/>
              </w:rPr>
              <w:t>0.041</w:t>
            </w:r>
          </w:p>
        </w:tc>
      </w:tr>
      <w:tr w:rsidR="00701612" w:rsidRPr="00701612" w14:paraId="5CB2D1AE" w14:textId="77777777" w:rsidTr="00701612">
        <w:trPr>
          <w:jc w:val="center"/>
        </w:trPr>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3B676B8"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Day</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9F54223"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0.011</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0F73BFD"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0.010</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7C53BBE"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1.108</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491B1E8"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46.000</w:t>
            </w:r>
          </w:p>
        </w:tc>
        <w:tc>
          <w:tcPr>
            <w:tcW w:w="0" w:type="auto"/>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462C882"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0.274</w:t>
            </w:r>
          </w:p>
        </w:tc>
      </w:tr>
      <w:tr w:rsidR="00701612" w:rsidRPr="00701612" w14:paraId="5B87C99E" w14:textId="77777777" w:rsidTr="00701612">
        <w:trPr>
          <w:jc w:val="center"/>
        </w:trPr>
        <w:tc>
          <w:tcPr>
            <w:tcW w:w="0" w:type="auto"/>
            <w:tcBorders>
              <w:bottom w:val="single" w:sz="12" w:space="0" w:color="auto"/>
            </w:tcBorders>
            <w:shd w:val="clear" w:color="auto" w:fill="FFFFFF"/>
            <w:tcMar>
              <w:top w:w="0" w:type="dxa"/>
              <w:left w:w="0" w:type="dxa"/>
              <w:bottom w:w="0" w:type="dxa"/>
              <w:right w:w="0" w:type="dxa"/>
            </w:tcMar>
            <w:vAlign w:val="center"/>
          </w:tcPr>
          <w:p w14:paraId="66CB0F87" w14:textId="4E364304"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proofErr w:type="gramStart"/>
            <w:r w:rsidRPr="00701612">
              <w:rPr>
                <w:rFonts w:ascii="Times New Roman" w:eastAsia="Helvetica" w:hAnsi="Times New Roman" w:cs="Times New Roman"/>
                <w:color w:val="000000"/>
                <w:sz w:val="22"/>
                <w:szCs w:val="22"/>
              </w:rPr>
              <w:t>HW:Day</w:t>
            </w:r>
            <w:proofErr w:type="spellEnd"/>
            <w:proofErr w:type="gramEnd"/>
          </w:p>
        </w:tc>
        <w:tc>
          <w:tcPr>
            <w:tcW w:w="0" w:type="auto"/>
            <w:tcBorders>
              <w:bottom w:val="single" w:sz="12" w:space="0" w:color="auto"/>
            </w:tcBorders>
            <w:shd w:val="clear" w:color="auto" w:fill="FFFFFF"/>
            <w:tcMar>
              <w:top w:w="0" w:type="dxa"/>
              <w:left w:w="0" w:type="dxa"/>
              <w:bottom w:w="0" w:type="dxa"/>
              <w:right w:w="0" w:type="dxa"/>
            </w:tcMar>
            <w:vAlign w:val="center"/>
          </w:tcPr>
          <w:p w14:paraId="171FA602"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-0.020</w:t>
            </w:r>
          </w:p>
        </w:tc>
        <w:tc>
          <w:tcPr>
            <w:tcW w:w="0" w:type="auto"/>
            <w:tcBorders>
              <w:bottom w:val="single" w:sz="12" w:space="0" w:color="auto"/>
            </w:tcBorders>
            <w:shd w:val="clear" w:color="auto" w:fill="FFFFFF"/>
            <w:tcMar>
              <w:top w:w="0" w:type="dxa"/>
              <w:left w:w="0" w:type="dxa"/>
              <w:bottom w:w="0" w:type="dxa"/>
              <w:right w:w="0" w:type="dxa"/>
            </w:tcMar>
            <w:vAlign w:val="center"/>
          </w:tcPr>
          <w:p w14:paraId="343046C9"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0.014</w:t>
            </w:r>
          </w:p>
        </w:tc>
        <w:tc>
          <w:tcPr>
            <w:tcW w:w="0" w:type="auto"/>
            <w:tcBorders>
              <w:bottom w:val="single" w:sz="12" w:space="0" w:color="auto"/>
            </w:tcBorders>
            <w:shd w:val="clear" w:color="auto" w:fill="FFFFFF"/>
            <w:tcMar>
              <w:top w:w="0" w:type="dxa"/>
              <w:left w:w="0" w:type="dxa"/>
              <w:bottom w:w="0" w:type="dxa"/>
              <w:right w:w="0" w:type="dxa"/>
            </w:tcMar>
            <w:vAlign w:val="center"/>
          </w:tcPr>
          <w:p w14:paraId="3B185F5E"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-1.440</w:t>
            </w:r>
          </w:p>
        </w:tc>
        <w:tc>
          <w:tcPr>
            <w:tcW w:w="0" w:type="auto"/>
            <w:tcBorders>
              <w:bottom w:val="single" w:sz="12" w:space="0" w:color="auto"/>
            </w:tcBorders>
            <w:shd w:val="clear" w:color="auto" w:fill="FFFFFF"/>
            <w:tcMar>
              <w:top w:w="0" w:type="dxa"/>
              <w:left w:w="0" w:type="dxa"/>
              <w:bottom w:w="0" w:type="dxa"/>
              <w:right w:w="0" w:type="dxa"/>
            </w:tcMar>
            <w:vAlign w:val="center"/>
          </w:tcPr>
          <w:p w14:paraId="310F6487"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46.000</w:t>
            </w:r>
          </w:p>
        </w:tc>
        <w:tc>
          <w:tcPr>
            <w:tcW w:w="0" w:type="auto"/>
            <w:tcBorders>
              <w:bottom w:val="single" w:sz="12" w:space="0" w:color="auto"/>
            </w:tcBorders>
            <w:shd w:val="clear" w:color="auto" w:fill="FFFFFF"/>
            <w:tcMar>
              <w:top w:w="0" w:type="dxa"/>
              <w:left w:w="0" w:type="dxa"/>
              <w:bottom w:w="0" w:type="dxa"/>
              <w:right w:w="0" w:type="dxa"/>
            </w:tcMar>
            <w:vAlign w:val="center"/>
          </w:tcPr>
          <w:p w14:paraId="36905E8B" w14:textId="77777777" w:rsidR="00701612" w:rsidRPr="00701612" w:rsidRDefault="00701612"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01612">
              <w:rPr>
                <w:rFonts w:ascii="Times New Roman" w:eastAsia="Helvetica" w:hAnsi="Times New Roman" w:cs="Times New Roman"/>
                <w:color w:val="000000"/>
                <w:sz w:val="22"/>
                <w:szCs w:val="22"/>
              </w:rPr>
              <w:t>0.157</w:t>
            </w:r>
          </w:p>
        </w:tc>
      </w:tr>
    </w:tbl>
    <w:p w14:paraId="190651F0" w14:textId="77777777" w:rsidR="005B1E26" w:rsidRDefault="005B1E26" w:rsidP="000C3BB4"/>
    <w:p w14:paraId="77A11A96" w14:textId="77777777" w:rsidR="005B1E26" w:rsidRDefault="005B1E26" w:rsidP="000C3BB4"/>
    <w:p w14:paraId="7A08F0D6" w14:textId="77777777" w:rsidR="00F74060" w:rsidRDefault="00F74060" w:rsidP="000C3BB4"/>
    <w:p w14:paraId="51116DC3" w14:textId="265E9ECE" w:rsidR="00F74060" w:rsidRPr="00F74060" w:rsidRDefault="00F74060" w:rsidP="000C3BB4">
      <w:pPr>
        <w:rPr>
          <w:rFonts w:ascii="Times New Roman" w:hAnsi="Times New Roman" w:cs="Times New Roman"/>
        </w:rPr>
      </w:pPr>
      <w:r>
        <w:rPr>
          <w:rFonts w:ascii="Times New Roman" w:hAnsi="Times New Roman" w:cs="Times New Roman"/>
        </w:rPr>
        <w:lastRenderedPageBreak/>
        <w:t xml:space="preserve">The relative biomass of different </w:t>
      </w:r>
      <w:r w:rsidR="001A0B2B">
        <w:rPr>
          <w:rFonts w:ascii="Times New Roman" w:hAnsi="Times New Roman" w:cs="Times New Roman"/>
        </w:rPr>
        <w:t xml:space="preserve">phytoplankton groups in mesocosms undergoing the HWs treatment showed a gradual turnover across the </w:t>
      </w:r>
      <w:proofErr w:type="gramStart"/>
      <w:r w:rsidR="001A0B2B">
        <w:rPr>
          <w:rFonts w:ascii="Times New Roman" w:hAnsi="Times New Roman" w:cs="Times New Roman"/>
        </w:rPr>
        <w:t>experiment, and</w:t>
      </w:r>
      <w:proofErr w:type="gramEnd"/>
      <w:r w:rsidR="001A0B2B">
        <w:rPr>
          <w:rFonts w:ascii="Times New Roman" w:hAnsi="Times New Roman" w:cs="Times New Roman"/>
        </w:rPr>
        <w:t xml:space="preserve"> became gradually more and more dissimilar to control mesocosms (Fig. 4). The increased compositional dissimilarity was confirmed by the PERMANOVA analysis, which highlighted significantly different compositions between control and HW mesocosms on day 10, 30, and 38 (Table 5).</w:t>
      </w:r>
    </w:p>
    <w:p w14:paraId="24A11A38" w14:textId="711D13F3" w:rsidR="00F74060" w:rsidRDefault="00F217DD" w:rsidP="000C3BB4">
      <w:r>
        <w:rPr>
          <w:noProof/>
        </w:rPr>
        <w:drawing>
          <wp:inline distT="0" distB="0" distL="0" distR="0" wp14:anchorId="03933DB4" wp14:editId="4CBCE71E">
            <wp:extent cx="5731510" cy="2750820"/>
            <wp:effectExtent l="0" t="0" r="0" b="5080"/>
            <wp:docPr id="41615581" name="Picture 7" descr="A chart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5581" name="Picture 7" descr="A chart of different color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50820"/>
                    </a:xfrm>
                    <a:prstGeom prst="rect">
                      <a:avLst/>
                    </a:prstGeom>
                  </pic:spPr>
                </pic:pic>
              </a:graphicData>
            </a:graphic>
          </wp:inline>
        </w:drawing>
      </w:r>
    </w:p>
    <w:p w14:paraId="18DF8FEE" w14:textId="77777777" w:rsidR="001A0B2B" w:rsidRDefault="001A0B2B" w:rsidP="000C3BB4"/>
    <w:p w14:paraId="08FDF8EB" w14:textId="77777777" w:rsidR="001A0B2B" w:rsidRDefault="001A0B2B" w:rsidP="000C3BB4"/>
    <w:p w14:paraId="326ED25F" w14:textId="77777777" w:rsidR="001A0B2B" w:rsidRDefault="001A0B2B" w:rsidP="000C3BB4"/>
    <w:tbl>
      <w:tblPr>
        <w:tblW w:w="5000" w:type="pct"/>
        <w:jc w:val="center"/>
        <w:tblLook w:val="0420" w:firstRow="1" w:lastRow="0" w:firstColumn="0" w:lastColumn="0" w:noHBand="0" w:noVBand="1"/>
      </w:tblPr>
      <w:tblGrid>
        <w:gridCol w:w="1800"/>
        <w:gridCol w:w="2161"/>
        <w:gridCol w:w="2161"/>
        <w:gridCol w:w="2904"/>
      </w:tblGrid>
      <w:tr w:rsidR="001A0B2B" w:rsidRPr="001A0B2B" w14:paraId="37B1CBAE" w14:textId="77777777" w:rsidTr="009B23FD">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D1A3A0"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b/>
                <w:color w:val="000000"/>
                <w:sz w:val="22"/>
                <w:szCs w:val="22"/>
              </w:rPr>
              <w:t>Day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7F1741"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b/>
                <w:color w:val="000000"/>
                <w:sz w:val="22"/>
                <w:szCs w:val="22"/>
              </w:rPr>
              <w:t>F</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ABE231"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b/>
                <w:color w:val="000000"/>
                <w:sz w:val="22"/>
                <w:szCs w:val="22"/>
              </w:rPr>
              <w:t>R2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1159E0"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roofErr w:type="spellStart"/>
            <w:r w:rsidRPr="001A0B2B">
              <w:rPr>
                <w:rFonts w:ascii="Times New Roman" w:eastAsia="Helvetica" w:hAnsi="Times New Roman" w:cs="Times New Roman"/>
                <w:b/>
                <w:color w:val="000000"/>
                <w:sz w:val="22"/>
                <w:szCs w:val="22"/>
              </w:rPr>
              <w:t>p_value</w:t>
            </w:r>
            <w:proofErr w:type="spellEnd"/>
          </w:p>
        </w:tc>
      </w:tr>
      <w:tr w:rsidR="001A0B2B" w:rsidRPr="001A0B2B" w14:paraId="5793489B" w14:textId="77777777" w:rsidTr="009B23FD">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F9BDE"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B5C55"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0.891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1E3B3"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0.129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9140E"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0.367</w:t>
            </w:r>
          </w:p>
        </w:tc>
      </w:tr>
      <w:tr w:rsidR="001A0B2B" w:rsidRPr="001A0B2B" w14:paraId="4D578869"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55540" w14:textId="510AC8ED" w:rsidR="001A0B2B" w:rsidRPr="001A0B2B" w:rsidRDefault="006B305E"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44428"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3.008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76614"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0.334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40C46"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0.067</w:t>
            </w:r>
          </w:p>
        </w:tc>
      </w:tr>
      <w:tr w:rsidR="001A0B2B" w:rsidRPr="001A0B2B" w14:paraId="6D205EB9"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8F9B7"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0BC99"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3.127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FE842"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0.343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E3268" w14:textId="6594CDCA"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b/>
                <w:bCs/>
                <w:color w:val="000000"/>
                <w:sz w:val="22"/>
                <w:szCs w:val="22"/>
              </w:rPr>
              <w:t>0.027</w:t>
            </w:r>
          </w:p>
        </w:tc>
      </w:tr>
      <w:tr w:rsidR="001A0B2B" w:rsidRPr="001A0B2B" w14:paraId="4DAFABAC"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EE017"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77E0A"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1.698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B1B80"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0.221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ADD7C"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0.129</w:t>
            </w:r>
          </w:p>
        </w:tc>
      </w:tr>
      <w:tr w:rsidR="001A0B2B" w:rsidRPr="001A0B2B" w14:paraId="5A442C47"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9C637"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618EC"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0.737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719FC"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0.109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CA2F3"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0.691</w:t>
            </w:r>
          </w:p>
        </w:tc>
      </w:tr>
      <w:tr w:rsidR="001A0B2B" w:rsidRPr="001A0B2B" w14:paraId="7E70240A" w14:textId="77777777" w:rsidTr="009B23F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37E22"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A85C3"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3.065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A7881"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0.338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DF801" w14:textId="5988AD8E"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1A0B2B">
              <w:rPr>
                <w:rFonts w:ascii="Times New Roman" w:eastAsia="Helvetica" w:hAnsi="Times New Roman" w:cs="Times New Roman"/>
                <w:b/>
                <w:bCs/>
                <w:color w:val="000000"/>
                <w:sz w:val="22"/>
                <w:szCs w:val="22"/>
              </w:rPr>
              <w:t>0.032</w:t>
            </w:r>
          </w:p>
        </w:tc>
      </w:tr>
      <w:tr w:rsidR="001A0B2B" w:rsidRPr="001A0B2B" w14:paraId="1363981B" w14:textId="77777777" w:rsidTr="009B23FD">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238021"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38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F74C6C"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2.429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3BD4A7" w14:textId="77777777"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1A0B2B">
              <w:rPr>
                <w:rFonts w:ascii="Times New Roman" w:eastAsia="Helvetica" w:hAnsi="Times New Roman" w:cs="Times New Roman"/>
                <w:color w:val="000000"/>
                <w:sz w:val="22"/>
                <w:szCs w:val="22"/>
              </w:rPr>
              <w:t>0.288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59E99B" w14:textId="024775FE" w:rsidR="001A0B2B" w:rsidRPr="001A0B2B" w:rsidRDefault="001A0B2B" w:rsidP="009B23FD">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1A0B2B">
              <w:rPr>
                <w:rFonts w:ascii="Times New Roman" w:eastAsia="Helvetica" w:hAnsi="Times New Roman" w:cs="Times New Roman"/>
                <w:b/>
                <w:bCs/>
                <w:color w:val="000000"/>
                <w:sz w:val="22"/>
                <w:szCs w:val="22"/>
              </w:rPr>
              <w:t>0.026</w:t>
            </w:r>
          </w:p>
        </w:tc>
      </w:tr>
    </w:tbl>
    <w:p w14:paraId="62EA9136" w14:textId="77777777" w:rsidR="001A0B2B" w:rsidRPr="000C3BB4" w:rsidRDefault="001A0B2B" w:rsidP="000C3BB4"/>
    <w:p w14:paraId="0447363A" w14:textId="05906280" w:rsidR="00731629" w:rsidRDefault="0070095B" w:rsidP="00DC19C3">
      <w:pPr>
        <w:pStyle w:val="Heading1"/>
      </w:pPr>
      <w:r>
        <w:t>Refe</w:t>
      </w:r>
      <w:r w:rsidR="00DC19C3">
        <w:t xml:space="preserve">rences </w:t>
      </w:r>
    </w:p>
    <w:p w14:paraId="5A416210" w14:textId="77777777" w:rsidR="005F6ADC" w:rsidRPr="005F6ADC" w:rsidRDefault="00731629" w:rsidP="005F6ADC">
      <w:pPr>
        <w:pStyle w:val="Bibliography"/>
        <w:rPr>
          <w:rFonts w:ascii="Times New Roman" w:hAnsi="Times New Roman" w:cs="Times New Roman"/>
        </w:rPr>
      </w:pPr>
      <w:r>
        <w:fldChar w:fldCharType="begin"/>
      </w:r>
      <w:r w:rsidRPr="005F6ADC">
        <w:rPr>
          <w:lang w:val="en-US"/>
        </w:rPr>
        <w:instrText xml:space="preserve"> ADDIN ZOTERO_BIBL {"uncited":[],"omitted":[],"custom":[]} CSL_BIBLIOGRAPHY </w:instrText>
      </w:r>
      <w:r>
        <w:fldChar w:fldCharType="separate"/>
      </w:r>
      <w:r w:rsidR="005F6ADC" w:rsidRPr="005F6ADC">
        <w:rPr>
          <w:rFonts w:ascii="Times New Roman" w:hAnsi="Times New Roman" w:cs="Times New Roman"/>
        </w:rPr>
        <w:t xml:space="preserve">Bates, D., </w:t>
      </w:r>
      <w:proofErr w:type="spellStart"/>
      <w:r w:rsidR="005F6ADC" w:rsidRPr="005F6ADC">
        <w:rPr>
          <w:rFonts w:ascii="Times New Roman" w:hAnsi="Times New Roman" w:cs="Times New Roman"/>
        </w:rPr>
        <w:t>Mächler</w:t>
      </w:r>
      <w:proofErr w:type="spellEnd"/>
      <w:r w:rsidR="005F6ADC" w:rsidRPr="005F6ADC">
        <w:rPr>
          <w:rFonts w:ascii="Times New Roman" w:hAnsi="Times New Roman" w:cs="Times New Roman"/>
        </w:rPr>
        <w:t xml:space="preserve">, M., </w:t>
      </w:r>
      <w:proofErr w:type="spellStart"/>
      <w:r w:rsidR="005F6ADC" w:rsidRPr="005F6ADC">
        <w:rPr>
          <w:rFonts w:ascii="Times New Roman" w:hAnsi="Times New Roman" w:cs="Times New Roman"/>
        </w:rPr>
        <w:t>Bolker</w:t>
      </w:r>
      <w:proofErr w:type="spellEnd"/>
      <w:r w:rsidR="005F6ADC" w:rsidRPr="005F6ADC">
        <w:rPr>
          <w:rFonts w:ascii="Times New Roman" w:hAnsi="Times New Roman" w:cs="Times New Roman"/>
        </w:rPr>
        <w:t xml:space="preserve">, B.M. &amp; Walker, S.C. (2015). Fitting linear mixed-effects models using lme4. </w:t>
      </w:r>
      <w:r w:rsidR="005F6ADC" w:rsidRPr="005F6ADC">
        <w:rPr>
          <w:rFonts w:ascii="Times New Roman" w:hAnsi="Times New Roman" w:cs="Times New Roman"/>
          <w:i/>
          <w:iCs/>
        </w:rPr>
        <w:t>Journal of Statistical Software</w:t>
      </w:r>
      <w:r w:rsidR="005F6ADC" w:rsidRPr="005F6ADC">
        <w:rPr>
          <w:rFonts w:ascii="Times New Roman" w:hAnsi="Times New Roman" w:cs="Times New Roman"/>
        </w:rPr>
        <w:t>, 67.</w:t>
      </w:r>
    </w:p>
    <w:p w14:paraId="195BE379"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Bertani, I., </w:t>
      </w:r>
      <w:proofErr w:type="spellStart"/>
      <w:r w:rsidRPr="005F6ADC">
        <w:rPr>
          <w:rFonts w:ascii="Times New Roman" w:hAnsi="Times New Roman" w:cs="Times New Roman"/>
        </w:rPr>
        <w:t>Primicerio</w:t>
      </w:r>
      <w:proofErr w:type="spellEnd"/>
      <w:r w:rsidRPr="005F6ADC">
        <w:rPr>
          <w:rFonts w:ascii="Times New Roman" w:hAnsi="Times New Roman" w:cs="Times New Roman"/>
        </w:rPr>
        <w:t xml:space="preserve">, R. &amp; Rossetti, G. (2016). Extreme Climatic Event Triggers a Lake Regime Shift that Propagates Across Multiple Trophic Levels. </w:t>
      </w:r>
      <w:r w:rsidRPr="005F6ADC">
        <w:rPr>
          <w:rFonts w:ascii="Times New Roman" w:hAnsi="Times New Roman" w:cs="Times New Roman"/>
          <w:i/>
          <w:iCs/>
        </w:rPr>
        <w:t>Ecosystems</w:t>
      </w:r>
      <w:r w:rsidRPr="005F6ADC">
        <w:rPr>
          <w:rFonts w:ascii="Times New Roman" w:hAnsi="Times New Roman" w:cs="Times New Roman"/>
        </w:rPr>
        <w:t>, 19.</w:t>
      </w:r>
    </w:p>
    <w:p w14:paraId="75325366"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Correa-Araneda, F., </w:t>
      </w:r>
      <w:proofErr w:type="spellStart"/>
      <w:r w:rsidRPr="005F6ADC">
        <w:rPr>
          <w:rFonts w:ascii="Times New Roman" w:hAnsi="Times New Roman" w:cs="Times New Roman"/>
        </w:rPr>
        <w:t>Tonin</w:t>
      </w:r>
      <w:proofErr w:type="spellEnd"/>
      <w:r w:rsidRPr="005F6ADC">
        <w:rPr>
          <w:rFonts w:ascii="Times New Roman" w:hAnsi="Times New Roman" w:cs="Times New Roman"/>
        </w:rPr>
        <w:t xml:space="preserve">, A.M., Pérez, J., Álvarez, K., López-Rojo, N., Díaz, A., </w:t>
      </w:r>
      <w:r w:rsidRPr="005F6ADC">
        <w:rPr>
          <w:rFonts w:ascii="Times New Roman" w:hAnsi="Times New Roman" w:cs="Times New Roman"/>
          <w:i/>
          <w:iCs/>
        </w:rPr>
        <w:t>et al.</w:t>
      </w:r>
      <w:r w:rsidRPr="005F6ADC">
        <w:rPr>
          <w:rFonts w:ascii="Times New Roman" w:hAnsi="Times New Roman" w:cs="Times New Roman"/>
        </w:rPr>
        <w:t xml:space="preserve"> (2020). Extreme climate events can slow down litter breakdown in streams. </w:t>
      </w:r>
      <w:r w:rsidRPr="005F6ADC">
        <w:rPr>
          <w:rFonts w:ascii="Times New Roman" w:hAnsi="Times New Roman" w:cs="Times New Roman"/>
          <w:i/>
          <w:iCs/>
        </w:rPr>
        <w:t>Aquatic Sciences</w:t>
      </w:r>
      <w:r w:rsidRPr="005F6ADC">
        <w:rPr>
          <w:rFonts w:ascii="Times New Roman" w:hAnsi="Times New Roman" w:cs="Times New Roman"/>
        </w:rPr>
        <w:t>, 82, 1–7.</w:t>
      </w:r>
    </w:p>
    <w:p w14:paraId="26B663F8" w14:textId="77777777" w:rsidR="005F6ADC" w:rsidRPr="005F6ADC" w:rsidRDefault="005F6ADC" w:rsidP="005F6ADC">
      <w:pPr>
        <w:pStyle w:val="Bibliography"/>
        <w:rPr>
          <w:rFonts w:ascii="Times New Roman" w:hAnsi="Times New Roman" w:cs="Times New Roman"/>
        </w:rPr>
      </w:pPr>
      <w:proofErr w:type="spellStart"/>
      <w:r w:rsidRPr="005F6ADC">
        <w:rPr>
          <w:rFonts w:ascii="Times New Roman" w:hAnsi="Times New Roman" w:cs="Times New Roman"/>
        </w:rPr>
        <w:lastRenderedPageBreak/>
        <w:t>Filiz</w:t>
      </w:r>
      <w:proofErr w:type="spellEnd"/>
      <w:r w:rsidRPr="005F6ADC">
        <w:rPr>
          <w:rFonts w:ascii="Times New Roman" w:hAnsi="Times New Roman" w:cs="Times New Roman"/>
        </w:rPr>
        <w:t xml:space="preserve">, N., </w:t>
      </w:r>
      <w:proofErr w:type="spellStart"/>
      <w:r w:rsidRPr="005F6ADC">
        <w:rPr>
          <w:rFonts w:ascii="Times New Roman" w:hAnsi="Times New Roman" w:cs="Times New Roman"/>
        </w:rPr>
        <w:t>Işkın</w:t>
      </w:r>
      <w:proofErr w:type="spellEnd"/>
      <w:r w:rsidRPr="005F6ADC">
        <w:rPr>
          <w:rFonts w:ascii="Times New Roman" w:hAnsi="Times New Roman" w:cs="Times New Roman"/>
        </w:rPr>
        <w:t xml:space="preserve">, U., </w:t>
      </w:r>
      <w:proofErr w:type="spellStart"/>
      <w:r w:rsidRPr="005F6ADC">
        <w:rPr>
          <w:rFonts w:ascii="Times New Roman" w:hAnsi="Times New Roman" w:cs="Times New Roman"/>
        </w:rPr>
        <w:t>Beklioğlu</w:t>
      </w:r>
      <w:proofErr w:type="spellEnd"/>
      <w:r w:rsidRPr="005F6ADC">
        <w:rPr>
          <w:rFonts w:ascii="Times New Roman" w:hAnsi="Times New Roman" w:cs="Times New Roman"/>
        </w:rPr>
        <w:t xml:space="preserve">, M., </w:t>
      </w:r>
      <w:proofErr w:type="spellStart"/>
      <w:r w:rsidRPr="005F6ADC">
        <w:rPr>
          <w:rFonts w:ascii="Times New Roman" w:hAnsi="Times New Roman" w:cs="Times New Roman"/>
        </w:rPr>
        <w:t>Öğlü</w:t>
      </w:r>
      <w:proofErr w:type="spellEnd"/>
      <w:r w:rsidRPr="005F6ADC">
        <w:rPr>
          <w:rFonts w:ascii="Times New Roman" w:hAnsi="Times New Roman" w:cs="Times New Roman"/>
        </w:rPr>
        <w:t xml:space="preserve">, B., Cao, Y., Davidson, T.A., </w:t>
      </w:r>
      <w:r w:rsidRPr="005F6ADC">
        <w:rPr>
          <w:rFonts w:ascii="Times New Roman" w:hAnsi="Times New Roman" w:cs="Times New Roman"/>
          <w:i/>
          <w:iCs/>
        </w:rPr>
        <w:t>et al.</w:t>
      </w:r>
      <w:r w:rsidRPr="005F6ADC">
        <w:rPr>
          <w:rFonts w:ascii="Times New Roman" w:hAnsi="Times New Roman" w:cs="Times New Roman"/>
        </w:rPr>
        <w:t xml:space="preserve"> (2020). Phytoplankton Community Response to Nutrients, Temperatures, and a Heat Wave in Shallow Lakes: An Experimental Approach. </w:t>
      </w:r>
      <w:r w:rsidRPr="005F6ADC">
        <w:rPr>
          <w:rFonts w:ascii="Times New Roman" w:hAnsi="Times New Roman" w:cs="Times New Roman"/>
          <w:i/>
          <w:iCs/>
        </w:rPr>
        <w:t>Water</w:t>
      </w:r>
      <w:r w:rsidRPr="005F6ADC">
        <w:rPr>
          <w:rFonts w:ascii="Times New Roman" w:hAnsi="Times New Roman" w:cs="Times New Roman"/>
        </w:rPr>
        <w:t>, 12, 3394.</w:t>
      </w:r>
    </w:p>
    <w:p w14:paraId="3E25FAEF"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Fischer, E.M., </w:t>
      </w:r>
      <w:proofErr w:type="spellStart"/>
      <w:r w:rsidRPr="005F6ADC">
        <w:rPr>
          <w:rFonts w:ascii="Times New Roman" w:hAnsi="Times New Roman" w:cs="Times New Roman"/>
        </w:rPr>
        <w:t>Sippel</w:t>
      </w:r>
      <w:proofErr w:type="spellEnd"/>
      <w:r w:rsidRPr="005F6ADC">
        <w:rPr>
          <w:rFonts w:ascii="Times New Roman" w:hAnsi="Times New Roman" w:cs="Times New Roman"/>
        </w:rPr>
        <w:t xml:space="preserve">, S. &amp; </w:t>
      </w:r>
      <w:proofErr w:type="spellStart"/>
      <w:r w:rsidRPr="005F6ADC">
        <w:rPr>
          <w:rFonts w:ascii="Times New Roman" w:hAnsi="Times New Roman" w:cs="Times New Roman"/>
        </w:rPr>
        <w:t>Knutti</w:t>
      </w:r>
      <w:proofErr w:type="spellEnd"/>
      <w:r w:rsidRPr="005F6ADC">
        <w:rPr>
          <w:rFonts w:ascii="Times New Roman" w:hAnsi="Times New Roman" w:cs="Times New Roman"/>
        </w:rPr>
        <w:t xml:space="preserve">, R. (2021). Increasing probability of record-shattering climate extremes. </w:t>
      </w:r>
      <w:r w:rsidRPr="005F6ADC">
        <w:rPr>
          <w:rFonts w:ascii="Times New Roman" w:hAnsi="Times New Roman" w:cs="Times New Roman"/>
          <w:i/>
          <w:iCs/>
        </w:rPr>
        <w:t xml:space="preserve">Nat. </w:t>
      </w:r>
      <w:proofErr w:type="spellStart"/>
      <w:r w:rsidRPr="005F6ADC">
        <w:rPr>
          <w:rFonts w:ascii="Times New Roman" w:hAnsi="Times New Roman" w:cs="Times New Roman"/>
          <w:i/>
          <w:iCs/>
        </w:rPr>
        <w:t>Clim</w:t>
      </w:r>
      <w:proofErr w:type="spellEnd"/>
      <w:r w:rsidRPr="005F6ADC">
        <w:rPr>
          <w:rFonts w:ascii="Times New Roman" w:hAnsi="Times New Roman" w:cs="Times New Roman"/>
          <w:i/>
          <w:iCs/>
        </w:rPr>
        <w:t>. Chang.</w:t>
      </w:r>
      <w:r w:rsidRPr="005F6ADC">
        <w:rPr>
          <w:rFonts w:ascii="Times New Roman" w:hAnsi="Times New Roman" w:cs="Times New Roman"/>
        </w:rPr>
        <w:t>, 11, 689–695.</w:t>
      </w:r>
    </w:p>
    <w:p w14:paraId="5218747F" w14:textId="77777777" w:rsidR="005F6ADC" w:rsidRPr="005F6ADC" w:rsidRDefault="005F6ADC" w:rsidP="005F6ADC">
      <w:pPr>
        <w:pStyle w:val="Bibliography"/>
        <w:rPr>
          <w:rFonts w:ascii="Times New Roman" w:hAnsi="Times New Roman" w:cs="Times New Roman"/>
        </w:rPr>
      </w:pPr>
      <w:proofErr w:type="spellStart"/>
      <w:r w:rsidRPr="005F6ADC">
        <w:rPr>
          <w:rFonts w:ascii="Times New Roman" w:hAnsi="Times New Roman" w:cs="Times New Roman"/>
        </w:rPr>
        <w:t>Fugère</w:t>
      </w:r>
      <w:proofErr w:type="spellEnd"/>
      <w:r w:rsidRPr="005F6ADC">
        <w:rPr>
          <w:rFonts w:ascii="Times New Roman" w:hAnsi="Times New Roman" w:cs="Times New Roman"/>
        </w:rPr>
        <w:t xml:space="preserve">, V., Hébert, M.P., da Costa, N.B., Xu, C.C.Y., Barrett, R.D.H., </w:t>
      </w:r>
      <w:proofErr w:type="spellStart"/>
      <w:r w:rsidRPr="005F6ADC">
        <w:rPr>
          <w:rFonts w:ascii="Times New Roman" w:hAnsi="Times New Roman" w:cs="Times New Roman"/>
        </w:rPr>
        <w:t>Beisner</w:t>
      </w:r>
      <w:proofErr w:type="spellEnd"/>
      <w:r w:rsidRPr="005F6ADC">
        <w:rPr>
          <w:rFonts w:ascii="Times New Roman" w:hAnsi="Times New Roman" w:cs="Times New Roman"/>
        </w:rPr>
        <w:t xml:space="preserve">, B.E., </w:t>
      </w:r>
      <w:r w:rsidRPr="005F6ADC">
        <w:rPr>
          <w:rFonts w:ascii="Times New Roman" w:hAnsi="Times New Roman" w:cs="Times New Roman"/>
          <w:i/>
          <w:iCs/>
        </w:rPr>
        <w:t>et al.</w:t>
      </w:r>
      <w:r w:rsidRPr="005F6ADC">
        <w:rPr>
          <w:rFonts w:ascii="Times New Roman" w:hAnsi="Times New Roman" w:cs="Times New Roman"/>
        </w:rPr>
        <w:t xml:space="preserve"> (2020). Community rescue in experimental phytoplankton communities facing severe herbicide pollution. </w:t>
      </w:r>
      <w:r w:rsidRPr="005F6ADC">
        <w:rPr>
          <w:rFonts w:ascii="Times New Roman" w:hAnsi="Times New Roman" w:cs="Times New Roman"/>
          <w:i/>
          <w:iCs/>
        </w:rPr>
        <w:t>Nature Ecology and Evolution</w:t>
      </w:r>
      <w:r w:rsidRPr="005F6ADC">
        <w:rPr>
          <w:rFonts w:ascii="Times New Roman" w:hAnsi="Times New Roman" w:cs="Times New Roman"/>
        </w:rPr>
        <w:t>, 4, 578–588.</w:t>
      </w:r>
    </w:p>
    <w:p w14:paraId="0F3A0588" w14:textId="77777777" w:rsidR="005F6ADC" w:rsidRPr="005F6ADC" w:rsidRDefault="005F6ADC" w:rsidP="005F6ADC">
      <w:pPr>
        <w:pStyle w:val="Bibliography"/>
        <w:rPr>
          <w:rFonts w:ascii="Times New Roman" w:hAnsi="Times New Roman" w:cs="Times New Roman"/>
          <w:lang w:val="de-CH"/>
        </w:rPr>
      </w:pPr>
      <w:r w:rsidRPr="005F6ADC">
        <w:rPr>
          <w:rFonts w:ascii="Times New Roman" w:hAnsi="Times New Roman" w:cs="Times New Roman"/>
        </w:rPr>
        <w:t xml:space="preserve">Hermann, M., Jansen, R., van de </w:t>
      </w:r>
      <w:proofErr w:type="spellStart"/>
      <w:r w:rsidRPr="005F6ADC">
        <w:rPr>
          <w:rFonts w:ascii="Times New Roman" w:hAnsi="Times New Roman" w:cs="Times New Roman"/>
        </w:rPr>
        <w:t>Glind</w:t>
      </w:r>
      <w:proofErr w:type="spellEnd"/>
      <w:r w:rsidRPr="005F6ADC">
        <w:rPr>
          <w:rFonts w:ascii="Times New Roman" w:hAnsi="Times New Roman" w:cs="Times New Roman"/>
        </w:rPr>
        <w:t xml:space="preserve">, J., </w:t>
      </w:r>
      <w:proofErr w:type="spellStart"/>
      <w:r w:rsidRPr="005F6ADC">
        <w:rPr>
          <w:rFonts w:ascii="Times New Roman" w:hAnsi="Times New Roman" w:cs="Times New Roman"/>
        </w:rPr>
        <w:t>Peeters</w:t>
      </w:r>
      <w:proofErr w:type="spellEnd"/>
      <w:r w:rsidRPr="005F6ADC">
        <w:rPr>
          <w:rFonts w:ascii="Times New Roman" w:hAnsi="Times New Roman" w:cs="Times New Roman"/>
        </w:rPr>
        <w:t xml:space="preserve">, E.T.H.M. &amp; Van den Brink, P.J. (2022). A transportable temperature and heatwave control device (TENTACLE) for laboratory and field simulations of different climate change scenarios in aquatic micro- and mesocosms. </w:t>
      </w:r>
      <w:proofErr w:type="spellStart"/>
      <w:r w:rsidRPr="005F6ADC">
        <w:rPr>
          <w:rFonts w:ascii="Times New Roman" w:hAnsi="Times New Roman" w:cs="Times New Roman"/>
          <w:i/>
          <w:iCs/>
          <w:lang w:val="de-CH"/>
        </w:rPr>
        <w:t>HardwareX</w:t>
      </w:r>
      <w:proofErr w:type="spellEnd"/>
      <w:r w:rsidRPr="005F6ADC">
        <w:rPr>
          <w:rFonts w:ascii="Times New Roman" w:hAnsi="Times New Roman" w:cs="Times New Roman"/>
          <w:lang w:val="de-CH"/>
        </w:rPr>
        <w:t>, 11, e00307.</w:t>
      </w:r>
    </w:p>
    <w:p w14:paraId="3FF2DA45" w14:textId="77777777" w:rsidR="005F6ADC" w:rsidRPr="005F6ADC" w:rsidRDefault="005F6ADC" w:rsidP="005F6ADC">
      <w:pPr>
        <w:pStyle w:val="Bibliography"/>
        <w:rPr>
          <w:rFonts w:ascii="Times New Roman" w:hAnsi="Times New Roman" w:cs="Times New Roman"/>
          <w:lang w:val="it-IT"/>
        </w:rPr>
      </w:pPr>
      <w:r w:rsidRPr="005F6ADC">
        <w:rPr>
          <w:rFonts w:ascii="Times New Roman" w:hAnsi="Times New Roman" w:cs="Times New Roman"/>
          <w:lang w:val="de-CH"/>
        </w:rPr>
        <w:t xml:space="preserve">Hermann, M., Peeters, E.T.H.M. &amp; Van den Brink, P.J. (2023). </w:t>
      </w:r>
      <w:r w:rsidRPr="005F6ADC">
        <w:rPr>
          <w:rFonts w:ascii="Times New Roman" w:hAnsi="Times New Roman" w:cs="Times New Roman"/>
        </w:rPr>
        <w:t xml:space="preserve">Heatwaves, elevated temperatures, and a pesticide cause interactive effects on multi-trophic levels of a freshwater ecosystem. </w:t>
      </w:r>
      <w:proofErr w:type="spellStart"/>
      <w:r w:rsidRPr="005F6ADC">
        <w:rPr>
          <w:rFonts w:ascii="Times New Roman" w:hAnsi="Times New Roman" w:cs="Times New Roman"/>
          <w:i/>
          <w:iCs/>
          <w:lang w:val="it-IT"/>
        </w:rPr>
        <w:t>Environmental</w:t>
      </w:r>
      <w:proofErr w:type="spellEnd"/>
      <w:r w:rsidRPr="005F6ADC">
        <w:rPr>
          <w:rFonts w:ascii="Times New Roman" w:hAnsi="Times New Roman" w:cs="Times New Roman"/>
          <w:i/>
          <w:iCs/>
          <w:lang w:val="it-IT"/>
        </w:rPr>
        <w:t xml:space="preserve"> </w:t>
      </w:r>
      <w:proofErr w:type="spellStart"/>
      <w:r w:rsidRPr="005F6ADC">
        <w:rPr>
          <w:rFonts w:ascii="Times New Roman" w:hAnsi="Times New Roman" w:cs="Times New Roman"/>
          <w:i/>
          <w:iCs/>
          <w:lang w:val="it-IT"/>
        </w:rPr>
        <w:t>Pollution</w:t>
      </w:r>
      <w:proofErr w:type="spellEnd"/>
      <w:r w:rsidRPr="005F6ADC">
        <w:rPr>
          <w:rFonts w:ascii="Times New Roman" w:hAnsi="Times New Roman" w:cs="Times New Roman"/>
          <w:lang w:val="it-IT"/>
        </w:rPr>
        <w:t>, 327, 121498.</w:t>
      </w:r>
    </w:p>
    <w:p w14:paraId="62AC54D1"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lang w:val="it-IT"/>
        </w:rPr>
        <w:t xml:space="preserve">Hermann, M., Polazzo, F., </w:t>
      </w:r>
      <w:proofErr w:type="spellStart"/>
      <w:r w:rsidRPr="005F6ADC">
        <w:rPr>
          <w:rFonts w:ascii="Times New Roman" w:hAnsi="Times New Roman" w:cs="Times New Roman"/>
          <w:lang w:val="it-IT"/>
        </w:rPr>
        <w:t>Cherta</w:t>
      </w:r>
      <w:proofErr w:type="spellEnd"/>
      <w:r w:rsidRPr="005F6ADC">
        <w:rPr>
          <w:rFonts w:ascii="Times New Roman" w:hAnsi="Times New Roman" w:cs="Times New Roman"/>
          <w:lang w:val="it-IT"/>
        </w:rPr>
        <w:t xml:space="preserve">, L., </w:t>
      </w:r>
      <w:proofErr w:type="spellStart"/>
      <w:r w:rsidRPr="005F6ADC">
        <w:rPr>
          <w:rFonts w:ascii="Times New Roman" w:hAnsi="Times New Roman" w:cs="Times New Roman"/>
          <w:lang w:val="it-IT"/>
        </w:rPr>
        <w:t>Crettaz-Minaglia</w:t>
      </w:r>
      <w:proofErr w:type="spellEnd"/>
      <w:r w:rsidRPr="005F6ADC">
        <w:rPr>
          <w:rFonts w:ascii="Times New Roman" w:hAnsi="Times New Roman" w:cs="Times New Roman"/>
          <w:lang w:val="it-IT"/>
        </w:rPr>
        <w:t xml:space="preserve">, M., García-Astillero, A., </w:t>
      </w:r>
      <w:proofErr w:type="spellStart"/>
      <w:r w:rsidRPr="005F6ADC">
        <w:rPr>
          <w:rFonts w:ascii="Times New Roman" w:hAnsi="Times New Roman" w:cs="Times New Roman"/>
          <w:lang w:val="it-IT"/>
        </w:rPr>
        <w:t>Peeters</w:t>
      </w:r>
      <w:proofErr w:type="spellEnd"/>
      <w:r w:rsidRPr="005F6ADC">
        <w:rPr>
          <w:rFonts w:ascii="Times New Roman" w:hAnsi="Times New Roman" w:cs="Times New Roman"/>
          <w:lang w:val="it-IT"/>
        </w:rPr>
        <w:t xml:space="preserve">, E.T.H.M., </w:t>
      </w:r>
      <w:r w:rsidRPr="005F6ADC">
        <w:rPr>
          <w:rFonts w:ascii="Times New Roman" w:hAnsi="Times New Roman" w:cs="Times New Roman"/>
          <w:i/>
          <w:iCs/>
          <w:lang w:val="it-IT"/>
        </w:rPr>
        <w:t>et al.</w:t>
      </w:r>
      <w:r w:rsidRPr="005F6ADC">
        <w:rPr>
          <w:rFonts w:ascii="Times New Roman" w:hAnsi="Times New Roman" w:cs="Times New Roman"/>
          <w:lang w:val="it-IT"/>
        </w:rPr>
        <w:t xml:space="preserve"> </w:t>
      </w:r>
      <w:r w:rsidRPr="005F6ADC">
        <w:rPr>
          <w:rFonts w:ascii="Times New Roman" w:hAnsi="Times New Roman" w:cs="Times New Roman"/>
        </w:rPr>
        <w:t xml:space="preserve">(2024). Combined stress of an insecticide and heatwaves or elevated temperature induce community and food web effects in a Mediterranean freshwater ecosystem. </w:t>
      </w:r>
      <w:r w:rsidRPr="005F6ADC">
        <w:rPr>
          <w:rFonts w:ascii="Times New Roman" w:hAnsi="Times New Roman" w:cs="Times New Roman"/>
          <w:i/>
          <w:iCs/>
        </w:rPr>
        <w:t>Water Research</w:t>
      </w:r>
      <w:r w:rsidRPr="005F6ADC">
        <w:rPr>
          <w:rFonts w:ascii="Times New Roman" w:hAnsi="Times New Roman" w:cs="Times New Roman"/>
        </w:rPr>
        <w:t>, 260, 121903.</w:t>
      </w:r>
    </w:p>
    <w:p w14:paraId="083EC845"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Hillebrand, H., </w:t>
      </w:r>
      <w:proofErr w:type="spellStart"/>
      <w:r w:rsidRPr="005F6ADC">
        <w:rPr>
          <w:rFonts w:ascii="Times New Roman" w:hAnsi="Times New Roman" w:cs="Times New Roman"/>
        </w:rPr>
        <w:t>Dürselen</w:t>
      </w:r>
      <w:proofErr w:type="spellEnd"/>
      <w:r w:rsidRPr="005F6ADC">
        <w:rPr>
          <w:rFonts w:ascii="Times New Roman" w:hAnsi="Times New Roman" w:cs="Times New Roman"/>
        </w:rPr>
        <w:t xml:space="preserve">, C.D., </w:t>
      </w:r>
      <w:proofErr w:type="spellStart"/>
      <w:r w:rsidRPr="005F6ADC">
        <w:rPr>
          <w:rFonts w:ascii="Times New Roman" w:hAnsi="Times New Roman" w:cs="Times New Roman"/>
        </w:rPr>
        <w:t>Kirschtel</w:t>
      </w:r>
      <w:proofErr w:type="spellEnd"/>
      <w:r w:rsidRPr="005F6ADC">
        <w:rPr>
          <w:rFonts w:ascii="Times New Roman" w:hAnsi="Times New Roman" w:cs="Times New Roman"/>
        </w:rPr>
        <w:t xml:space="preserve">, D., </w:t>
      </w:r>
      <w:proofErr w:type="spellStart"/>
      <w:r w:rsidRPr="005F6ADC">
        <w:rPr>
          <w:rFonts w:ascii="Times New Roman" w:hAnsi="Times New Roman" w:cs="Times New Roman"/>
        </w:rPr>
        <w:t>Pollingher</w:t>
      </w:r>
      <w:proofErr w:type="spellEnd"/>
      <w:r w:rsidRPr="005F6ADC">
        <w:rPr>
          <w:rFonts w:ascii="Times New Roman" w:hAnsi="Times New Roman" w:cs="Times New Roman"/>
        </w:rPr>
        <w:t xml:space="preserve">, U. &amp; </w:t>
      </w:r>
      <w:proofErr w:type="spellStart"/>
      <w:r w:rsidRPr="005F6ADC">
        <w:rPr>
          <w:rFonts w:ascii="Times New Roman" w:hAnsi="Times New Roman" w:cs="Times New Roman"/>
        </w:rPr>
        <w:t>Zohary</w:t>
      </w:r>
      <w:proofErr w:type="spellEnd"/>
      <w:r w:rsidRPr="005F6ADC">
        <w:rPr>
          <w:rFonts w:ascii="Times New Roman" w:hAnsi="Times New Roman" w:cs="Times New Roman"/>
        </w:rPr>
        <w:t xml:space="preserve">, T. (1999). Biovolume calculation for pelagic and benthic microalgae. </w:t>
      </w:r>
      <w:r w:rsidRPr="005F6ADC">
        <w:rPr>
          <w:rFonts w:ascii="Times New Roman" w:hAnsi="Times New Roman" w:cs="Times New Roman"/>
          <w:i/>
          <w:iCs/>
        </w:rPr>
        <w:t>Journal of Phycology</w:t>
      </w:r>
      <w:r w:rsidRPr="005F6ADC">
        <w:rPr>
          <w:rFonts w:ascii="Times New Roman" w:hAnsi="Times New Roman" w:cs="Times New Roman"/>
        </w:rPr>
        <w:t>, 35.</w:t>
      </w:r>
    </w:p>
    <w:p w14:paraId="6B95B995"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Intergovernmental Panel on Climate Change (IPCC). (2023). </w:t>
      </w:r>
      <w:r w:rsidRPr="005F6ADC">
        <w:rPr>
          <w:rFonts w:ascii="Times New Roman" w:hAnsi="Times New Roman" w:cs="Times New Roman"/>
          <w:i/>
          <w:iCs/>
        </w:rPr>
        <w:t>Climate Change 2022 – Impacts, Adaptation and Vulnerability: Working Group II Contribution to the Sixth Assessment Report of the Intergovernmental Panel on Climate Change</w:t>
      </w:r>
      <w:r w:rsidRPr="005F6ADC">
        <w:rPr>
          <w:rFonts w:ascii="Times New Roman" w:hAnsi="Times New Roman" w:cs="Times New Roman"/>
        </w:rPr>
        <w:t>. Cambridge University Press, Cambridge.</w:t>
      </w:r>
    </w:p>
    <w:p w14:paraId="69FD8402"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Lenth, R.V., </w:t>
      </w:r>
      <w:proofErr w:type="spellStart"/>
      <w:r w:rsidRPr="005F6ADC">
        <w:rPr>
          <w:rFonts w:ascii="Times New Roman" w:hAnsi="Times New Roman" w:cs="Times New Roman"/>
        </w:rPr>
        <w:t>Bolker</w:t>
      </w:r>
      <w:proofErr w:type="spellEnd"/>
      <w:r w:rsidRPr="005F6ADC">
        <w:rPr>
          <w:rFonts w:ascii="Times New Roman" w:hAnsi="Times New Roman" w:cs="Times New Roman"/>
        </w:rPr>
        <w:t xml:space="preserve">, B., </w:t>
      </w:r>
      <w:proofErr w:type="spellStart"/>
      <w:r w:rsidRPr="005F6ADC">
        <w:rPr>
          <w:rFonts w:ascii="Times New Roman" w:hAnsi="Times New Roman" w:cs="Times New Roman"/>
        </w:rPr>
        <w:t>Buerkner</w:t>
      </w:r>
      <w:proofErr w:type="spellEnd"/>
      <w:r w:rsidRPr="005F6ADC">
        <w:rPr>
          <w:rFonts w:ascii="Times New Roman" w:hAnsi="Times New Roman" w:cs="Times New Roman"/>
        </w:rPr>
        <w:t xml:space="preserve">, P., </w:t>
      </w:r>
      <w:proofErr w:type="spellStart"/>
      <w:r w:rsidRPr="005F6ADC">
        <w:rPr>
          <w:rFonts w:ascii="Times New Roman" w:hAnsi="Times New Roman" w:cs="Times New Roman"/>
        </w:rPr>
        <w:t>Giné</w:t>
      </w:r>
      <w:proofErr w:type="spellEnd"/>
      <w:r w:rsidRPr="005F6ADC">
        <w:rPr>
          <w:rFonts w:ascii="Times New Roman" w:hAnsi="Times New Roman" w:cs="Times New Roman"/>
        </w:rPr>
        <w:t xml:space="preserve">-Vázquez, I., Herve, M., Jung, M., </w:t>
      </w:r>
      <w:r w:rsidRPr="005F6ADC">
        <w:rPr>
          <w:rFonts w:ascii="Times New Roman" w:hAnsi="Times New Roman" w:cs="Times New Roman"/>
          <w:i/>
          <w:iCs/>
        </w:rPr>
        <w:t>et al.</w:t>
      </w:r>
      <w:r w:rsidRPr="005F6ADC">
        <w:rPr>
          <w:rFonts w:ascii="Times New Roman" w:hAnsi="Times New Roman" w:cs="Times New Roman"/>
        </w:rPr>
        <w:t xml:space="preserve"> (2024). </w:t>
      </w:r>
      <w:proofErr w:type="spellStart"/>
      <w:r w:rsidRPr="005F6ADC">
        <w:rPr>
          <w:rFonts w:ascii="Times New Roman" w:hAnsi="Times New Roman" w:cs="Times New Roman"/>
        </w:rPr>
        <w:t>emmeans</w:t>
      </w:r>
      <w:proofErr w:type="spellEnd"/>
      <w:r w:rsidRPr="005F6ADC">
        <w:rPr>
          <w:rFonts w:ascii="Times New Roman" w:hAnsi="Times New Roman" w:cs="Times New Roman"/>
        </w:rPr>
        <w:t>: Estimated Marginal Means, aka Least-Squares Means.</w:t>
      </w:r>
    </w:p>
    <w:p w14:paraId="3DBE3CBC" w14:textId="77777777" w:rsidR="005F6ADC" w:rsidRPr="005F6ADC" w:rsidRDefault="005F6ADC" w:rsidP="005F6ADC">
      <w:pPr>
        <w:pStyle w:val="Bibliography"/>
        <w:rPr>
          <w:rFonts w:ascii="Times New Roman" w:hAnsi="Times New Roman" w:cs="Times New Roman"/>
          <w:lang w:val="de-CH"/>
        </w:rPr>
      </w:pPr>
      <w:proofErr w:type="spellStart"/>
      <w:r w:rsidRPr="005F6ADC">
        <w:rPr>
          <w:rFonts w:ascii="Times New Roman" w:hAnsi="Times New Roman" w:cs="Times New Roman"/>
        </w:rPr>
        <w:t>Lüdecke</w:t>
      </w:r>
      <w:proofErr w:type="spellEnd"/>
      <w:r w:rsidRPr="005F6ADC">
        <w:rPr>
          <w:rFonts w:ascii="Times New Roman" w:hAnsi="Times New Roman" w:cs="Times New Roman"/>
        </w:rPr>
        <w:t xml:space="preserve">, D., Makowski, D. &amp; Waggoner, P. (2020). performance: Assessment of Regression Models Performance. </w:t>
      </w:r>
      <w:r w:rsidRPr="005F6ADC">
        <w:rPr>
          <w:rFonts w:ascii="Times New Roman" w:hAnsi="Times New Roman" w:cs="Times New Roman"/>
          <w:lang w:val="de-CH"/>
        </w:rPr>
        <w:t xml:space="preserve">R </w:t>
      </w:r>
      <w:proofErr w:type="spellStart"/>
      <w:r w:rsidRPr="005F6ADC">
        <w:rPr>
          <w:rFonts w:ascii="Times New Roman" w:hAnsi="Times New Roman" w:cs="Times New Roman"/>
          <w:lang w:val="de-CH"/>
        </w:rPr>
        <w:t>package</w:t>
      </w:r>
      <w:proofErr w:type="spellEnd"/>
      <w:r w:rsidRPr="005F6ADC">
        <w:rPr>
          <w:rFonts w:ascii="Times New Roman" w:hAnsi="Times New Roman" w:cs="Times New Roman"/>
          <w:lang w:val="de-CH"/>
        </w:rPr>
        <w:t xml:space="preserve"> </w:t>
      </w:r>
      <w:proofErr w:type="spellStart"/>
      <w:r w:rsidRPr="005F6ADC">
        <w:rPr>
          <w:rFonts w:ascii="Times New Roman" w:hAnsi="Times New Roman" w:cs="Times New Roman"/>
          <w:lang w:val="de-CH"/>
        </w:rPr>
        <w:t>version</w:t>
      </w:r>
      <w:proofErr w:type="spellEnd"/>
      <w:r w:rsidRPr="005F6ADC">
        <w:rPr>
          <w:rFonts w:ascii="Times New Roman" w:hAnsi="Times New Roman" w:cs="Times New Roman"/>
          <w:lang w:val="de-CH"/>
        </w:rPr>
        <w:t xml:space="preserve"> 0.4.4. https://CRAN.R-project.org/package=performance. </w:t>
      </w:r>
      <w:r w:rsidRPr="005F6ADC">
        <w:rPr>
          <w:rFonts w:ascii="Times New Roman" w:hAnsi="Times New Roman" w:cs="Times New Roman"/>
          <w:i/>
          <w:iCs/>
          <w:lang w:val="de-CH"/>
        </w:rPr>
        <w:t>CRAN.R</w:t>
      </w:r>
      <w:r w:rsidRPr="005F6ADC">
        <w:rPr>
          <w:rFonts w:ascii="Times New Roman" w:hAnsi="Times New Roman" w:cs="Times New Roman"/>
          <w:lang w:val="de-CH"/>
        </w:rPr>
        <w:t>.</w:t>
      </w:r>
    </w:p>
    <w:p w14:paraId="462CC360"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lang w:val="de-CH"/>
        </w:rPr>
        <w:t xml:space="preserve">Meunier, Z.D., Hacker, S.D. &amp; Menge, B.A. (2024). </w:t>
      </w:r>
      <w:r w:rsidRPr="005F6ADC">
        <w:rPr>
          <w:rFonts w:ascii="Times New Roman" w:hAnsi="Times New Roman" w:cs="Times New Roman"/>
        </w:rPr>
        <w:t xml:space="preserve">Regime shifts in rocky intertidal communities associated with a marine heatwave and disease outbreak. </w:t>
      </w:r>
      <w:r w:rsidRPr="005F6ADC">
        <w:rPr>
          <w:rFonts w:ascii="Times New Roman" w:hAnsi="Times New Roman" w:cs="Times New Roman"/>
          <w:i/>
          <w:iCs/>
        </w:rPr>
        <w:t xml:space="preserve">Nat </w:t>
      </w:r>
      <w:proofErr w:type="spellStart"/>
      <w:r w:rsidRPr="005F6ADC">
        <w:rPr>
          <w:rFonts w:ascii="Times New Roman" w:hAnsi="Times New Roman" w:cs="Times New Roman"/>
          <w:i/>
          <w:iCs/>
        </w:rPr>
        <w:t>Ecol</w:t>
      </w:r>
      <w:proofErr w:type="spellEnd"/>
      <w:r w:rsidRPr="005F6ADC">
        <w:rPr>
          <w:rFonts w:ascii="Times New Roman" w:hAnsi="Times New Roman" w:cs="Times New Roman"/>
          <w:i/>
          <w:iCs/>
        </w:rPr>
        <w:t xml:space="preserve"> </w:t>
      </w:r>
      <w:proofErr w:type="spellStart"/>
      <w:r w:rsidRPr="005F6ADC">
        <w:rPr>
          <w:rFonts w:ascii="Times New Roman" w:hAnsi="Times New Roman" w:cs="Times New Roman"/>
          <w:i/>
          <w:iCs/>
        </w:rPr>
        <w:t>Evol</w:t>
      </w:r>
      <w:proofErr w:type="spellEnd"/>
      <w:r w:rsidRPr="005F6ADC">
        <w:rPr>
          <w:rFonts w:ascii="Times New Roman" w:hAnsi="Times New Roman" w:cs="Times New Roman"/>
        </w:rPr>
        <w:t>, 1–13.</w:t>
      </w:r>
    </w:p>
    <w:p w14:paraId="3E5013DD" w14:textId="77777777" w:rsidR="005F6ADC" w:rsidRPr="005F6ADC" w:rsidRDefault="005F6ADC" w:rsidP="005F6ADC">
      <w:pPr>
        <w:pStyle w:val="Bibliography"/>
        <w:rPr>
          <w:rFonts w:ascii="Times New Roman" w:hAnsi="Times New Roman" w:cs="Times New Roman"/>
        </w:rPr>
      </w:pPr>
      <w:proofErr w:type="spellStart"/>
      <w:r w:rsidRPr="005F6ADC">
        <w:rPr>
          <w:rFonts w:ascii="Times New Roman" w:hAnsi="Times New Roman" w:cs="Times New Roman"/>
        </w:rPr>
        <w:t>Mouthon</w:t>
      </w:r>
      <w:proofErr w:type="spellEnd"/>
      <w:r w:rsidRPr="005F6ADC">
        <w:rPr>
          <w:rFonts w:ascii="Times New Roman" w:hAnsi="Times New Roman" w:cs="Times New Roman"/>
        </w:rPr>
        <w:t xml:space="preserve">, J. &amp; </w:t>
      </w:r>
      <w:proofErr w:type="spellStart"/>
      <w:r w:rsidRPr="005F6ADC">
        <w:rPr>
          <w:rFonts w:ascii="Times New Roman" w:hAnsi="Times New Roman" w:cs="Times New Roman"/>
        </w:rPr>
        <w:t>Daufresne</w:t>
      </w:r>
      <w:proofErr w:type="spellEnd"/>
      <w:r w:rsidRPr="005F6ADC">
        <w:rPr>
          <w:rFonts w:ascii="Times New Roman" w:hAnsi="Times New Roman" w:cs="Times New Roman"/>
        </w:rPr>
        <w:t xml:space="preserve">, M. (2006). Effects of the 2003 heatwave and climatic warming on mollusc communities of the </w:t>
      </w:r>
      <w:proofErr w:type="spellStart"/>
      <w:r w:rsidRPr="005F6ADC">
        <w:rPr>
          <w:rFonts w:ascii="Times New Roman" w:hAnsi="Times New Roman" w:cs="Times New Roman"/>
        </w:rPr>
        <w:t>Saône</w:t>
      </w:r>
      <w:proofErr w:type="spellEnd"/>
      <w:r w:rsidRPr="005F6ADC">
        <w:rPr>
          <w:rFonts w:ascii="Times New Roman" w:hAnsi="Times New Roman" w:cs="Times New Roman"/>
        </w:rPr>
        <w:t xml:space="preserve">: A large lowland river and of its two main tributaries (France). </w:t>
      </w:r>
      <w:r w:rsidRPr="005F6ADC">
        <w:rPr>
          <w:rFonts w:ascii="Times New Roman" w:hAnsi="Times New Roman" w:cs="Times New Roman"/>
          <w:i/>
          <w:iCs/>
        </w:rPr>
        <w:t>Global Change Biology</w:t>
      </w:r>
      <w:r w:rsidRPr="005F6ADC">
        <w:rPr>
          <w:rFonts w:ascii="Times New Roman" w:hAnsi="Times New Roman" w:cs="Times New Roman"/>
        </w:rPr>
        <w:t>, 12, 441–449.</w:t>
      </w:r>
    </w:p>
    <w:p w14:paraId="2116E4E5"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Oksanen, J., Blanchet, F.G., Friendly, M., </w:t>
      </w:r>
      <w:proofErr w:type="spellStart"/>
      <w:r w:rsidRPr="005F6ADC">
        <w:rPr>
          <w:rFonts w:ascii="Times New Roman" w:hAnsi="Times New Roman" w:cs="Times New Roman"/>
        </w:rPr>
        <w:t>Kindt</w:t>
      </w:r>
      <w:proofErr w:type="spellEnd"/>
      <w:r w:rsidRPr="005F6ADC">
        <w:rPr>
          <w:rFonts w:ascii="Times New Roman" w:hAnsi="Times New Roman" w:cs="Times New Roman"/>
        </w:rPr>
        <w:t xml:space="preserve">, R., Legendre, P., </w:t>
      </w:r>
      <w:proofErr w:type="spellStart"/>
      <w:r w:rsidRPr="005F6ADC">
        <w:rPr>
          <w:rFonts w:ascii="Times New Roman" w:hAnsi="Times New Roman" w:cs="Times New Roman"/>
        </w:rPr>
        <w:t>Mcglinn</w:t>
      </w:r>
      <w:proofErr w:type="spellEnd"/>
      <w:r w:rsidRPr="005F6ADC">
        <w:rPr>
          <w:rFonts w:ascii="Times New Roman" w:hAnsi="Times New Roman" w:cs="Times New Roman"/>
        </w:rPr>
        <w:t xml:space="preserve">, D., </w:t>
      </w:r>
      <w:r w:rsidRPr="005F6ADC">
        <w:rPr>
          <w:rFonts w:ascii="Times New Roman" w:hAnsi="Times New Roman" w:cs="Times New Roman"/>
          <w:i/>
          <w:iCs/>
        </w:rPr>
        <w:t>et al.</w:t>
      </w:r>
      <w:r w:rsidRPr="005F6ADC">
        <w:rPr>
          <w:rFonts w:ascii="Times New Roman" w:hAnsi="Times New Roman" w:cs="Times New Roman"/>
        </w:rPr>
        <w:t xml:space="preserve"> (2019). vegan: Community Ecology Package. R package version 2.4-2. </w:t>
      </w:r>
      <w:r w:rsidRPr="005F6ADC">
        <w:rPr>
          <w:rFonts w:ascii="Times New Roman" w:hAnsi="Times New Roman" w:cs="Times New Roman"/>
          <w:i/>
          <w:iCs/>
        </w:rPr>
        <w:t>Community ecology package</w:t>
      </w:r>
      <w:r w:rsidRPr="005F6ADC">
        <w:rPr>
          <w:rFonts w:ascii="Times New Roman" w:hAnsi="Times New Roman" w:cs="Times New Roman"/>
        </w:rPr>
        <w:t>, 2.5-6.</w:t>
      </w:r>
    </w:p>
    <w:p w14:paraId="0657F658"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Perkins, S.E., Alexander, L.V. &amp; Nairn, J.R. (2012). Increasing frequency, intensity and duration of observed global heatwaves and warm spells. </w:t>
      </w:r>
      <w:r w:rsidRPr="005F6ADC">
        <w:rPr>
          <w:rFonts w:ascii="Times New Roman" w:hAnsi="Times New Roman" w:cs="Times New Roman"/>
          <w:i/>
          <w:iCs/>
        </w:rPr>
        <w:t>Geophysical Research Letters</w:t>
      </w:r>
      <w:r w:rsidRPr="005F6ADC">
        <w:rPr>
          <w:rFonts w:ascii="Times New Roman" w:hAnsi="Times New Roman" w:cs="Times New Roman"/>
        </w:rPr>
        <w:t>, 39, 1–5.</w:t>
      </w:r>
    </w:p>
    <w:p w14:paraId="77923694" w14:textId="77777777" w:rsidR="005F6ADC" w:rsidRPr="005F6ADC" w:rsidRDefault="005F6ADC" w:rsidP="005F6ADC">
      <w:pPr>
        <w:pStyle w:val="Bibliography"/>
        <w:rPr>
          <w:rFonts w:ascii="Times New Roman" w:hAnsi="Times New Roman" w:cs="Times New Roman"/>
          <w:lang w:val="it-IT"/>
        </w:rPr>
      </w:pPr>
      <w:r w:rsidRPr="005F6ADC">
        <w:rPr>
          <w:rFonts w:ascii="Times New Roman" w:hAnsi="Times New Roman" w:cs="Times New Roman"/>
        </w:rPr>
        <w:t xml:space="preserve">Polazzo, F., Hermann, M., </w:t>
      </w:r>
      <w:proofErr w:type="spellStart"/>
      <w:r w:rsidRPr="005F6ADC">
        <w:rPr>
          <w:rFonts w:ascii="Times New Roman" w:hAnsi="Times New Roman" w:cs="Times New Roman"/>
        </w:rPr>
        <w:t>Crettaz-Minaglia</w:t>
      </w:r>
      <w:proofErr w:type="spellEnd"/>
      <w:r w:rsidRPr="005F6ADC">
        <w:rPr>
          <w:rFonts w:ascii="Times New Roman" w:hAnsi="Times New Roman" w:cs="Times New Roman"/>
        </w:rPr>
        <w:t xml:space="preserve">, M. &amp; Rico, A. (2023). Impacts of extreme climatic events on trophic network complexity and multidimensional stability. </w:t>
      </w:r>
      <w:proofErr w:type="spellStart"/>
      <w:r w:rsidRPr="005F6ADC">
        <w:rPr>
          <w:rFonts w:ascii="Times New Roman" w:hAnsi="Times New Roman" w:cs="Times New Roman"/>
          <w:i/>
          <w:iCs/>
          <w:lang w:val="it-IT"/>
        </w:rPr>
        <w:t>Ecology</w:t>
      </w:r>
      <w:proofErr w:type="spellEnd"/>
      <w:r w:rsidRPr="005F6ADC">
        <w:rPr>
          <w:rFonts w:ascii="Times New Roman" w:hAnsi="Times New Roman" w:cs="Times New Roman"/>
          <w:lang w:val="it-IT"/>
        </w:rPr>
        <w:t>, 104, e3951.</w:t>
      </w:r>
    </w:p>
    <w:p w14:paraId="3F44B6D7"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lang w:val="it-IT"/>
        </w:rPr>
        <w:t>Polazzo, F., Roth, S.K., Hermann, M., Mangold-</w:t>
      </w:r>
      <w:proofErr w:type="spellStart"/>
      <w:r w:rsidRPr="005F6ADC">
        <w:rPr>
          <w:rFonts w:ascii="Times New Roman" w:hAnsi="Times New Roman" w:cs="Times New Roman"/>
          <w:lang w:val="it-IT"/>
        </w:rPr>
        <w:t>Döring</w:t>
      </w:r>
      <w:proofErr w:type="spellEnd"/>
      <w:r w:rsidRPr="005F6ADC">
        <w:rPr>
          <w:rFonts w:ascii="Times New Roman" w:hAnsi="Times New Roman" w:cs="Times New Roman"/>
          <w:lang w:val="it-IT"/>
        </w:rPr>
        <w:t xml:space="preserve">, A., Rico, A., Sobek, A., </w:t>
      </w:r>
      <w:r w:rsidRPr="005F6ADC">
        <w:rPr>
          <w:rFonts w:ascii="Times New Roman" w:hAnsi="Times New Roman" w:cs="Times New Roman"/>
          <w:i/>
          <w:iCs/>
          <w:lang w:val="it-IT"/>
        </w:rPr>
        <w:t>et al.</w:t>
      </w:r>
      <w:r w:rsidRPr="005F6ADC">
        <w:rPr>
          <w:rFonts w:ascii="Times New Roman" w:hAnsi="Times New Roman" w:cs="Times New Roman"/>
          <w:lang w:val="it-IT"/>
        </w:rPr>
        <w:t xml:space="preserve"> </w:t>
      </w:r>
      <w:r w:rsidRPr="005F6ADC">
        <w:rPr>
          <w:rFonts w:ascii="Times New Roman" w:hAnsi="Times New Roman" w:cs="Times New Roman"/>
        </w:rPr>
        <w:t xml:space="preserve">(2022). Combined effects of heatwaves and micropollutants on freshwater ecosystems: Towards an integrated assessment of extreme events in multiple stressors research. </w:t>
      </w:r>
      <w:r w:rsidRPr="005F6ADC">
        <w:rPr>
          <w:rFonts w:ascii="Times New Roman" w:hAnsi="Times New Roman" w:cs="Times New Roman"/>
          <w:i/>
          <w:iCs/>
        </w:rPr>
        <w:t>Global Change Biology</w:t>
      </w:r>
      <w:r w:rsidRPr="005F6ADC">
        <w:rPr>
          <w:rFonts w:ascii="Times New Roman" w:hAnsi="Times New Roman" w:cs="Times New Roman"/>
        </w:rPr>
        <w:t>, 28, 1248–1267.</w:t>
      </w:r>
    </w:p>
    <w:p w14:paraId="4A271F4F"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lastRenderedPageBreak/>
        <w:t xml:space="preserve">Ross, S.R.P. ‐J., García </w:t>
      </w:r>
      <w:proofErr w:type="spellStart"/>
      <w:r w:rsidRPr="005F6ADC">
        <w:rPr>
          <w:rFonts w:ascii="Times New Roman" w:hAnsi="Times New Roman" w:cs="Times New Roman"/>
        </w:rPr>
        <w:t>Molinos</w:t>
      </w:r>
      <w:proofErr w:type="spellEnd"/>
      <w:r w:rsidRPr="005F6ADC">
        <w:rPr>
          <w:rFonts w:ascii="Times New Roman" w:hAnsi="Times New Roman" w:cs="Times New Roman"/>
        </w:rPr>
        <w:t xml:space="preserve">, J., Okuda, A., Johnstone, J., </w:t>
      </w:r>
      <w:proofErr w:type="spellStart"/>
      <w:r w:rsidRPr="005F6ADC">
        <w:rPr>
          <w:rFonts w:ascii="Times New Roman" w:hAnsi="Times New Roman" w:cs="Times New Roman"/>
        </w:rPr>
        <w:t>Atsumi</w:t>
      </w:r>
      <w:proofErr w:type="spellEnd"/>
      <w:r w:rsidRPr="005F6ADC">
        <w:rPr>
          <w:rFonts w:ascii="Times New Roman" w:hAnsi="Times New Roman" w:cs="Times New Roman"/>
        </w:rPr>
        <w:t xml:space="preserve">, K., </w:t>
      </w:r>
      <w:proofErr w:type="spellStart"/>
      <w:r w:rsidRPr="005F6ADC">
        <w:rPr>
          <w:rFonts w:ascii="Times New Roman" w:hAnsi="Times New Roman" w:cs="Times New Roman"/>
        </w:rPr>
        <w:t>Futamura</w:t>
      </w:r>
      <w:proofErr w:type="spellEnd"/>
      <w:r w:rsidRPr="005F6ADC">
        <w:rPr>
          <w:rFonts w:ascii="Times New Roman" w:hAnsi="Times New Roman" w:cs="Times New Roman"/>
        </w:rPr>
        <w:t xml:space="preserve">, R., </w:t>
      </w:r>
      <w:r w:rsidRPr="005F6ADC">
        <w:rPr>
          <w:rFonts w:ascii="Times New Roman" w:hAnsi="Times New Roman" w:cs="Times New Roman"/>
          <w:i/>
          <w:iCs/>
        </w:rPr>
        <w:t>et al.</w:t>
      </w:r>
      <w:r w:rsidRPr="005F6ADC">
        <w:rPr>
          <w:rFonts w:ascii="Times New Roman" w:hAnsi="Times New Roman" w:cs="Times New Roman"/>
        </w:rPr>
        <w:t xml:space="preserve"> (2021). Predators mitigate the destabilising effects of heatwaves on multitrophic stream communities. </w:t>
      </w:r>
      <w:r w:rsidRPr="005F6ADC">
        <w:rPr>
          <w:rFonts w:ascii="Times New Roman" w:hAnsi="Times New Roman" w:cs="Times New Roman"/>
          <w:i/>
          <w:iCs/>
        </w:rPr>
        <w:t>Global Change Biology</w:t>
      </w:r>
      <w:r w:rsidRPr="005F6ADC">
        <w:rPr>
          <w:rFonts w:ascii="Times New Roman" w:hAnsi="Times New Roman" w:cs="Times New Roman"/>
        </w:rPr>
        <w:t>, 1–14.</w:t>
      </w:r>
    </w:p>
    <w:p w14:paraId="59E9054C"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Schneider, C.A., </w:t>
      </w:r>
      <w:proofErr w:type="spellStart"/>
      <w:r w:rsidRPr="005F6ADC">
        <w:rPr>
          <w:rFonts w:ascii="Times New Roman" w:hAnsi="Times New Roman" w:cs="Times New Roman"/>
        </w:rPr>
        <w:t>Rasband</w:t>
      </w:r>
      <w:proofErr w:type="spellEnd"/>
      <w:r w:rsidRPr="005F6ADC">
        <w:rPr>
          <w:rFonts w:ascii="Times New Roman" w:hAnsi="Times New Roman" w:cs="Times New Roman"/>
        </w:rPr>
        <w:t xml:space="preserve">, W.S. &amp; </w:t>
      </w:r>
      <w:proofErr w:type="spellStart"/>
      <w:r w:rsidRPr="005F6ADC">
        <w:rPr>
          <w:rFonts w:ascii="Times New Roman" w:hAnsi="Times New Roman" w:cs="Times New Roman"/>
        </w:rPr>
        <w:t>Eliceiri</w:t>
      </w:r>
      <w:proofErr w:type="spellEnd"/>
      <w:r w:rsidRPr="005F6ADC">
        <w:rPr>
          <w:rFonts w:ascii="Times New Roman" w:hAnsi="Times New Roman" w:cs="Times New Roman"/>
        </w:rPr>
        <w:t xml:space="preserve">, K.W. (2012). NIH Image to ImageJ: 25 years of image analysis. </w:t>
      </w:r>
      <w:r w:rsidRPr="005F6ADC">
        <w:rPr>
          <w:rFonts w:ascii="Times New Roman" w:hAnsi="Times New Roman" w:cs="Times New Roman"/>
          <w:i/>
          <w:iCs/>
        </w:rPr>
        <w:t>Nature Methods</w:t>
      </w:r>
      <w:r w:rsidRPr="005F6ADC">
        <w:rPr>
          <w:rFonts w:ascii="Times New Roman" w:hAnsi="Times New Roman" w:cs="Times New Roman"/>
        </w:rPr>
        <w:t>, 9.</w:t>
      </w:r>
    </w:p>
    <w:p w14:paraId="5B7D0827"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Sun, J. &amp; Liu, D. (2003). Geometric models for calculating cell biovolume and surface area for phytoplankton. </w:t>
      </w:r>
      <w:r w:rsidRPr="005F6ADC">
        <w:rPr>
          <w:rFonts w:ascii="Times New Roman" w:hAnsi="Times New Roman" w:cs="Times New Roman"/>
          <w:i/>
          <w:iCs/>
        </w:rPr>
        <w:t>Journal of Plankton Research</w:t>
      </w:r>
      <w:r w:rsidRPr="005F6ADC">
        <w:rPr>
          <w:rFonts w:ascii="Times New Roman" w:hAnsi="Times New Roman" w:cs="Times New Roman"/>
        </w:rPr>
        <w:t>, 25.</w:t>
      </w:r>
    </w:p>
    <w:p w14:paraId="66AEAE4F"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Turner, M.G., Calder, W.J., Cumming, G.S., Hughes, T.P., Jentsch, A., </w:t>
      </w:r>
      <w:proofErr w:type="spellStart"/>
      <w:r w:rsidRPr="005F6ADC">
        <w:rPr>
          <w:rFonts w:ascii="Times New Roman" w:hAnsi="Times New Roman" w:cs="Times New Roman"/>
        </w:rPr>
        <w:t>LaDeau</w:t>
      </w:r>
      <w:proofErr w:type="spellEnd"/>
      <w:r w:rsidRPr="005F6ADC">
        <w:rPr>
          <w:rFonts w:ascii="Times New Roman" w:hAnsi="Times New Roman" w:cs="Times New Roman"/>
        </w:rPr>
        <w:t xml:space="preserve">, S.L., </w:t>
      </w:r>
      <w:r w:rsidRPr="005F6ADC">
        <w:rPr>
          <w:rFonts w:ascii="Times New Roman" w:hAnsi="Times New Roman" w:cs="Times New Roman"/>
          <w:i/>
          <w:iCs/>
        </w:rPr>
        <w:t>et al.</w:t>
      </w:r>
      <w:r w:rsidRPr="005F6ADC">
        <w:rPr>
          <w:rFonts w:ascii="Times New Roman" w:hAnsi="Times New Roman" w:cs="Times New Roman"/>
        </w:rPr>
        <w:t xml:space="preserve"> (2020). Climate change, ecosystems and abrupt change: science priorities. </w:t>
      </w:r>
      <w:r w:rsidRPr="005F6ADC">
        <w:rPr>
          <w:rFonts w:ascii="Times New Roman" w:hAnsi="Times New Roman" w:cs="Times New Roman"/>
          <w:i/>
          <w:iCs/>
        </w:rPr>
        <w:t>Philosophical Transactions of the Royal Society B: Biological Sciences</w:t>
      </w:r>
      <w:r w:rsidRPr="005F6ADC">
        <w:rPr>
          <w:rFonts w:ascii="Times New Roman" w:hAnsi="Times New Roman" w:cs="Times New Roman"/>
        </w:rPr>
        <w:t>, 375, 20190105.</w:t>
      </w:r>
    </w:p>
    <w:p w14:paraId="56620D5A" w14:textId="77777777" w:rsidR="005F6ADC" w:rsidRPr="005F6ADC" w:rsidRDefault="005F6ADC" w:rsidP="005F6ADC">
      <w:pPr>
        <w:pStyle w:val="Bibliography"/>
        <w:rPr>
          <w:rFonts w:ascii="Times New Roman" w:hAnsi="Times New Roman" w:cs="Times New Roman"/>
        </w:rPr>
      </w:pPr>
      <w:proofErr w:type="spellStart"/>
      <w:r w:rsidRPr="005F6ADC">
        <w:rPr>
          <w:rFonts w:ascii="Times New Roman" w:hAnsi="Times New Roman" w:cs="Times New Roman"/>
          <w:lang w:val="de-CH"/>
        </w:rPr>
        <w:t>Veraart</w:t>
      </w:r>
      <w:proofErr w:type="spellEnd"/>
      <w:r w:rsidRPr="005F6ADC">
        <w:rPr>
          <w:rFonts w:ascii="Times New Roman" w:hAnsi="Times New Roman" w:cs="Times New Roman"/>
          <w:lang w:val="de-CH"/>
        </w:rPr>
        <w:t xml:space="preserve">, A.J., </w:t>
      </w:r>
      <w:proofErr w:type="spellStart"/>
      <w:r w:rsidRPr="005F6ADC">
        <w:rPr>
          <w:rFonts w:ascii="Times New Roman" w:hAnsi="Times New Roman" w:cs="Times New Roman"/>
          <w:lang w:val="de-CH"/>
        </w:rPr>
        <w:t>Faassen</w:t>
      </w:r>
      <w:proofErr w:type="spellEnd"/>
      <w:r w:rsidRPr="005F6ADC">
        <w:rPr>
          <w:rFonts w:ascii="Times New Roman" w:hAnsi="Times New Roman" w:cs="Times New Roman"/>
          <w:lang w:val="de-CH"/>
        </w:rPr>
        <w:t xml:space="preserve">, E.J., </w:t>
      </w:r>
      <w:proofErr w:type="spellStart"/>
      <w:r w:rsidRPr="005F6ADC">
        <w:rPr>
          <w:rFonts w:ascii="Times New Roman" w:hAnsi="Times New Roman" w:cs="Times New Roman"/>
          <w:lang w:val="de-CH"/>
        </w:rPr>
        <w:t>Dakos</w:t>
      </w:r>
      <w:proofErr w:type="spellEnd"/>
      <w:r w:rsidRPr="005F6ADC">
        <w:rPr>
          <w:rFonts w:ascii="Times New Roman" w:hAnsi="Times New Roman" w:cs="Times New Roman"/>
          <w:lang w:val="de-CH"/>
        </w:rPr>
        <w:t xml:space="preserve">, V., van Nes, E.H., </w:t>
      </w:r>
      <w:proofErr w:type="spellStart"/>
      <w:r w:rsidRPr="005F6ADC">
        <w:rPr>
          <w:rFonts w:ascii="Times New Roman" w:hAnsi="Times New Roman" w:cs="Times New Roman"/>
          <w:lang w:val="de-CH"/>
        </w:rPr>
        <w:t>Lürling</w:t>
      </w:r>
      <w:proofErr w:type="spellEnd"/>
      <w:r w:rsidRPr="005F6ADC">
        <w:rPr>
          <w:rFonts w:ascii="Times New Roman" w:hAnsi="Times New Roman" w:cs="Times New Roman"/>
          <w:lang w:val="de-CH"/>
        </w:rPr>
        <w:t xml:space="preserve">, M. &amp; Scheffer, M. (2012). </w:t>
      </w:r>
      <w:r w:rsidRPr="005F6ADC">
        <w:rPr>
          <w:rFonts w:ascii="Times New Roman" w:hAnsi="Times New Roman" w:cs="Times New Roman"/>
        </w:rPr>
        <w:t xml:space="preserve">Recovery rates reflect distance to a tipping point in a living system. </w:t>
      </w:r>
      <w:r w:rsidRPr="005F6ADC">
        <w:rPr>
          <w:rFonts w:ascii="Times New Roman" w:hAnsi="Times New Roman" w:cs="Times New Roman"/>
          <w:i/>
          <w:iCs/>
        </w:rPr>
        <w:t>Nature</w:t>
      </w:r>
      <w:r w:rsidRPr="005F6ADC">
        <w:rPr>
          <w:rFonts w:ascii="Times New Roman" w:hAnsi="Times New Roman" w:cs="Times New Roman"/>
        </w:rPr>
        <w:t>, 481, 357–359.</w:t>
      </w:r>
    </w:p>
    <w:p w14:paraId="0AA70AD1" w14:textId="77777777" w:rsidR="005F6ADC" w:rsidRPr="005F6ADC" w:rsidRDefault="005F6ADC" w:rsidP="005F6ADC">
      <w:pPr>
        <w:pStyle w:val="Bibliography"/>
        <w:rPr>
          <w:rFonts w:ascii="Times New Roman" w:hAnsi="Times New Roman" w:cs="Times New Roman"/>
        </w:rPr>
      </w:pPr>
      <w:proofErr w:type="spellStart"/>
      <w:r w:rsidRPr="005F6ADC">
        <w:rPr>
          <w:rFonts w:ascii="Times New Roman" w:hAnsi="Times New Roman" w:cs="Times New Roman"/>
        </w:rPr>
        <w:t>Wernberg</w:t>
      </w:r>
      <w:proofErr w:type="spellEnd"/>
      <w:r w:rsidRPr="005F6ADC">
        <w:rPr>
          <w:rFonts w:ascii="Times New Roman" w:hAnsi="Times New Roman" w:cs="Times New Roman"/>
        </w:rPr>
        <w:t xml:space="preserve">, T., Bennett, S., Babcock, R.C., de </w:t>
      </w:r>
      <w:proofErr w:type="spellStart"/>
      <w:r w:rsidRPr="005F6ADC">
        <w:rPr>
          <w:rFonts w:ascii="Times New Roman" w:hAnsi="Times New Roman" w:cs="Times New Roman"/>
        </w:rPr>
        <w:t>Bettignies</w:t>
      </w:r>
      <w:proofErr w:type="spellEnd"/>
      <w:r w:rsidRPr="005F6ADC">
        <w:rPr>
          <w:rFonts w:ascii="Times New Roman" w:hAnsi="Times New Roman" w:cs="Times New Roman"/>
        </w:rPr>
        <w:t xml:space="preserve">, T., Cure, K., </w:t>
      </w:r>
      <w:proofErr w:type="spellStart"/>
      <w:r w:rsidRPr="005F6ADC">
        <w:rPr>
          <w:rFonts w:ascii="Times New Roman" w:hAnsi="Times New Roman" w:cs="Times New Roman"/>
        </w:rPr>
        <w:t>Depczynski</w:t>
      </w:r>
      <w:proofErr w:type="spellEnd"/>
      <w:r w:rsidRPr="005F6ADC">
        <w:rPr>
          <w:rFonts w:ascii="Times New Roman" w:hAnsi="Times New Roman" w:cs="Times New Roman"/>
        </w:rPr>
        <w:t xml:space="preserve">, M., </w:t>
      </w:r>
      <w:r w:rsidRPr="005F6ADC">
        <w:rPr>
          <w:rFonts w:ascii="Times New Roman" w:hAnsi="Times New Roman" w:cs="Times New Roman"/>
          <w:i/>
          <w:iCs/>
        </w:rPr>
        <w:t>et al.</w:t>
      </w:r>
      <w:r w:rsidRPr="005F6ADC">
        <w:rPr>
          <w:rFonts w:ascii="Times New Roman" w:hAnsi="Times New Roman" w:cs="Times New Roman"/>
        </w:rPr>
        <w:t xml:space="preserve"> (2016). Climate-driven regime shift of a temperate marine ecosystem. </w:t>
      </w:r>
      <w:r w:rsidRPr="005F6ADC">
        <w:rPr>
          <w:rFonts w:ascii="Times New Roman" w:hAnsi="Times New Roman" w:cs="Times New Roman"/>
          <w:i/>
          <w:iCs/>
        </w:rPr>
        <w:t>Science</w:t>
      </w:r>
      <w:r w:rsidRPr="005F6ADC">
        <w:rPr>
          <w:rFonts w:ascii="Times New Roman" w:hAnsi="Times New Roman" w:cs="Times New Roman"/>
        </w:rPr>
        <w:t>, 353, 169–172.</w:t>
      </w:r>
    </w:p>
    <w:p w14:paraId="4556B497" w14:textId="77777777" w:rsidR="005F6ADC" w:rsidRPr="005F6ADC" w:rsidRDefault="005F6ADC" w:rsidP="005F6ADC">
      <w:pPr>
        <w:pStyle w:val="Bibliography"/>
        <w:rPr>
          <w:rFonts w:ascii="Times New Roman" w:hAnsi="Times New Roman" w:cs="Times New Roman"/>
        </w:rPr>
      </w:pPr>
      <w:r w:rsidRPr="005F6ADC">
        <w:rPr>
          <w:rFonts w:ascii="Times New Roman" w:hAnsi="Times New Roman" w:cs="Times New Roman"/>
        </w:rPr>
        <w:t xml:space="preserve">Woodward, G., </w:t>
      </w:r>
      <w:proofErr w:type="spellStart"/>
      <w:r w:rsidRPr="005F6ADC">
        <w:rPr>
          <w:rFonts w:ascii="Times New Roman" w:hAnsi="Times New Roman" w:cs="Times New Roman"/>
        </w:rPr>
        <w:t>Bonada</w:t>
      </w:r>
      <w:proofErr w:type="spellEnd"/>
      <w:r w:rsidRPr="005F6ADC">
        <w:rPr>
          <w:rFonts w:ascii="Times New Roman" w:hAnsi="Times New Roman" w:cs="Times New Roman"/>
        </w:rPr>
        <w:t xml:space="preserve">, N., Brown, L.E., Death, R.G., Durance, I., Gray, C., </w:t>
      </w:r>
      <w:r w:rsidRPr="005F6ADC">
        <w:rPr>
          <w:rFonts w:ascii="Times New Roman" w:hAnsi="Times New Roman" w:cs="Times New Roman"/>
          <w:i/>
          <w:iCs/>
        </w:rPr>
        <w:t>et al.</w:t>
      </w:r>
      <w:r w:rsidRPr="005F6ADC">
        <w:rPr>
          <w:rFonts w:ascii="Times New Roman" w:hAnsi="Times New Roman" w:cs="Times New Roman"/>
        </w:rPr>
        <w:t xml:space="preserve"> (2016). The effects of climatic fluctuations and extreme events on running water ecosystems. </w:t>
      </w:r>
      <w:r w:rsidRPr="005F6ADC">
        <w:rPr>
          <w:rFonts w:ascii="Times New Roman" w:hAnsi="Times New Roman" w:cs="Times New Roman"/>
          <w:i/>
          <w:iCs/>
        </w:rPr>
        <w:t>Philosophical Transactions of the Royal Society B: Biological Sciences</w:t>
      </w:r>
      <w:r w:rsidRPr="005F6ADC">
        <w:rPr>
          <w:rFonts w:ascii="Times New Roman" w:hAnsi="Times New Roman" w:cs="Times New Roman"/>
        </w:rPr>
        <w:t>, 371.</w:t>
      </w:r>
    </w:p>
    <w:p w14:paraId="2A5AD555" w14:textId="77777777" w:rsidR="005F6ADC" w:rsidRPr="005F6ADC" w:rsidRDefault="005F6ADC" w:rsidP="005F6ADC">
      <w:pPr>
        <w:pStyle w:val="Bibliography"/>
        <w:rPr>
          <w:rFonts w:ascii="Times New Roman" w:hAnsi="Times New Roman" w:cs="Times New Roman"/>
        </w:rPr>
      </w:pPr>
      <w:proofErr w:type="spellStart"/>
      <w:r w:rsidRPr="005F6ADC">
        <w:rPr>
          <w:rFonts w:ascii="Times New Roman" w:hAnsi="Times New Roman" w:cs="Times New Roman"/>
        </w:rPr>
        <w:t>Woolway</w:t>
      </w:r>
      <w:proofErr w:type="spellEnd"/>
      <w:r w:rsidRPr="005F6ADC">
        <w:rPr>
          <w:rFonts w:ascii="Times New Roman" w:hAnsi="Times New Roman" w:cs="Times New Roman"/>
        </w:rPr>
        <w:t xml:space="preserve">, R.I., </w:t>
      </w:r>
      <w:proofErr w:type="spellStart"/>
      <w:r w:rsidRPr="005F6ADC">
        <w:rPr>
          <w:rFonts w:ascii="Times New Roman" w:hAnsi="Times New Roman" w:cs="Times New Roman"/>
        </w:rPr>
        <w:t>Albergel</w:t>
      </w:r>
      <w:proofErr w:type="spellEnd"/>
      <w:r w:rsidRPr="005F6ADC">
        <w:rPr>
          <w:rFonts w:ascii="Times New Roman" w:hAnsi="Times New Roman" w:cs="Times New Roman"/>
        </w:rPr>
        <w:t xml:space="preserve">, C., </w:t>
      </w:r>
      <w:proofErr w:type="spellStart"/>
      <w:r w:rsidRPr="005F6ADC">
        <w:rPr>
          <w:rFonts w:ascii="Times New Roman" w:hAnsi="Times New Roman" w:cs="Times New Roman"/>
        </w:rPr>
        <w:t>Frölicher</w:t>
      </w:r>
      <w:proofErr w:type="spellEnd"/>
      <w:r w:rsidRPr="005F6ADC">
        <w:rPr>
          <w:rFonts w:ascii="Times New Roman" w:hAnsi="Times New Roman" w:cs="Times New Roman"/>
        </w:rPr>
        <w:t xml:space="preserve">, T.L. &amp; </w:t>
      </w:r>
      <w:proofErr w:type="spellStart"/>
      <w:r w:rsidRPr="005F6ADC">
        <w:rPr>
          <w:rFonts w:ascii="Times New Roman" w:hAnsi="Times New Roman" w:cs="Times New Roman"/>
        </w:rPr>
        <w:t>Perroud</w:t>
      </w:r>
      <w:proofErr w:type="spellEnd"/>
      <w:r w:rsidRPr="005F6ADC">
        <w:rPr>
          <w:rFonts w:ascii="Times New Roman" w:hAnsi="Times New Roman" w:cs="Times New Roman"/>
        </w:rPr>
        <w:t xml:space="preserve">, M. (2022). Severe Lake Heatwaves Attributable to Human‐Induced Global Warming. </w:t>
      </w:r>
      <w:r w:rsidRPr="005F6ADC">
        <w:rPr>
          <w:rFonts w:ascii="Times New Roman" w:hAnsi="Times New Roman" w:cs="Times New Roman"/>
          <w:i/>
          <w:iCs/>
        </w:rPr>
        <w:t>Geophysical Research Letters</w:t>
      </w:r>
      <w:r w:rsidRPr="005F6ADC">
        <w:rPr>
          <w:rFonts w:ascii="Times New Roman" w:hAnsi="Times New Roman" w:cs="Times New Roman"/>
        </w:rPr>
        <w:t>, 49, 1–10.</w:t>
      </w:r>
    </w:p>
    <w:p w14:paraId="79B6D480" w14:textId="77777777" w:rsidR="005F6ADC" w:rsidRPr="005F6ADC" w:rsidRDefault="005F6ADC" w:rsidP="005F6ADC">
      <w:pPr>
        <w:pStyle w:val="Bibliography"/>
        <w:rPr>
          <w:rFonts w:ascii="Times New Roman" w:hAnsi="Times New Roman" w:cs="Times New Roman"/>
        </w:rPr>
      </w:pPr>
      <w:proofErr w:type="spellStart"/>
      <w:r w:rsidRPr="005F6ADC">
        <w:rPr>
          <w:rFonts w:ascii="Times New Roman" w:hAnsi="Times New Roman" w:cs="Times New Roman"/>
        </w:rPr>
        <w:t>Woolway</w:t>
      </w:r>
      <w:proofErr w:type="spellEnd"/>
      <w:r w:rsidRPr="005F6ADC">
        <w:rPr>
          <w:rFonts w:ascii="Times New Roman" w:hAnsi="Times New Roman" w:cs="Times New Roman"/>
        </w:rPr>
        <w:t xml:space="preserve">, R.I., Jennings, E., Shatwell, T., Golub, M., Pierson, D.C. &amp; Maberly, S.C. (2021). Lake heatwaves under climate change. </w:t>
      </w:r>
      <w:r w:rsidRPr="005F6ADC">
        <w:rPr>
          <w:rFonts w:ascii="Times New Roman" w:hAnsi="Times New Roman" w:cs="Times New Roman"/>
          <w:i/>
          <w:iCs/>
        </w:rPr>
        <w:t>Nature</w:t>
      </w:r>
      <w:r w:rsidRPr="005F6ADC">
        <w:rPr>
          <w:rFonts w:ascii="Times New Roman" w:hAnsi="Times New Roman" w:cs="Times New Roman"/>
        </w:rPr>
        <w:t>, 589, 402–407.</w:t>
      </w:r>
    </w:p>
    <w:p w14:paraId="596800DE" w14:textId="0344DE16" w:rsidR="00731629" w:rsidRPr="002328D7" w:rsidRDefault="00731629" w:rsidP="00B657D3">
      <w:pPr>
        <w:pStyle w:val="NormalWeb"/>
        <w:spacing w:before="0" w:beforeAutospacing="0" w:after="0" w:afterAutospacing="0"/>
      </w:pPr>
      <w:r>
        <w:fldChar w:fldCharType="end"/>
      </w:r>
    </w:p>
    <w:sectPr w:rsidR="00731629" w:rsidRPr="00232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E6"/>
    <w:rsid w:val="000A1588"/>
    <w:rsid w:val="000B614D"/>
    <w:rsid w:val="000C3BB4"/>
    <w:rsid w:val="00114A60"/>
    <w:rsid w:val="001155C3"/>
    <w:rsid w:val="00145269"/>
    <w:rsid w:val="001643D2"/>
    <w:rsid w:val="001A0B2B"/>
    <w:rsid w:val="001C6BEB"/>
    <w:rsid w:val="002328D7"/>
    <w:rsid w:val="002A229C"/>
    <w:rsid w:val="002A2CFB"/>
    <w:rsid w:val="00381888"/>
    <w:rsid w:val="003B2EDE"/>
    <w:rsid w:val="003F73C8"/>
    <w:rsid w:val="0042566A"/>
    <w:rsid w:val="00464538"/>
    <w:rsid w:val="0049064C"/>
    <w:rsid w:val="004D1EF4"/>
    <w:rsid w:val="005678B9"/>
    <w:rsid w:val="005B1E26"/>
    <w:rsid w:val="005F6ADC"/>
    <w:rsid w:val="0062155A"/>
    <w:rsid w:val="006B305E"/>
    <w:rsid w:val="0070095B"/>
    <w:rsid w:val="00701612"/>
    <w:rsid w:val="00722898"/>
    <w:rsid w:val="00731629"/>
    <w:rsid w:val="008577B8"/>
    <w:rsid w:val="008C7836"/>
    <w:rsid w:val="00976FE6"/>
    <w:rsid w:val="0099405D"/>
    <w:rsid w:val="009E298A"/>
    <w:rsid w:val="00A758A2"/>
    <w:rsid w:val="00B1127D"/>
    <w:rsid w:val="00B359F8"/>
    <w:rsid w:val="00B657D3"/>
    <w:rsid w:val="00B74CC2"/>
    <w:rsid w:val="00B853E2"/>
    <w:rsid w:val="00B9437F"/>
    <w:rsid w:val="00C07293"/>
    <w:rsid w:val="00CB399C"/>
    <w:rsid w:val="00CF26AC"/>
    <w:rsid w:val="00CF3154"/>
    <w:rsid w:val="00D94652"/>
    <w:rsid w:val="00D97037"/>
    <w:rsid w:val="00DC19C3"/>
    <w:rsid w:val="00E37FB0"/>
    <w:rsid w:val="00E67287"/>
    <w:rsid w:val="00E75FB6"/>
    <w:rsid w:val="00EA6778"/>
    <w:rsid w:val="00EC6922"/>
    <w:rsid w:val="00F217DD"/>
    <w:rsid w:val="00F7406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B5E11DD"/>
  <w15:chartTrackingRefBased/>
  <w15:docId w15:val="{7BE82B84-D6B0-A341-A731-69E7FACCF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76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6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F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F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F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F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F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F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F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FE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976FE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6FE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6FE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6FE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6FE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6FE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6FE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6FE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6F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FE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6F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FE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6F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6FE6"/>
    <w:rPr>
      <w:i/>
      <w:iCs/>
      <w:color w:val="404040" w:themeColor="text1" w:themeTint="BF"/>
      <w:lang w:val="en-GB"/>
    </w:rPr>
  </w:style>
  <w:style w:type="paragraph" w:styleId="ListParagraph">
    <w:name w:val="List Paragraph"/>
    <w:basedOn w:val="Normal"/>
    <w:uiPriority w:val="34"/>
    <w:qFormat/>
    <w:rsid w:val="00976FE6"/>
    <w:pPr>
      <w:ind w:left="720"/>
      <w:contextualSpacing/>
    </w:pPr>
  </w:style>
  <w:style w:type="character" w:styleId="IntenseEmphasis">
    <w:name w:val="Intense Emphasis"/>
    <w:basedOn w:val="DefaultParagraphFont"/>
    <w:uiPriority w:val="21"/>
    <w:qFormat/>
    <w:rsid w:val="00976FE6"/>
    <w:rPr>
      <w:i/>
      <w:iCs/>
      <w:color w:val="0F4761" w:themeColor="accent1" w:themeShade="BF"/>
    </w:rPr>
  </w:style>
  <w:style w:type="paragraph" w:styleId="IntenseQuote">
    <w:name w:val="Intense Quote"/>
    <w:basedOn w:val="Normal"/>
    <w:next w:val="Normal"/>
    <w:link w:val="IntenseQuoteChar"/>
    <w:uiPriority w:val="30"/>
    <w:qFormat/>
    <w:rsid w:val="00976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FE6"/>
    <w:rPr>
      <w:i/>
      <w:iCs/>
      <w:color w:val="0F4761" w:themeColor="accent1" w:themeShade="BF"/>
      <w:lang w:val="en-GB"/>
    </w:rPr>
  </w:style>
  <w:style w:type="character" w:styleId="IntenseReference">
    <w:name w:val="Intense Reference"/>
    <w:basedOn w:val="DefaultParagraphFont"/>
    <w:uiPriority w:val="32"/>
    <w:qFormat/>
    <w:rsid w:val="00976FE6"/>
    <w:rPr>
      <w:b/>
      <w:bCs/>
      <w:smallCaps/>
      <w:color w:val="0F4761" w:themeColor="accent1" w:themeShade="BF"/>
      <w:spacing w:val="5"/>
    </w:rPr>
  </w:style>
  <w:style w:type="paragraph" w:styleId="NormalWeb">
    <w:name w:val="Normal (Web)"/>
    <w:basedOn w:val="Normal"/>
    <w:uiPriority w:val="99"/>
    <w:unhideWhenUsed/>
    <w:rsid w:val="002328D7"/>
    <w:pPr>
      <w:spacing w:before="100" w:beforeAutospacing="1" w:after="100" w:afterAutospacing="1"/>
    </w:pPr>
    <w:rPr>
      <w:rFonts w:ascii="Times New Roman" w:eastAsia="Times New Roman" w:hAnsi="Times New Roman" w:cs="Times New Roman"/>
      <w:kern w:val="0"/>
      <w:lang w:val="en-CH" w:eastAsia="en-GB"/>
      <w14:ligatures w14:val="none"/>
    </w:rPr>
  </w:style>
  <w:style w:type="paragraph" w:styleId="Bibliography">
    <w:name w:val="Bibliography"/>
    <w:basedOn w:val="Normal"/>
    <w:next w:val="Normal"/>
    <w:uiPriority w:val="37"/>
    <w:unhideWhenUsed/>
    <w:rsid w:val="00731629"/>
    <w:pPr>
      <w:ind w:left="720" w:hanging="720"/>
    </w:pPr>
  </w:style>
  <w:style w:type="character" w:styleId="CommentReference">
    <w:name w:val="annotation reference"/>
    <w:basedOn w:val="DefaultParagraphFont"/>
    <w:uiPriority w:val="99"/>
    <w:semiHidden/>
    <w:unhideWhenUsed/>
    <w:rsid w:val="000B614D"/>
    <w:rPr>
      <w:sz w:val="16"/>
      <w:szCs w:val="16"/>
    </w:rPr>
  </w:style>
  <w:style w:type="paragraph" w:styleId="CommentText">
    <w:name w:val="annotation text"/>
    <w:basedOn w:val="Normal"/>
    <w:link w:val="CommentTextChar"/>
    <w:uiPriority w:val="99"/>
    <w:semiHidden/>
    <w:unhideWhenUsed/>
    <w:rsid w:val="000B614D"/>
    <w:rPr>
      <w:sz w:val="20"/>
      <w:szCs w:val="20"/>
    </w:rPr>
  </w:style>
  <w:style w:type="character" w:customStyle="1" w:styleId="CommentTextChar">
    <w:name w:val="Comment Text Char"/>
    <w:basedOn w:val="DefaultParagraphFont"/>
    <w:link w:val="CommentText"/>
    <w:uiPriority w:val="99"/>
    <w:semiHidden/>
    <w:rsid w:val="000B614D"/>
    <w:rPr>
      <w:sz w:val="20"/>
      <w:szCs w:val="20"/>
      <w:lang w:val="en-GB"/>
    </w:rPr>
  </w:style>
  <w:style w:type="paragraph" w:styleId="CommentSubject">
    <w:name w:val="annotation subject"/>
    <w:basedOn w:val="CommentText"/>
    <w:next w:val="CommentText"/>
    <w:link w:val="CommentSubjectChar"/>
    <w:uiPriority w:val="99"/>
    <w:semiHidden/>
    <w:unhideWhenUsed/>
    <w:rsid w:val="000B614D"/>
    <w:rPr>
      <w:b/>
      <w:bCs/>
    </w:rPr>
  </w:style>
  <w:style w:type="character" w:customStyle="1" w:styleId="CommentSubjectChar">
    <w:name w:val="Comment Subject Char"/>
    <w:basedOn w:val="CommentTextChar"/>
    <w:link w:val="CommentSubject"/>
    <w:uiPriority w:val="99"/>
    <w:semiHidden/>
    <w:rsid w:val="000B614D"/>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8933">
      <w:bodyDiv w:val="1"/>
      <w:marLeft w:val="0"/>
      <w:marRight w:val="0"/>
      <w:marTop w:val="0"/>
      <w:marBottom w:val="0"/>
      <w:divBdr>
        <w:top w:val="none" w:sz="0" w:space="0" w:color="auto"/>
        <w:left w:val="none" w:sz="0" w:space="0" w:color="auto"/>
        <w:bottom w:val="none" w:sz="0" w:space="0" w:color="auto"/>
        <w:right w:val="none" w:sz="0" w:space="0" w:color="auto"/>
      </w:divBdr>
    </w:div>
    <w:div w:id="214049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224FA5-8B57-3E49-8F2C-E0A5A0695DC8}">
  <we:reference id="f518cb36-c901-4d52-a9e7-4331342e485d" version="1.2.0.0" store="EXCatalog" storeType="EXCatalog"/>
  <we:alternateReferences>
    <we:reference id="WA200001011" version="1.2.0.0" store="de-CH"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381</TotalTime>
  <Pages>9</Pages>
  <Words>14012</Words>
  <Characters>79870</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Polazzo</dc:creator>
  <cp:keywords/>
  <dc:description/>
  <cp:lastModifiedBy>Francesco Polazzo</cp:lastModifiedBy>
  <cp:revision>4</cp:revision>
  <dcterms:created xsi:type="dcterms:W3CDTF">2024-06-21T11:48:00Z</dcterms:created>
  <dcterms:modified xsi:type="dcterms:W3CDTF">2024-06-27T14:50:00Z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id="dxCqAQAp"/&gt;&lt;style id="http://www.zotero.org/styles/ecology-letters" hasBibliography="1" bibliographyStyleHasBeenSet="1"/&gt;&lt;prefs&gt;&lt;pref name="fieldType" value="Field"/&gt;&lt;/prefs&gt;&lt;/data&gt;</vt:lpwstr>
  </property>
</Properties>
</file>