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C90" w:rsidRPr="007B5FE7" w:rsidRDefault="007B5FE7" w:rsidP="007B5FE7">
      <w:pPr>
        <w:pStyle w:val="Paragrafoelenco"/>
        <w:numPr>
          <w:ilvl w:val="1"/>
          <w:numId w:val="1"/>
        </w:numPr>
        <w:rPr>
          <w:b/>
        </w:rPr>
      </w:pPr>
      <w:r w:rsidRPr="007B5FE7">
        <w:rPr>
          <w:b/>
        </w:rPr>
        <w:t>Purpose and Scope</w:t>
      </w:r>
    </w:p>
    <w:p w:rsidR="007B5FE7" w:rsidRDefault="007B5FE7" w:rsidP="007B5FE7">
      <w:pPr>
        <w:pStyle w:val="Paragrafoelenco"/>
        <w:ind w:left="360"/>
      </w:pPr>
    </w:p>
    <w:p w:rsidR="007B5FE7" w:rsidRPr="007B5FE7" w:rsidRDefault="007B5FE7" w:rsidP="007B5FE7">
      <w:pPr>
        <w:pStyle w:val="Paragrafoelenco"/>
        <w:autoSpaceDE w:val="0"/>
        <w:autoSpaceDN w:val="0"/>
        <w:adjustRightInd w:val="0"/>
        <w:spacing w:after="0" w:line="240" w:lineRule="auto"/>
        <w:ind w:left="502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The purpose of this document is to explain the Project Plan devised for the</w:t>
      </w:r>
    </w:p>
    <w:p w:rsidR="007B5FE7" w:rsidRPr="007B5FE7" w:rsidRDefault="007B5FE7" w:rsidP="007B5FE7">
      <w:pPr>
        <w:autoSpaceDE w:val="0"/>
        <w:autoSpaceDN w:val="0"/>
        <w:adjustRightInd w:val="0"/>
        <w:spacing w:after="0" w:line="240" w:lineRule="auto"/>
        <w:ind w:left="142" w:firstLine="360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system to be. All the people involved in the project could be considered as</w:t>
      </w:r>
    </w:p>
    <w:p w:rsidR="007B5FE7" w:rsidRPr="007B5FE7" w:rsidRDefault="007B5FE7" w:rsidP="007B5FE7">
      <w:pPr>
        <w:pStyle w:val="Paragrafoelenco"/>
        <w:autoSpaceDE w:val="0"/>
        <w:autoSpaceDN w:val="0"/>
        <w:adjustRightInd w:val="0"/>
        <w:spacing w:after="0" w:line="240" w:lineRule="auto"/>
        <w:ind w:left="502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possible readers of the document, but the document itself is more of a guide</w:t>
      </w:r>
    </w:p>
    <w:p w:rsidR="007B5FE7" w:rsidRPr="007B5FE7" w:rsidRDefault="007B5FE7" w:rsidP="007B5FE7">
      <w:pPr>
        <w:pStyle w:val="Paragrafoelenco"/>
        <w:autoSpaceDE w:val="0"/>
        <w:autoSpaceDN w:val="0"/>
        <w:adjustRightInd w:val="0"/>
        <w:spacing w:after="0" w:line="240" w:lineRule="auto"/>
        <w:ind w:left="502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for the Project Manager and the Management in general. The Project Plan</w:t>
      </w:r>
    </w:p>
    <w:p w:rsidR="007B5FE7" w:rsidRPr="007B5FE7" w:rsidRDefault="007B5FE7" w:rsidP="007B5FE7">
      <w:pPr>
        <w:autoSpaceDE w:val="0"/>
        <w:autoSpaceDN w:val="0"/>
        <w:adjustRightInd w:val="0"/>
        <w:spacing w:after="0" w:line="240" w:lineRule="auto"/>
        <w:ind w:left="142" w:firstLine="360"/>
        <w:rPr>
          <w:rFonts w:ascii="CMR10" w:hAnsi="CMR10" w:cs="CMR10"/>
          <w:sz w:val="20"/>
          <w:szCs w:val="20"/>
        </w:rPr>
      </w:pPr>
      <w:r w:rsidRPr="007B5FE7">
        <w:rPr>
          <w:rFonts w:ascii="CMR10" w:hAnsi="CMR10" w:cs="CMR10"/>
          <w:sz w:val="20"/>
          <w:szCs w:val="20"/>
        </w:rPr>
        <w:t>consists in tables, Gantt diagrams, charts and natural language descriptions of</w:t>
      </w:r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           t</w:t>
      </w:r>
      <w:r w:rsidRPr="007B5FE7">
        <w:rPr>
          <w:rFonts w:ascii="CMR10" w:hAnsi="CMR10" w:cs="CMR10"/>
          <w:sz w:val="20"/>
          <w:szCs w:val="20"/>
        </w:rPr>
        <w:t xml:space="preserve">he planning, scheduling and management of </w:t>
      </w:r>
      <w:r>
        <w:rPr>
          <w:rFonts w:ascii="CMTI10" w:hAnsi="CMTI10" w:cs="CMTI10"/>
          <w:sz w:val="20"/>
          <w:szCs w:val="20"/>
        </w:rPr>
        <w:t>PowerEnJoy</w:t>
      </w:r>
      <w:r w:rsidRPr="007B5FE7">
        <w:rPr>
          <w:rFonts w:ascii="CMTI10" w:hAnsi="CMTI10" w:cs="CMTI10"/>
          <w:sz w:val="20"/>
          <w:szCs w:val="20"/>
        </w:rPr>
        <w:t xml:space="preserve"> </w:t>
      </w:r>
      <w:r w:rsidRPr="007B5FE7">
        <w:rPr>
          <w:rFonts w:ascii="CMR10" w:hAnsi="CMR10" w:cs="CMR10"/>
          <w:sz w:val="20"/>
          <w:szCs w:val="20"/>
        </w:rPr>
        <w:t>development.</w:t>
      </w:r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</w:p>
    <w:p w:rsidR="007B5FE7" w:rsidRPr="007B5FE7" w:rsidRDefault="007B5FE7" w:rsidP="007B5FE7">
      <w:pPr>
        <w:pStyle w:val="Paragrafoelenco"/>
        <w:numPr>
          <w:ilvl w:val="1"/>
          <w:numId w:val="1"/>
        </w:numPr>
        <w:rPr>
          <w:rFonts w:ascii="CMR10" w:hAnsi="CMR10" w:cs="CMR10"/>
          <w:b/>
          <w:sz w:val="20"/>
          <w:szCs w:val="20"/>
        </w:rPr>
      </w:pPr>
      <w:r w:rsidRPr="007B5FE7">
        <w:rPr>
          <w:rFonts w:ascii="CMR10" w:hAnsi="CMR10" w:cs="CMR10"/>
          <w:b/>
          <w:sz w:val="20"/>
          <w:szCs w:val="20"/>
        </w:rPr>
        <w:t>List of Definitions and Abbreviations</w:t>
      </w:r>
    </w:p>
    <w:p w:rsidR="007B5FE7" w:rsidRPr="007B5FE7" w:rsidRDefault="007B5FE7" w:rsidP="007B5FE7">
      <w:pPr>
        <w:pStyle w:val="Paragrafoelenco"/>
        <w:ind w:left="360"/>
        <w:rPr>
          <w:rFonts w:ascii="CMR10" w:hAnsi="CMR10" w:cs="CMR10"/>
          <w:b/>
          <w:sz w:val="20"/>
          <w:szCs w:val="20"/>
        </w:rPr>
      </w:pPr>
    </w:p>
    <w:p w:rsidR="007B5FE7" w:rsidRPr="007B5FE7" w:rsidRDefault="007B5FE7" w:rsidP="007B5FE7">
      <w:pPr>
        <w:pStyle w:val="Paragrafoelenco"/>
        <w:numPr>
          <w:ilvl w:val="1"/>
          <w:numId w:val="1"/>
        </w:numPr>
        <w:rPr>
          <w:rFonts w:ascii="CMR10" w:hAnsi="CMR10" w:cs="CMR10"/>
          <w:b/>
          <w:sz w:val="20"/>
          <w:szCs w:val="20"/>
        </w:rPr>
      </w:pPr>
      <w:r w:rsidRPr="007B5FE7">
        <w:rPr>
          <w:rFonts w:ascii="CMR10" w:hAnsi="CMR10" w:cs="CMR10"/>
          <w:b/>
          <w:sz w:val="20"/>
          <w:szCs w:val="20"/>
        </w:rPr>
        <w:t>List of Reference Documents</w:t>
      </w:r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</w:p>
    <w:p w:rsidR="007B5FE7" w:rsidRPr="007B5FE7" w:rsidRDefault="007B5FE7" w:rsidP="007B5FE7">
      <w:pPr>
        <w:rPr>
          <w:rFonts w:ascii="CMR10" w:hAnsi="CMR10" w:cs="CMR10"/>
          <w:b/>
          <w:sz w:val="20"/>
          <w:szCs w:val="20"/>
        </w:rPr>
      </w:pPr>
      <w:r w:rsidRPr="007B5FE7">
        <w:rPr>
          <w:rFonts w:ascii="CMR10" w:hAnsi="CMR10" w:cs="CMR10"/>
          <w:b/>
          <w:sz w:val="20"/>
          <w:szCs w:val="20"/>
        </w:rPr>
        <w:t>2.Function Points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Functional Point approach is a techniqu</w:t>
      </w:r>
      <w:r w:rsidR="001A3DAD">
        <w:rPr>
          <w:rFonts w:ascii="CMR10" w:hAnsi="CMR10" w:cs="CMR10"/>
          <w:sz w:val="20"/>
          <w:szCs w:val="20"/>
        </w:rPr>
        <w:t>e that allows to evaluate the eff</w:t>
      </w:r>
      <w:r>
        <w:rPr>
          <w:rFonts w:ascii="CMR10" w:hAnsi="CMR10" w:cs="CMR10"/>
          <w:sz w:val="20"/>
          <w:szCs w:val="20"/>
        </w:rPr>
        <w:t>ort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needed for the design and </w:t>
      </w:r>
      <w:r w:rsidR="001A3DAD">
        <w:rPr>
          <w:rFonts w:ascii="CMR10" w:hAnsi="CMR10" w:cs="CMR10"/>
          <w:sz w:val="20"/>
          <w:szCs w:val="20"/>
        </w:rPr>
        <w:t>i</w:t>
      </w:r>
      <w:r>
        <w:rPr>
          <w:rFonts w:ascii="CMR10" w:hAnsi="CMR10" w:cs="CMR10"/>
          <w:sz w:val="20"/>
          <w:szCs w:val="20"/>
        </w:rPr>
        <w:t>mplementation of a project. We have used this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technique to evaluate the appl</w:t>
      </w:r>
      <w:r w:rsidR="001A3DAD">
        <w:rPr>
          <w:rFonts w:ascii="CMR10" w:hAnsi="CMR10" w:cs="CMR10"/>
          <w:sz w:val="20"/>
          <w:szCs w:val="20"/>
        </w:rPr>
        <w:t xml:space="preserve">ication dimension basing on the </w:t>
      </w:r>
      <w:r>
        <w:rPr>
          <w:rFonts w:ascii="CMR10" w:hAnsi="CMR10" w:cs="CMR10"/>
          <w:sz w:val="20"/>
          <w:szCs w:val="20"/>
        </w:rPr>
        <w:t>functionalities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of the application itself. The functionalities list has been obtained from the</w:t>
      </w:r>
      <w:r w:rsidR="001A3DAD">
        <w:rPr>
          <w:rFonts w:ascii="CMR10" w:hAnsi="CMR10" w:cs="CMR10"/>
          <w:sz w:val="20"/>
          <w:szCs w:val="20"/>
        </w:rPr>
        <w:t xml:space="preserve"> RASD document and for </w:t>
      </w:r>
      <w:r>
        <w:rPr>
          <w:rFonts w:ascii="CMR10" w:hAnsi="CMR10" w:cs="CMR10"/>
          <w:sz w:val="20"/>
          <w:szCs w:val="20"/>
        </w:rPr>
        <w:t>each one of them the realization complexity has been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evaluated. The functionalities has been groped in:</w:t>
      </w:r>
    </w:p>
    <w:p w:rsidR="001A3DAD" w:rsidRDefault="001A3DAD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Internal Logic File: it represents a set of homogeneous data handled by</w:t>
      </w:r>
      <w:r w:rsidR="001A3DAD">
        <w:rPr>
          <w:rFonts w:ascii="CMR10" w:hAnsi="CMR10" w:cs="CMR10"/>
          <w:sz w:val="20"/>
          <w:szCs w:val="20"/>
        </w:rPr>
        <w:t xml:space="preserve"> t</w:t>
      </w:r>
      <w:r>
        <w:rPr>
          <w:rFonts w:ascii="CMR10" w:hAnsi="CMR10" w:cs="CMR10"/>
          <w:sz w:val="20"/>
          <w:szCs w:val="20"/>
        </w:rPr>
        <w:t>he system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External Interface File: it represents a set of homogeneous data used by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 application but handled by external application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External Input: elementary operation that allows input of data in the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system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External Output: elementary operation that creates a bit stream towards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the outside of the application</w:t>
      </w:r>
    </w:p>
    <w:p w:rsidR="007B5FE7" w:rsidRDefault="007B5FE7" w:rsidP="007B5F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SY10" w:hAnsi="CMSY10" w:cs="CMSY10"/>
          <w:sz w:val="20"/>
          <w:szCs w:val="20"/>
        </w:rPr>
        <w:t xml:space="preserve">_ </w:t>
      </w:r>
      <w:r>
        <w:rPr>
          <w:rFonts w:ascii="CMR10" w:hAnsi="CMR10" w:cs="CMR10"/>
          <w:sz w:val="20"/>
          <w:szCs w:val="20"/>
        </w:rPr>
        <w:t>External Inquiry: elementary operation that involves input and output</w:t>
      </w:r>
      <w:r w:rsidR="001A3DAD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>operations</w:t>
      </w:r>
    </w:p>
    <w:p w:rsidR="007B5FE7" w:rsidRDefault="007B5FE7" w:rsidP="007B5FE7">
      <w:pPr>
        <w:rPr>
          <w:rFonts w:ascii="CMR10" w:hAnsi="CMR10" w:cs="CMR10"/>
          <w:sz w:val="20"/>
          <w:szCs w:val="20"/>
        </w:rPr>
      </w:pPr>
    </w:p>
    <w:p w:rsidR="005F5B85" w:rsidRDefault="005F5B85" w:rsidP="005F5B8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The following table outline the number of Functional Point based on func-</w:t>
      </w:r>
    </w:p>
    <w:p w:rsidR="001A3DAD" w:rsidRDefault="005F5B85" w:rsidP="005F5B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tionality and relative complexity:</w:t>
      </w:r>
    </w:p>
    <w:p w:rsidR="005F5B85" w:rsidRDefault="005F5B85" w:rsidP="005F5B85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noProof/>
          <w:sz w:val="20"/>
          <w:szCs w:val="20"/>
          <w:lang w:eastAsia="it-IT"/>
        </w:rPr>
        <w:drawing>
          <wp:inline distT="0" distB="0" distL="0" distR="0">
            <wp:extent cx="2863997" cy="97795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83C" w:rsidRDefault="00C9683C" w:rsidP="005F5B85">
      <w:pPr>
        <w:rPr>
          <w:rFonts w:ascii="CMR10" w:hAnsi="CMR10" w:cs="CMR10"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sz w:val="20"/>
          <w:szCs w:val="20"/>
        </w:rPr>
      </w:pP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 Functional Point estimation</w:t>
      </w: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2.2.1 Internal Logic Files</w:t>
      </w: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2.2.2 External Logic Files</w:t>
      </w: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2.2.3 External Input</w:t>
      </w: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2.2.4 External Output</w:t>
      </w:r>
    </w:p>
    <w:p w:rsid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2.2.5 External Inquiry</w:t>
      </w:r>
    </w:p>
    <w:p w:rsidR="00C9683C" w:rsidRPr="00C9683C" w:rsidRDefault="00C9683C" w:rsidP="005F5B85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b/>
          <w:sz w:val="20"/>
          <w:szCs w:val="20"/>
        </w:rPr>
        <w:t>2.2.6 Summary</w:t>
      </w:r>
    </w:p>
    <w:p w:rsidR="007B5FE7" w:rsidRDefault="007B5FE7" w:rsidP="007B5FE7"/>
    <w:p w:rsidR="00C9683C" w:rsidRDefault="00C9683C" w:rsidP="007B5FE7"/>
    <w:p w:rsidR="00C9683C" w:rsidRDefault="00C9683C" w:rsidP="007B5FE7">
      <w:pPr>
        <w:rPr>
          <w:b/>
        </w:rPr>
      </w:pPr>
      <w:r w:rsidRPr="00C9683C">
        <w:rPr>
          <w:b/>
        </w:rPr>
        <w:t>3 Cocomo</w:t>
      </w:r>
    </w:p>
    <w:p w:rsidR="00C9683C" w:rsidRDefault="00C9683C" w:rsidP="007B5FE7">
      <w:pPr>
        <w:rPr>
          <w:b/>
        </w:rPr>
      </w:pPr>
      <w:r>
        <w:rPr>
          <w:b/>
        </w:rPr>
        <w:t xml:space="preserve">3.1 Introduction </w:t>
      </w:r>
    </w:p>
    <w:p w:rsidR="00C9683C" w:rsidRDefault="00C9683C" w:rsidP="007B5FE7">
      <w:pPr>
        <w:rPr>
          <w:b/>
        </w:rPr>
      </w:pPr>
      <w:r>
        <w:rPr>
          <w:b/>
        </w:rPr>
        <w:t>3.2 Scale drivers</w:t>
      </w:r>
    </w:p>
    <w:p w:rsidR="00C9683C" w:rsidRDefault="00C9683C" w:rsidP="007B5FE7">
      <w:pPr>
        <w:rPr>
          <w:b/>
        </w:rPr>
      </w:pPr>
      <w:r>
        <w:rPr>
          <w:b/>
        </w:rPr>
        <w:t>3.3 Cost drivers</w:t>
      </w:r>
    </w:p>
    <w:p w:rsidR="00C9683C" w:rsidRDefault="00C9683C" w:rsidP="007B5FE7">
      <w:pPr>
        <w:rPr>
          <w:b/>
        </w:rPr>
      </w:pPr>
      <w:r>
        <w:rPr>
          <w:b/>
        </w:rPr>
        <w:t>3.4 Schedule Estimation</w:t>
      </w: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4 Task and Schedule</w:t>
      </w:r>
    </w:p>
    <w:p w:rsidR="00C9683C" w:rsidRDefault="00C9683C" w:rsidP="007B5FE7">
      <w:pPr>
        <w:rPr>
          <w:b/>
        </w:rPr>
      </w:pPr>
      <w:r>
        <w:rPr>
          <w:b/>
        </w:rPr>
        <w:t>4.1 Task</w:t>
      </w:r>
    </w:p>
    <w:p w:rsidR="00C9683C" w:rsidRDefault="00C9683C" w:rsidP="007B5FE7">
      <w:pPr>
        <w:rPr>
          <w:b/>
        </w:rPr>
      </w:pPr>
      <w:r>
        <w:rPr>
          <w:b/>
        </w:rPr>
        <w:t>4.2 Schedule</w:t>
      </w: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5 Resources</w:t>
      </w: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6 Risk</w:t>
      </w: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</w:p>
    <w:p w:rsidR="00C9683C" w:rsidRDefault="00C9683C" w:rsidP="007B5FE7">
      <w:pPr>
        <w:rPr>
          <w:b/>
        </w:rPr>
      </w:pPr>
      <w:r>
        <w:rPr>
          <w:b/>
        </w:rPr>
        <w:t>Appendix</w:t>
      </w:r>
      <w:bookmarkStart w:id="0" w:name="_GoBack"/>
      <w:bookmarkEnd w:id="0"/>
    </w:p>
    <w:p w:rsidR="00C9683C" w:rsidRPr="00C9683C" w:rsidRDefault="00C9683C" w:rsidP="007B5FE7">
      <w:pPr>
        <w:rPr>
          <w:b/>
        </w:rPr>
      </w:pPr>
    </w:p>
    <w:sectPr w:rsidR="00C9683C" w:rsidRPr="00C9683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15CCA"/>
    <w:multiLevelType w:val="multilevel"/>
    <w:tmpl w:val="59D0EBF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7"/>
    <w:rsid w:val="001A3DAD"/>
    <w:rsid w:val="005F5B85"/>
    <w:rsid w:val="007B5FE7"/>
    <w:rsid w:val="00C9683C"/>
    <w:rsid w:val="00F9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C302"/>
  <w15:chartTrackingRefBased/>
  <w15:docId w15:val="{020194B8-1F5F-4C80-A2A4-162968A9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B5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Redaelli</dc:creator>
  <cp:keywords/>
  <dc:description/>
  <cp:lastModifiedBy>Marco Redaelli</cp:lastModifiedBy>
  <cp:revision>5</cp:revision>
  <dcterms:created xsi:type="dcterms:W3CDTF">2017-01-18T09:49:00Z</dcterms:created>
  <dcterms:modified xsi:type="dcterms:W3CDTF">2017-01-18T10:00:00Z</dcterms:modified>
</cp:coreProperties>
</file>