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38BE6">
      <w:pPr>
        <w:spacing w:before="480" w:after="480" w:line="288" w:lineRule="auto"/>
        <w:ind w:left="0"/>
      </w:pPr>
      <w:bookmarkStart w:id="16" w:name="_GoBack"/>
      <w:r>
        <w:rPr>
          <w:rFonts w:hint="eastAsia" w:ascii="Arial" w:hAnsi="Arial" w:eastAsia="等线" w:cs="Arial"/>
          <w:b/>
          <w:sz w:val="52"/>
          <w:lang w:val="en-US" w:eastAsia="zh-CN"/>
        </w:rPr>
        <w:t>优先</w:t>
      </w:r>
      <w:r>
        <w:rPr>
          <w:rFonts w:ascii="Arial" w:hAnsi="Arial" w:eastAsia="等线" w:cs="Arial"/>
          <w:b/>
          <w:sz w:val="52"/>
        </w:rPr>
        <w:t>项目方案</w:t>
      </w:r>
      <w:r>
        <w:rPr>
          <w:rFonts w:hint="eastAsia" w:ascii="Arial" w:hAnsi="Arial" w:eastAsia="等线" w:cs="Arial"/>
          <w:b/>
          <w:sz w:val="52"/>
          <w:lang w:eastAsia="zh-CN"/>
        </w:rPr>
        <w:t>——</w:t>
      </w:r>
      <w:r>
        <w:rPr>
          <w:rFonts w:ascii="Arial" w:hAnsi="Arial" w:eastAsia="等线" w:cs="Arial"/>
          <w:b/>
          <w:sz w:val="52"/>
        </w:rPr>
        <w:t>共感城市实验室</w:t>
      </w:r>
    </w:p>
    <w:bookmarkEnd w:id="16"/>
    <w:p w14:paraId="4E1919CE">
      <w:pPr>
        <w:spacing w:before="320" w:after="120" w:line="288" w:lineRule="auto"/>
        <w:ind w:left="0"/>
        <w:jc w:val="left"/>
        <w:outlineLvl w:val="1"/>
      </w:pPr>
      <w:bookmarkStart w:id="0" w:name="heading_0"/>
      <w:r>
        <w:rPr>
          <w:rFonts w:ascii="Arial" w:hAnsi="Arial" w:eastAsia="等线" w:cs="Arial"/>
          <w:b/>
          <w:sz w:val="32"/>
        </w:rPr>
        <w:t>一、项目名称与定位</w:t>
      </w:r>
      <w:bookmarkEnd w:id="0"/>
    </w:p>
    <w:p w14:paraId="6EF25FE1">
      <w:pPr>
        <w:numPr>
          <w:ilvl w:val="0"/>
          <w:numId w:val="1"/>
        </w:numPr>
        <w:spacing w:before="120" w:after="120" w:line="288" w:lineRule="auto"/>
        <w:ind w:left="0"/>
        <w:jc w:val="left"/>
      </w:pPr>
      <w:r>
        <w:rPr>
          <w:rFonts w:ascii="Arial" w:hAnsi="Arial" w:eastAsia="等线" w:cs="Arial"/>
          <w:b/>
          <w:sz w:val="22"/>
        </w:rPr>
        <w:t>中文名称</w:t>
      </w:r>
      <w:r>
        <w:rPr>
          <w:rFonts w:ascii="Arial" w:hAnsi="Arial" w:eastAsia="等线" w:cs="Arial"/>
          <w:sz w:val="22"/>
        </w:rPr>
        <w:t>：共感城市实验室</w:t>
      </w:r>
    </w:p>
    <w:p w14:paraId="72E400BB">
      <w:pPr>
        <w:numPr>
          <w:ilvl w:val="0"/>
          <w:numId w:val="2"/>
        </w:numPr>
        <w:spacing w:before="120" w:after="120" w:line="288" w:lineRule="auto"/>
        <w:ind w:left="0"/>
        <w:jc w:val="left"/>
      </w:pPr>
      <w:r>
        <w:rPr>
          <w:rFonts w:ascii="Arial" w:hAnsi="Arial" w:eastAsia="等线" w:cs="Arial"/>
          <w:b/>
          <w:sz w:val="22"/>
        </w:rPr>
        <w:t>英文名称</w:t>
      </w:r>
      <w:r>
        <w:rPr>
          <w:rFonts w:ascii="Arial" w:hAnsi="Arial" w:eastAsia="等线" w:cs="Arial"/>
          <w:sz w:val="22"/>
        </w:rPr>
        <w:t>：Civic Sensing Lab</w:t>
      </w:r>
    </w:p>
    <w:p w14:paraId="3C3FD225">
      <w:pPr>
        <w:numPr>
          <w:ilvl w:val="0"/>
          <w:numId w:val="3"/>
        </w:numPr>
        <w:spacing w:before="120" w:after="120" w:line="288" w:lineRule="auto"/>
        <w:ind w:left="0"/>
        <w:jc w:val="left"/>
      </w:pPr>
      <w:r>
        <w:rPr>
          <w:rFonts w:ascii="Arial" w:hAnsi="Arial" w:eastAsia="等线" w:cs="Arial"/>
          <w:b/>
          <w:sz w:val="22"/>
        </w:rPr>
        <w:t>缩写</w:t>
      </w:r>
      <w:r>
        <w:rPr>
          <w:rFonts w:ascii="Arial" w:hAnsi="Arial" w:eastAsia="等线" w:cs="Arial"/>
          <w:sz w:val="22"/>
        </w:rPr>
        <w:t>：CSL</w:t>
      </w:r>
    </w:p>
    <w:p w14:paraId="4D909CA2">
      <w:pPr>
        <w:numPr>
          <w:ilvl w:val="0"/>
          <w:numId w:val="4"/>
        </w:numPr>
        <w:spacing w:before="120" w:after="120" w:line="288" w:lineRule="auto"/>
        <w:ind w:left="0"/>
        <w:jc w:val="left"/>
      </w:pPr>
      <w:r>
        <w:rPr>
          <w:rFonts w:ascii="Arial" w:hAnsi="Arial" w:eastAsia="等线" w:cs="Arial"/>
          <w:b/>
          <w:sz w:val="22"/>
        </w:rPr>
        <w:t>Slogan</w:t>
      </w:r>
      <w:r>
        <w:rPr>
          <w:rFonts w:ascii="Arial" w:hAnsi="Arial" w:eastAsia="等线" w:cs="Arial"/>
          <w:sz w:val="22"/>
        </w:rPr>
        <w:t>：用艺术和科学观察真实世界</w:t>
      </w:r>
    </w:p>
    <w:p w14:paraId="445C4434">
      <w:pPr>
        <w:numPr>
          <w:ilvl w:val="0"/>
          <w:numId w:val="5"/>
        </w:numPr>
        <w:spacing w:before="120" w:after="120" w:line="288" w:lineRule="auto"/>
        <w:ind w:left="0"/>
        <w:jc w:val="left"/>
      </w:pPr>
      <w:r>
        <w:rPr>
          <w:rFonts w:ascii="Arial" w:hAnsi="Arial" w:eastAsia="等线" w:cs="Arial"/>
          <w:b/>
          <w:sz w:val="22"/>
        </w:rPr>
        <w:t>English Slogan</w:t>
      </w:r>
      <w:r>
        <w:rPr>
          <w:rFonts w:ascii="Arial" w:hAnsi="Arial" w:eastAsia="等线" w:cs="Arial"/>
          <w:sz w:val="22"/>
        </w:rPr>
        <w:t>：Sense the city. Shape the commons.</w:t>
      </w:r>
    </w:p>
    <w:p w14:paraId="369B7BCA">
      <w:pPr>
        <w:numPr>
          <w:ilvl w:val="0"/>
          <w:numId w:val="6"/>
        </w:numPr>
        <w:spacing w:before="120" w:after="120" w:line="288" w:lineRule="auto"/>
        <w:ind w:left="0"/>
        <w:jc w:val="left"/>
      </w:pPr>
      <w:r>
        <w:rPr>
          <w:rFonts w:ascii="Arial" w:hAnsi="Arial" w:eastAsia="等线" w:cs="Arial"/>
          <w:b/>
          <w:sz w:val="22"/>
        </w:rPr>
        <w:t>一句话介绍</w:t>
      </w:r>
      <w:r>
        <w:rPr>
          <w:rFonts w:ascii="Arial" w:hAnsi="Arial" w:eastAsia="等线" w:cs="Arial"/>
          <w:sz w:val="22"/>
        </w:rPr>
        <w:t>：共感城市实验室通过开源硬件、环境数据、媒介艺术和公共展览，帮助青少年与大学生把身边公共问题变成可验证、可表达、可复用、可持续维护的开放公民项目。</w:t>
      </w:r>
    </w:p>
    <w:p w14:paraId="4747F529">
      <w:pPr>
        <w:spacing w:before="300" w:after="120" w:line="288" w:lineRule="auto"/>
        <w:ind w:left="0"/>
        <w:jc w:val="left"/>
        <w:outlineLvl w:val="2"/>
      </w:pPr>
      <w:bookmarkStart w:id="1" w:name="heading_1"/>
      <w:r>
        <w:rPr>
          <w:rFonts w:ascii="Arial" w:hAnsi="Arial" w:eastAsia="等线" w:cs="Arial"/>
          <w:b/>
          <w:sz w:val="30"/>
        </w:rPr>
        <w:t>1.1 项目简介（100字以内）</w:t>
      </w:r>
      <w:bookmarkEnd w:id="1"/>
    </w:p>
    <w:p w14:paraId="057CF1FF">
      <w:pPr>
        <w:spacing w:before="120" w:after="120" w:line="288" w:lineRule="auto"/>
        <w:ind w:left="0"/>
        <w:jc w:val="left"/>
      </w:pPr>
      <w:r>
        <w:rPr>
          <w:rFonts w:ascii="Arial" w:hAnsi="Arial" w:eastAsia="等线" w:cs="Arial"/>
          <w:sz w:val="22"/>
        </w:rPr>
        <w:t>共感城市实验室是一套面向青少年与大学生的艺术科技素养教育项目，围绕空气、声音、水体、热岛、生物多样性和公共空间等议题，结合开源硬件、数据采集、媒介表达、公共展览和OCPC项目公地孵化，培养学生科学观察、证据意识、艺术表达、开放协作和公共参与能力。</w:t>
      </w:r>
    </w:p>
    <w:p w14:paraId="2C8D5FBD">
      <w:pPr>
        <w:spacing w:before="300" w:after="120" w:line="288" w:lineRule="auto"/>
        <w:ind w:left="0"/>
        <w:jc w:val="left"/>
        <w:outlineLvl w:val="2"/>
      </w:pPr>
      <w:bookmarkStart w:id="2" w:name="heading_2"/>
      <w:r>
        <w:rPr>
          <w:rFonts w:ascii="Arial" w:hAnsi="Arial" w:eastAsia="等线" w:cs="Arial"/>
          <w:b/>
          <w:sz w:val="30"/>
        </w:rPr>
        <w:t>1.2 项目愿景（300字以内）</w:t>
      </w:r>
      <w:bookmarkEnd w:id="2"/>
    </w:p>
    <w:p w14:paraId="5D7A5FE1">
      <w:pPr>
        <w:spacing w:before="120" w:after="120" w:line="288" w:lineRule="auto"/>
        <w:ind w:left="0"/>
        <w:jc w:val="left"/>
      </w:pPr>
      <w:r>
        <w:rPr>
          <w:rFonts w:ascii="Arial" w:hAnsi="Arial" w:eastAsia="等线" w:cs="Arial"/>
          <w:sz w:val="22"/>
        </w:rPr>
        <w:t>我们希望把学校、博物馆、科技馆、社区、公园、科研机构、开源社区和公益资源连接起来，让青年不再只是被动学习科学知识，也不只是完成一次创客作品，而是能够用证据理解真实世界，用艺术表达公共经验，用开源方式分享工具与知识，用共同治理维护项目成果。长期看，共感城市实验室将沉淀一批可复用的青少年公民科学项目、环境数据工具包、开放课程、数据艺术展览、公共议题档案和贡献记录，形成面向公共利益的青年OCPC项目网络，助力青年成长与城市公共治理双向赋能。</w:t>
      </w:r>
    </w:p>
    <w:p w14:paraId="39FACA6F">
      <w:pPr>
        <w:spacing w:before="320" w:after="120" w:line="288" w:lineRule="auto"/>
        <w:ind w:left="0"/>
        <w:jc w:val="left"/>
        <w:outlineLvl w:val="1"/>
      </w:pPr>
      <w:bookmarkStart w:id="3" w:name="heading_3"/>
      <w:r>
        <w:rPr>
          <w:rFonts w:ascii="Arial" w:hAnsi="Arial" w:eastAsia="等线" w:cs="Arial"/>
          <w:b/>
          <w:sz w:val="32"/>
        </w:rPr>
        <w:t>二、核心核心信息</w:t>
      </w:r>
      <w:bookmarkEnd w:id="3"/>
    </w:p>
    <w:p w14:paraId="6B9E4477">
      <w:pPr>
        <w:spacing w:before="300" w:after="120" w:line="288" w:lineRule="auto"/>
        <w:ind w:left="0"/>
        <w:jc w:val="left"/>
        <w:outlineLvl w:val="2"/>
      </w:pPr>
      <w:bookmarkStart w:id="4" w:name="heading_4"/>
      <w:r>
        <w:rPr>
          <w:rFonts w:ascii="Arial" w:hAnsi="Arial" w:eastAsia="等线" w:cs="Arial"/>
          <w:b/>
          <w:sz w:val="30"/>
        </w:rPr>
        <w:t>2.1 核心用户</w:t>
      </w:r>
      <w:bookmarkEnd w:id="4"/>
    </w:p>
    <w:p w14:paraId="2D0E7B3F">
      <w:pPr>
        <w:spacing w:before="120" w:after="120" w:line="288" w:lineRule="auto"/>
        <w:ind w:left="0"/>
        <w:jc w:val="left"/>
      </w:pPr>
      <w:r>
        <w:rPr>
          <w:rFonts w:ascii="Arial" w:hAnsi="Arial" w:eastAsia="等线" w:cs="Arial"/>
          <w:sz w:val="22"/>
        </w:rPr>
        <w:t>初高中学生、大学生、各类学校（中小学、高校）、博物馆、科技馆（核心付费与合作主体，同时为项目提供展示、研学场景）。</w:t>
      </w:r>
    </w:p>
    <w:p w14:paraId="40A96293">
      <w:pPr>
        <w:spacing w:before="300" w:after="120" w:line="288" w:lineRule="auto"/>
        <w:ind w:left="0"/>
        <w:jc w:val="left"/>
        <w:outlineLvl w:val="2"/>
      </w:pPr>
      <w:bookmarkStart w:id="5" w:name="heading_5"/>
      <w:r>
        <w:rPr>
          <w:rFonts w:ascii="Arial" w:hAnsi="Arial" w:eastAsia="等线" w:cs="Arial"/>
          <w:b/>
          <w:sz w:val="30"/>
        </w:rPr>
        <w:t>2.2 核心场景</w:t>
      </w:r>
      <w:bookmarkEnd w:id="5"/>
    </w:p>
    <w:p w14:paraId="7F298EFB">
      <w:pPr>
        <w:spacing w:before="120" w:after="120" w:line="288" w:lineRule="auto"/>
        <w:ind w:left="0"/>
        <w:jc w:val="left"/>
      </w:pPr>
      <w:r>
        <w:rPr>
          <w:rFonts w:ascii="Arial" w:hAnsi="Arial" w:eastAsia="等线" w:cs="Arial"/>
          <w:sz w:val="22"/>
        </w:rPr>
        <w:t>校园（学生日常观测、课程实践）、社区（公共议题调研）、河流/公园（环境数据采集）、展厅（数据艺术展、成果展示）。</w:t>
      </w:r>
    </w:p>
    <w:p w14:paraId="64ECA3F7">
      <w:pPr>
        <w:spacing w:before="300" w:after="120" w:line="288" w:lineRule="auto"/>
        <w:ind w:left="0"/>
        <w:jc w:val="left"/>
        <w:outlineLvl w:val="2"/>
      </w:pPr>
      <w:bookmarkStart w:id="6" w:name="heading_6"/>
      <w:r>
        <w:rPr>
          <w:rFonts w:ascii="Arial" w:hAnsi="Arial" w:eastAsia="等线" w:cs="Arial"/>
          <w:b/>
          <w:sz w:val="30"/>
        </w:rPr>
        <w:t>2.3 核心公共议题</w:t>
      </w:r>
      <w:bookmarkEnd w:id="6"/>
    </w:p>
    <w:p w14:paraId="45E07E74">
      <w:pPr>
        <w:spacing w:before="120" w:after="120" w:line="288" w:lineRule="auto"/>
        <w:ind w:left="0"/>
        <w:jc w:val="left"/>
      </w:pPr>
      <w:r>
        <w:rPr>
          <w:rFonts w:ascii="Arial" w:hAnsi="Arial" w:eastAsia="等线" w:cs="Arial"/>
          <w:sz w:val="22"/>
        </w:rPr>
        <w:t>聚焦空气质量、声音污染、水体状况、城市热岛效应、生物多样性五大核心环境与公共空间议题，贴合青年可感知、可参与的身边场景。</w:t>
      </w:r>
    </w:p>
    <w:p w14:paraId="405020F6">
      <w:pPr>
        <w:spacing w:before="320" w:after="120" w:line="288" w:lineRule="auto"/>
        <w:ind w:left="0"/>
        <w:jc w:val="left"/>
        <w:outlineLvl w:val="1"/>
      </w:pPr>
      <w:bookmarkStart w:id="7" w:name="heading_7"/>
      <w:r>
        <w:rPr>
          <w:rFonts w:ascii="Arial" w:hAnsi="Arial" w:eastAsia="等线" w:cs="Arial"/>
          <w:b/>
          <w:sz w:val="32"/>
        </w:rPr>
        <w:t>三、解决方案（核心执行路径）</w:t>
      </w:r>
      <w:bookmarkEnd w:id="7"/>
    </w:p>
    <w:p w14:paraId="59B8E73A">
      <w:pPr>
        <w:spacing w:before="120" w:after="120" w:line="288" w:lineRule="auto"/>
        <w:ind w:left="0"/>
        <w:jc w:val="left"/>
      </w:pPr>
      <w:r>
        <w:rPr>
          <w:rFonts w:ascii="Arial" w:hAnsi="Arial" w:eastAsia="等线" w:cs="Arial"/>
          <w:sz w:val="22"/>
        </w:rPr>
        <w:t>以“四位一体”模式落地，兼顾教育性、实践性与传播性，确保项目可落地、可复制、可延续：</w:t>
      </w:r>
    </w:p>
    <w:p w14:paraId="2B676BA0">
      <w:pPr>
        <w:numPr>
          <w:ilvl w:val="0"/>
          <w:numId w:val="7"/>
        </w:numPr>
        <w:spacing w:before="120" w:after="120" w:line="288" w:lineRule="auto"/>
        <w:ind w:left="0"/>
        <w:jc w:val="left"/>
      </w:pPr>
      <w:r>
        <w:rPr>
          <w:rFonts w:ascii="Arial" w:hAnsi="Arial" w:eastAsia="等线" w:cs="Arial"/>
          <w:b/>
          <w:sz w:val="22"/>
        </w:rPr>
        <w:t>训练营</w:t>
      </w:r>
      <w:r>
        <w:rPr>
          <w:rFonts w:ascii="Arial" w:hAnsi="Arial" w:eastAsia="等线" w:cs="Arial"/>
          <w:sz w:val="22"/>
        </w:rPr>
        <w:t>：开展线下/线上结合的创客训练营，教授开源传感器使用、数据采集与分析、媒介艺术表达技巧，引导学生聚焦具体公共议题，组建小组完成项目雏形。</w:t>
      </w:r>
    </w:p>
    <w:p w14:paraId="749AB034">
      <w:pPr>
        <w:numPr>
          <w:ilvl w:val="0"/>
          <w:numId w:val="8"/>
        </w:numPr>
        <w:spacing w:before="120" w:after="120" w:line="288" w:lineRule="auto"/>
        <w:ind w:left="0"/>
        <w:jc w:val="left"/>
      </w:pPr>
      <w:r>
        <w:rPr>
          <w:rFonts w:ascii="Arial" w:hAnsi="Arial" w:eastAsia="等线" w:cs="Arial"/>
          <w:b/>
          <w:sz w:val="22"/>
        </w:rPr>
        <w:t>生态研学</w:t>
      </w:r>
      <w:r>
        <w:rPr>
          <w:rFonts w:ascii="Arial" w:hAnsi="Arial" w:eastAsia="等线" w:cs="Arial"/>
          <w:sz w:val="22"/>
        </w:rPr>
        <w:t>：联动公园、社区、河流等场景，组织实地研学活动，让学生在真实环境中开展数据采集、议题调研，将理论知识转化为实践能力。</w:t>
      </w:r>
    </w:p>
    <w:p w14:paraId="5863C954">
      <w:pPr>
        <w:numPr>
          <w:ilvl w:val="0"/>
          <w:numId w:val="9"/>
        </w:numPr>
        <w:spacing w:before="120" w:after="120" w:line="288" w:lineRule="auto"/>
        <w:ind w:left="0"/>
        <w:jc w:val="left"/>
      </w:pPr>
      <w:r>
        <w:rPr>
          <w:rFonts w:ascii="Arial" w:hAnsi="Arial" w:eastAsia="等线" w:cs="Arial"/>
          <w:b/>
          <w:sz w:val="22"/>
        </w:rPr>
        <w:t>数据艺术展</w:t>
      </w:r>
      <w:r>
        <w:rPr>
          <w:rFonts w:ascii="Arial" w:hAnsi="Arial" w:eastAsia="等线" w:cs="Arial"/>
          <w:sz w:val="22"/>
        </w:rPr>
        <w:t>：将学生采集的环境数据、创作的媒介作品，在博物馆、科技馆、校园展厅举办展览，实现成果可视化，扩大项目影响力，增强学生成就感。</w:t>
      </w:r>
    </w:p>
    <w:p w14:paraId="1AF0936A">
      <w:pPr>
        <w:numPr>
          <w:ilvl w:val="0"/>
          <w:numId w:val="10"/>
        </w:numPr>
        <w:spacing w:before="120" w:after="120" w:line="288" w:lineRule="auto"/>
        <w:ind w:left="0"/>
        <w:jc w:val="left"/>
      </w:pPr>
      <w:r>
        <w:rPr>
          <w:rFonts w:ascii="Arial" w:hAnsi="Arial" w:eastAsia="等线" w:cs="Arial"/>
          <w:b/>
          <w:sz w:val="22"/>
        </w:rPr>
        <w:t>OCPC项目库</w:t>
      </w:r>
      <w:r>
        <w:rPr>
          <w:rFonts w:ascii="Arial" w:hAnsi="Arial" w:eastAsia="等线" w:cs="Arial"/>
          <w:sz w:val="22"/>
        </w:rPr>
        <w:t>：搭建开放的OCPC（开放协作公共项目）库，沉淀学生优秀项目、工具包、课程资源，实现知识与成果的开源共享，保障项目可持续维护与复用。</w:t>
      </w:r>
    </w:p>
    <w:p w14:paraId="7A6794A1">
      <w:pPr>
        <w:spacing w:before="320" w:after="120" w:line="288" w:lineRule="auto"/>
        <w:ind w:left="0"/>
        <w:jc w:val="left"/>
        <w:outlineLvl w:val="1"/>
      </w:pPr>
      <w:bookmarkStart w:id="8" w:name="heading_8"/>
      <w:r>
        <w:rPr>
          <w:rFonts w:ascii="Arial" w:hAnsi="Arial" w:eastAsia="等线" w:cs="Arial"/>
          <w:b/>
          <w:sz w:val="32"/>
        </w:rPr>
        <w:t>四、价值体系</w:t>
      </w:r>
      <w:bookmarkEnd w:id="8"/>
    </w:p>
    <w:p w14:paraId="4C58FB7E">
      <w:pPr>
        <w:spacing w:before="300" w:after="120" w:line="288" w:lineRule="auto"/>
        <w:ind w:left="0"/>
        <w:jc w:val="left"/>
        <w:outlineLvl w:val="2"/>
      </w:pPr>
      <w:bookmarkStart w:id="9" w:name="heading_9"/>
      <w:r>
        <w:rPr>
          <w:rFonts w:ascii="Arial" w:hAnsi="Arial" w:eastAsia="等线" w:cs="Arial"/>
          <w:b/>
          <w:sz w:val="30"/>
        </w:rPr>
        <w:t>4.1 艺术/科学/公民/开源价值（高）</w:t>
      </w:r>
      <w:bookmarkEnd w:id="9"/>
    </w:p>
    <w:p w14:paraId="593DA7C5">
      <w:pPr>
        <w:spacing w:before="120" w:after="120" w:line="288" w:lineRule="auto"/>
        <w:ind w:left="0"/>
        <w:jc w:val="left"/>
      </w:pPr>
      <w:r>
        <w:rPr>
          <w:rFonts w:ascii="Arial" w:hAnsi="Arial" w:eastAsia="等线" w:cs="Arial"/>
          <w:sz w:val="22"/>
        </w:rPr>
        <w:t>深度融合四大价值，形成差异化优势：艺术层面，以媒介艺术为载体，让冰冷的数据变得可感知、可表达；科学层面，依托开源传感器与数据采集，培养学生科学思维与证据意识；公民层面，引导青年关注公共议题，提升公共参与能力；开源层面，通过OCPC项目库，实现工具、知识、成果的开放共享，推动协作共赢。</w:t>
      </w:r>
    </w:p>
    <w:p w14:paraId="49BDB477">
      <w:pPr>
        <w:spacing w:before="300" w:after="120" w:line="288" w:lineRule="auto"/>
        <w:ind w:left="0"/>
        <w:jc w:val="left"/>
        <w:outlineLvl w:val="2"/>
      </w:pPr>
      <w:bookmarkStart w:id="10" w:name="heading_10"/>
      <w:r>
        <w:rPr>
          <w:rFonts w:ascii="Arial" w:hAnsi="Arial" w:eastAsia="等线" w:cs="Arial"/>
          <w:b/>
          <w:sz w:val="30"/>
        </w:rPr>
        <w:t>4.2 商业价值（高）</w:t>
      </w:r>
      <w:bookmarkEnd w:id="10"/>
    </w:p>
    <w:p w14:paraId="541F0226">
      <w:pPr>
        <w:spacing w:before="120" w:after="120" w:line="288" w:lineRule="auto"/>
        <w:ind w:left="0"/>
        <w:jc w:val="left"/>
      </w:pPr>
      <w:r>
        <w:rPr>
          <w:rFonts w:ascii="Arial" w:hAnsi="Arial" w:eastAsia="等线" w:cs="Arial"/>
          <w:sz w:val="22"/>
        </w:rPr>
        <w:t>多渠道变现，覆盖不同合作场景，盈利路径清晰：</w:t>
      </w:r>
    </w:p>
    <w:p w14:paraId="1BD8658A">
      <w:pPr>
        <w:numPr>
          <w:ilvl w:val="0"/>
          <w:numId w:val="11"/>
        </w:numPr>
        <w:spacing w:before="120" w:after="120" w:line="288" w:lineRule="auto"/>
        <w:ind w:left="0"/>
        <w:jc w:val="left"/>
      </w:pPr>
      <w:r>
        <w:rPr>
          <w:rFonts w:ascii="Arial" w:hAnsi="Arial" w:eastAsia="等线" w:cs="Arial"/>
          <w:sz w:val="22"/>
        </w:rPr>
        <w:t>B2C：面向学生/家长推出训练营、研学活动单人报名服务；</w:t>
      </w:r>
    </w:p>
    <w:p w14:paraId="51B11AF4">
      <w:pPr>
        <w:numPr>
          <w:ilvl w:val="0"/>
          <w:numId w:val="12"/>
        </w:numPr>
        <w:spacing w:before="120" w:after="120" w:line="288" w:lineRule="auto"/>
        <w:ind w:left="0"/>
        <w:jc w:val="left"/>
      </w:pPr>
      <w:r>
        <w:rPr>
          <w:rFonts w:ascii="Arial" w:hAnsi="Arial" w:eastAsia="等线" w:cs="Arial"/>
          <w:sz w:val="22"/>
        </w:rPr>
        <w:t>B2B：与学校合作，提供课程包、传感器套件、校内训练营等定制服务；</w:t>
      </w:r>
    </w:p>
    <w:p w14:paraId="7C28D945">
      <w:pPr>
        <w:numPr>
          <w:ilvl w:val="0"/>
          <w:numId w:val="13"/>
        </w:numPr>
        <w:spacing w:before="120" w:after="120" w:line="288" w:lineRule="auto"/>
        <w:ind w:left="0"/>
        <w:jc w:val="left"/>
      </w:pPr>
      <w:r>
        <w:rPr>
          <w:rFonts w:ascii="Arial" w:hAnsi="Arial" w:eastAsia="等线" w:cs="Arial"/>
          <w:sz w:val="22"/>
        </w:rPr>
        <w:t>B2M：与博物馆、科技馆合作，举办数据艺术展、公教活动，获取合作费用与展览收益；</w:t>
      </w:r>
    </w:p>
    <w:p w14:paraId="31EB3718">
      <w:pPr>
        <w:numPr>
          <w:ilvl w:val="0"/>
          <w:numId w:val="14"/>
        </w:numPr>
        <w:spacing w:before="120" w:after="120" w:line="288" w:lineRule="auto"/>
        <w:ind w:left="0"/>
        <w:jc w:val="left"/>
      </w:pPr>
      <w:r>
        <w:rPr>
          <w:rFonts w:ascii="Arial" w:hAnsi="Arial" w:eastAsia="等线" w:cs="Arial"/>
          <w:sz w:val="22"/>
        </w:rPr>
        <w:t>B2G：对接政府、文旅局、教育局，争取青少年教育、公共环境治理相关扶持资金，承接相关公益项目。</w:t>
      </w:r>
    </w:p>
    <w:p w14:paraId="19AA44E2">
      <w:pPr>
        <w:spacing w:before="300" w:after="120" w:line="288" w:lineRule="auto"/>
        <w:ind w:left="0"/>
        <w:jc w:val="left"/>
        <w:outlineLvl w:val="2"/>
      </w:pPr>
      <w:bookmarkStart w:id="11" w:name="heading_11"/>
      <w:r>
        <w:rPr>
          <w:rFonts w:ascii="Arial" w:hAnsi="Arial" w:eastAsia="等线" w:cs="Arial"/>
          <w:b/>
          <w:sz w:val="30"/>
        </w:rPr>
        <w:t>4.3 社会价值（高）</w:t>
      </w:r>
      <w:bookmarkEnd w:id="11"/>
    </w:p>
    <w:p w14:paraId="6601721D">
      <w:pPr>
        <w:spacing w:before="120" w:after="120" w:line="288" w:lineRule="auto"/>
        <w:ind w:left="0"/>
        <w:jc w:val="left"/>
      </w:pPr>
      <w:r>
        <w:rPr>
          <w:rFonts w:ascii="Arial" w:hAnsi="Arial" w:eastAsia="等线" w:cs="Arial"/>
          <w:sz w:val="22"/>
        </w:rPr>
        <w:t>实现青年成长与公共利益双向赋能：一方面，帮助青少年提升科学素养、艺术表达、协作能力与公共意识，为青年成长提供实践平台；另一方面，通过环境数据采集与公共议题传播，助力城市环境治理与公共空间优化，沉淀面向公共利益的开放资源，推动形成青年参与公共治理的良好氛围。</w:t>
      </w:r>
    </w:p>
    <w:p w14:paraId="07C325D4">
      <w:pPr>
        <w:spacing w:before="320" w:after="120" w:line="288" w:lineRule="auto"/>
        <w:ind w:left="0"/>
        <w:jc w:val="left"/>
        <w:outlineLvl w:val="1"/>
      </w:pPr>
      <w:bookmarkStart w:id="12" w:name="heading_12"/>
      <w:r>
        <w:rPr>
          <w:rFonts w:ascii="Arial" w:hAnsi="Arial" w:eastAsia="等线" w:cs="Arial"/>
          <w:b/>
          <w:sz w:val="32"/>
        </w:rPr>
        <w:t>五、项目可行性与风险评估</w:t>
      </w:r>
      <w:bookmarkEnd w:id="12"/>
    </w:p>
    <w:p w14:paraId="513ABDE8">
      <w:pPr>
        <w:spacing w:before="300" w:after="120" w:line="288" w:lineRule="auto"/>
        <w:ind w:left="0"/>
        <w:jc w:val="left"/>
        <w:outlineLvl w:val="2"/>
      </w:pPr>
      <w:bookmarkStart w:id="13" w:name="heading_13"/>
      <w:r>
        <w:rPr>
          <w:rFonts w:ascii="Arial" w:hAnsi="Arial" w:eastAsia="等线" w:cs="Arial"/>
          <w:b/>
          <w:sz w:val="30"/>
        </w:rPr>
        <w:t>5.1 可行性（9/10）</w:t>
      </w:r>
      <w:bookmarkEnd w:id="13"/>
    </w:p>
    <w:p w14:paraId="68801350">
      <w:pPr>
        <w:spacing w:before="120" w:after="120" w:line="288" w:lineRule="auto"/>
        <w:ind w:left="0"/>
        <w:jc w:val="left"/>
      </w:pPr>
      <w:r>
        <w:rPr>
          <w:rFonts w:ascii="Arial" w:hAnsi="Arial" w:eastAsia="等线" w:cs="Arial"/>
          <w:sz w:val="22"/>
        </w:rPr>
        <w:t>项目落地难度低、可操作性强：核心资源（开源传感器、课程包）可标准化采购与开发；合作场景（学校、博物馆、社区）资源丰富，对接路径清晰；目标用户需求明确（青少年素养提升、学校特色课程补充、博物馆公教活动创新）；解决方案成熟，训练营、研学、展览等模式可快速复制。</w:t>
      </w:r>
    </w:p>
    <w:p w14:paraId="689ED0E5">
      <w:pPr>
        <w:spacing w:before="300" w:after="120" w:line="288" w:lineRule="auto"/>
        <w:ind w:left="0"/>
        <w:jc w:val="left"/>
        <w:outlineLvl w:val="2"/>
      </w:pPr>
      <w:bookmarkStart w:id="14" w:name="heading_14"/>
      <w:r>
        <w:rPr>
          <w:rFonts w:ascii="Arial" w:hAnsi="Arial" w:eastAsia="等线" w:cs="Arial"/>
          <w:b/>
          <w:sz w:val="30"/>
        </w:rPr>
        <w:t>5.2 风险评估（6/10）</w:t>
      </w:r>
      <w:bookmarkEnd w:id="14"/>
    </w:p>
    <w:p w14:paraId="2758E3AE">
      <w:pPr>
        <w:spacing w:before="120" w:after="120" w:line="288" w:lineRule="auto"/>
        <w:ind w:left="0"/>
        <w:jc w:val="left"/>
      </w:pPr>
      <w:r>
        <w:rPr>
          <w:rFonts w:ascii="Arial" w:hAnsi="Arial" w:eastAsia="等线" w:cs="Arial"/>
          <w:sz w:val="22"/>
        </w:rPr>
        <w:t>核心风险及应对措施：</w:t>
      </w:r>
    </w:p>
    <w:p w14:paraId="0D5C7803">
      <w:pPr>
        <w:numPr>
          <w:ilvl w:val="0"/>
          <w:numId w:val="15"/>
        </w:numPr>
        <w:spacing w:before="120" w:after="120" w:line="288" w:lineRule="auto"/>
        <w:ind w:left="0"/>
        <w:jc w:val="left"/>
      </w:pPr>
      <w:r>
        <w:rPr>
          <w:rFonts w:ascii="Arial" w:hAnsi="Arial" w:eastAsia="等线" w:cs="Arial"/>
          <w:sz w:val="22"/>
        </w:rPr>
        <w:t>风险1：开源硬件稳定性不足，影响数据采集效果——应对：筛选成熟开源硬件供应商，提前测试调试，配备技术指导团队，及时解决设备问题；</w:t>
      </w:r>
    </w:p>
    <w:p w14:paraId="1D7C7F5D">
      <w:pPr>
        <w:numPr>
          <w:ilvl w:val="0"/>
          <w:numId w:val="16"/>
        </w:numPr>
        <w:spacing w:before="120" w:after="120" w:line="288" w:lineRule="auto"/>
        <w:ind w:left="0"/>
        <w:jc w:val="left"/>
      </w:pPr>
      <w:r>
        <w:rPr>
          <w:rFonts w:ascii="Arial" w:hAnsi="Arial" w:eastAsia="等线" w:cs="Arial"/>
          <w:sz w:val="22"/>
        </w:rPr>
        <w:t>风险2：合作机构（学校、博物馆）对接效率低，影响项目推进——应对：建立专门对接团队，明确合作流程与权责，推出标准化合作方案，降低对接成本；</w:t>
      </w:r>
    </w:p>
    <w:p w14:paraId="13F8D4DB">
      <w:pPr>
        <w:numPr>
          <w:ilvl w:val="0"/>
          <w:numId w:val="17"/>
        </w:numPr>
        <w:spacing w:before="120" w:after="120" w:line="288" w:lineRule="auto"/>
        <w:ind w:left="0"/>
        <w:jc w:val="left"/>
      </w:pPr>
      <w:r>
        <w:rPr>
          <w:rFonts w:ascii="Arial" w:hAnsi="Arial" w:eastAsia="等线" w:cs="Arial"/>
          <w:sz w:val="22"/>
        </w:rPr>
        <w:t>风险3：学生参与持续性不足，项目成果难以长期维护——应对：通过OCPC项目库激励学生持续贡献，建立小组负责制，联动开源社区提供技术支持，保障成果可持续。</w:t>
      </w:r>
    </w:p>
    <w:p w14:paraId="4FB088BA">
      <w:pPr>
        <w:spacing w:before="320" w:after="120" w:line="288" w:lineRule="auto"/>
        <w:ind w:left="0"/>
        <w:jc w:val="left"/>
        <w:outlineLvl w:val="1"/>
      </w:pPr>
      <w:bookmarkStart w:id="15" w:name="heading_15"/>
      <w:r>
        <w:rPr>
          <w:rFonts w:ascii="Arial" w:hAnsi="Arial" w:eastAsia="等线" w:cs="Arial"/>
          <w:b/>
          <w:sz w:val="32"/>
        </w:rPr>
        <w:t>六、项目核心优势（差异化亮点）</w:t>
      </w:r>
      <w:bookmarkEnd w:id="15"/>
    </w:p>
    <w:p w14:paraId="561CAE67">
      <w:pPr>
        <w:numPr>
          <w:ilvl w:val="0"/>
          <w:numId w:val="18"/>
        </w:numPr>
        <w:spacing w:before="120" w:after="120" w:line="288" w:lineRule="auto"/>
        <w:ind w:left="0"/>
        <w:jc w:val="left"/>
      </w:pPr>
      <w:r>
        <w:rPr>
          <w:rFonts w:ascii="Arial" w:hAnsi="Arial" w:eastAsia="等线" w:cs="Arial"/>
          <w:sz w:val="22"/>
        </w:rPr>
        <w:t>跨界融合：打破艺术、科学、公民参与、开源协作的边界，区别于单一的创客教育或环境调研项目，实现多维度价值输出；</w:t>
      </w:r>
    </w:p>
    <w:p w14:paraId="79806AD3">
      <w:pPr>
        <w:numPr>
          <w:ilvl w:val="0"/>
          <w:numId w:val="19"/>
        </w:numPr>
        <w:spacing w:before="120" w:after="120" w:line="288" w:lineRule="auto"/>
        <w:ind w:left="0"/>
        <w:jc w:val="left"/>
      </w:pPr>
      <w:r>
        <w:rPr>
          <w:rFonts w:ascii="Arial" w:hAnsi="Arial" w:eastAsia="等线" w:cs="Arial"/>
          <w:sz w:val="22"/>
        </w:rPr>
        <w:t>开源可持续：依托OCPC项目库，实现成果复用与长期维护，避免“一次性项目”，形成可循环的项目生态；</w:t>
      </w:r>
    </w:p>
    <w:p w14:paraId="3F50CCD8">
      <w:pPr>
        <w:numPr>
          <w:ilvl w:val="0"/>
          <w:numId w:val="20"/>
        </w:numPr>
        <w:spacing w:before="120" w:after="120" w:line="288" w:lineRule="auto"/>
        <w:ind w:left="0"/>
        <w:jc w:val="left"/>
      </w:pPr>
      <w:r>
        <w:rPr>
          <w:rFonts w:ascii="Arial" w:hAnsi="Arial" w:eastAsia="等线" w:cs="Arial"/>
          <w:sz w:val="22"/>
        </w:rPr>
        <w:t>多方共赢：兼顾学生成长、合作机构需求、公共利益与商业收益，联动学校、博物馆、政府、开源社区等多方资源，形成良性生态；</w:t>
      </w:r>
    </w:p>
    <w:p w14:paraId="281D84F0">
      <w:pPr>
        <w:numPr>
          <w:ilvl w:val="0"/>
          <w:numId w:val="21"/>
        </w:numPr>
        <w:spacing w:before="120" w:after="120" w:line="288" w:lineRule="auto"/>
        <w:ind w:left="0"/>
        <w:jc w:val="left"/>
      </w:pPr>
      <w:r>
        <w:rPr>
          <w:rFonts w:ascii="Arial" w:hAnsi="Arial" w:eastAsia="等线" w:cs="Arial"/>
          <w:sz w:val="22"/>
        </w:rPr>
        <w:t>场景落地性强：聚焦青年身边的场景与议题，项目可快速落地校园、社区等场景，无需复杂的硬件与场地投入，复制性强。</w:t>
      </w:r>
    </w:p>
    <w:p w14:paraId="4F3E448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B924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85ED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4"/>
      <w:numFmt w:val="decimal"/>
      <w:lvlText w:val="%1."/>
      <w:lvlJc w:val="left"/>
      <w:rPr>
        <w:color w:val="3370FF"/>
      </w:rPr>
    </w:lvl>
  </w:abstractNum>
  <w:abstractNum w:abstractNumId="1">
    <w:nsid w:val="9C8AC8EF"/>
    <w:multiLevelType w:val="singleLevel"/>
    <w:tmpl w:val="9C8AC8EF"/>
    <w:lvl w:ilvl="0" w:tentative="0">
      <w:start w:val="2"/>
      <w:numFmt w:val="decimal"/>
      <w:lvlText w:val="%1."/>
      <w:lvlJc w:val="left"/>
      <w:rPr>
        <w:color w:val="3370FF"/>
      </w:rPr>
    </w:lvl>
  </w:abstractNum>
  <w:abstractNum w:abstractNumId="2">
    <w:nsid w:val="B5E306ED"/>
    <w:multiLevelType w:val="singleLevel"/>
    <w:tmpl w:val="B5E306ED"/>
    <w:lvl w:ilvl="0" w:tentative="0">
      <w:start w:val="0"/>
      <w:numFmt w:val="bullet"/>
      <w:lvlText w:val="•"/>
      <w:lvlJc w:val="left"/>
      <w:rPr>
        <w:color w:val="3370FF"/>
      </w:rPr>
    </w:lvl>
  </w:abstractNum>
  <w:abstractNum w:abstractNumId="3">
    <w:nsid w:val="BF205925"/>
    <w:multiLevelType w:val="singleLevel"/>
    <w:tmpl w:val="BF205925"/>
    <w:lvl w:ilvl="0" w:tentative="0">
      <w:start w:val="0"/>
      <w:numFmt w:val="bullet"/>
      <w:lvlText w:val="•"/>
      <w:lvlJc w:val="left"/>
      <w:rPr>
        <w:color w:val="3370FF"/>
      </w:rPr>
    </w:lvl>
  </w:abstractNum>
  <w:abstractNum w:abstractNumId="4">
    <w:nsid w:val="C8879AEF"/>
    <w:multiLevelType w:val="singleLevel"/>
    <w:tmpl w:val="C8879AEF"/>
    <w:lvl w:ilvl="0" w:tentative="0">
      <w:start w:val="0"/>
      <w:numFmt w:val="bullet"/>
      <w:lvlText w:val="•"/>
      <w:lvlJc w:val="left"/>
      <w:rPr>
        <w:color w:val="3370FF"/>
      </w:rPr>
    </w:lvl>
  </w:abstractNum>
  <w:abstractNum w:abstractNumId="5">
    <w:nsid w:val="CF092B84"/>
    <w:multiLevelType w:val="singleLevel"/>
    <w:tmpl w:val="CF092B84"/>
    <w:lvl w:ilvl="0" w:tentative="0">
      <w:start w:val="0"/>
      <w:numFmt w:val="bullet"/>
      <w:lvlText w:val="•"/>
      <w:lvlJc w:val="left"/>
      <w:rPr>
        <w:color w:val="3370FF"/>
      </w:rPr>
    </w:lvl>
  </w:abstractNum>
  <w:abstractNum w:abstractNumId="6">
    <w:nsid w:val="D7F9FE59"/>
    <w:multiLevelType w:val="singleLevel"/>
    <w:tmpl w:val="D7F9FE59"/>
    <w:lvl w:ilvl="0" w:tentative="0">
      <w:start w:val="1"/>
      <w:numFmt w:val="decimal"/>
      <w:lvlText w:val="%1."/>
      <w:lvlJc w:val="left"/>
      <w:rPr>
        <w:color w:val="3370FF"/>
      </w:rPr>
    </w:lvl>
  </w:abstractNum>
  <w:abstractNum w:abstractNumId="7">
    <w:nsid w:val="DCBA6B53"/>
    <w:multiLevelType w:val="singleLevel"/>
    <w:tmpl w:val="DCBA6B53"/>
    <w:lvl w:ilvl="0" w:tentative="0">
      <w:start w:val="0"/>
      <w:numFmt w:val="bullet"/>
      <w:lvlText w:val="•"/>
      <w:lvlJc w:val="left"/>
      <w:rPr>
        <w:color w:val="3370FF"/>
      </w:rPr>
    </w:lvl>
  </w:abstractNum>
  <w:abstractNum w:abstractNumId="8">
    <w:nsid w:val="F4B5D9F5"/>
    <w:multiLevelType w:val="singleLevel"/>
    <w:tmpl w:val="F4B5D9F5"/>
    <w:lvl w:ilvl="0" w:tentative="0">
      <w:start w:val="0"/>
      <w:numFmt w:val="bullet"/>
      <w:lvlText w:val="•"/>
      <w:lvlJc w:val="left"/>
      <w:rPr>
        <w:color w:val="3370FF"/>
      </w:rPr>
    </w:lvl>
  </w:abstractNum>
  <w:abstractNum w:abstractNumId="9">
    <w:nsid w:val="0053208E"/>
    <w:multiLevelType w:val="singleLevel"/>
    <w:tmpl w:val="0053208E"/>
    <w:lvl w:ilvl="0" w:tentative="0">
      <w:start w:val="0"/>
      <w:numFmt w:val="bullet"/>
      <w:lvlText w:val="•"/>
      <w:lvlJc w:val="left"/>
      <w:rPr>
        <w:color w:val="3370FF"/>
      </w:rPr>
    </w:lvl>
  </w:abstractNum>
  <w:abstractNum w:abstractNumId="10">
    <w:nsid w:val="0248C179"/>
    <w:multiLevelType w:val="singleLevel"/>
    <w:tmpl w:val="0248C179"/>
    <w:lvl w:ilvl="0" w:tentative="0">
      <w:start w:val="3"/>
      <w:numFmt w:val="decimal"/>
      <w:lvlText w:val="%1."/>
      <w:lvlJc w:val="left"/>
      <w:rPr>
        <w:color w:val="3370FF"/>
      </w:rPr>
    </w:lvl>
  </w:abstractNum>
  <w:abstractNum w:abstractNumId="11">
    <w:nsid w:val="03D62ECE"/>
    <w:multiLevelType w:val="singleLevel"/>
    <w:tmpl w:val="03D62ECE"/>
    <w:lvl w:ilvl="0" w:tentative="0">
      <w:start w:val="0"/>
      <w:numFmt w:val="bullet"/>
      <w:lvlText w:val="•"/>
      <w:lvlJc w:val="left"/>
      <w:rPr>
        <w:color w:val="3370FF"/>
      </w:rPr>
    </w:lvl>
  </w:abstractNum>
  <w:abstractNum w:abstractNumId="12">
    <w:nsid w:val="2470EC97"/>
    <w:multiLevelType w:val="singleLevel"/>
    <w:tmpl w:val="2470EC97"/>
    <w:lvl w:ilvl="0" w:tentative="0">
      <w:start w:val="0"/>
      <w:numFmt w:val="bullet"/>
      <w:lvlText w:val="•"/>
      <w:lvlJc w:val="left"/>
      <w:rPr>
        <w:color w:val="3370FF"/>
      </w:rPr>
    </w:lvl>
  </w:abstractNum>
  <w:abstractNum w:abstractNumId="13">
    <w:nsid w:val="25B654F3"/>
    <w:multiLevelType w:val="singleLevel"/>
    <w:tmpl w:val="25B654F3"/>
    <w:lvl w:ilvl="0" w:tentative="0">
      <w:start w:val="1"/>
      <w:numFmt w:val="decimal"/>
      <w:lvlText w:val="%1."/>
      <w:lvlJc w:val="left"/>
      <w:rPr>
        <w:color w:val="3370FF"/>
      </w:rPr>
    </w:lvl>
  </w:abstractNum>
  <w:abstractNum w:abstractNumId="14">
    <w:nsid w:val="2A8F537B"/>
    <w:multiLevelType w:val="singleLevel"/>
    <w:tmpl w:val="2A8F537B"/>
    <w:lvl w:ilvl="0" w:tentative="0">
      <w:start w:val="0"/>
      <w:numFmt w:val="bullet"/>
      <w:lvlText w:val="•"/>
      <w:lvlJc w:val="left"/>
      <w:rPr>
        <w:color w:val="3370FF"/>
      </w:rPr>
    </w:lvl>
  </w:abstractNum>
  <w:abstractNum w:abstractNumId="15">
    <w:nsid w:val="4C1BAE26"/>
    <w:multiLevelType w:val="singleLevel"/>
    <w:tmpl w:val="4C1BAE26"/>
    <w:lvl w:ilvl="0" w:tentative="0">
      <w:start w:val="3"/>
      <w:numFmt w:val="decimal"/>
      <w:lvlText w:val="%1."/>
      <w:lvlJc w:val="left"/>
      <w:rPr>
        <w:color w:val="3370FF"/>
      </w:rPr>
    </w:lvl>
  </w:abstractNum>
  <w:abstractNum w:abstractNumId="16">
    <w:nsid w:val="4D4DC07F"/>
    <w:multiLevelType w:val="singleLevel"/>
    <w:tmpl w:val="4D4DC07F"/>
    <w:lvl w:ilvl="0" w:tentative="0">
      <w:start w:val="0"/>
      <w:numFmt w:val="bullet"/>
      <w:lvlText w:val="•"/>
      <w:lvlJc w:val="left"/>
      <w:rPr>
        <w:color w:val="3370FF"/>
      </w:rPr>
    </w:lvl>
  </w:abstractNum>
  <w:abstractNum w:abstractNumId="17">
    <w:nsid w:val="59ADCABA"/>
    <w:multiLevelType w:val="singleLevel"/>
    <w:tmpl w:val="59ADCABA"/>
    <w:lvl w:ilvl="0" w:tentative="0">
      <w:start w:val="0"/>
      <w:numFmt w:val="bullet"/>
      <w:lvlText w:val="•"/>
      <w:lvlJc w:val="left"/>
      <w:rPr>
        <w:color w:val="3370FF"/>
      </w:rPr>
    </w:lvl>
  </w:abstractNum>
  <w:abstractNum w:abstractNumId="18">
    <w:nsid w:val="5A241D34"/>
    <w:multiLevelType w:val="singleLevel"/>
    <w:tmpl w:val="5A241D34"/>
    <w:lvl w:ilvl="0" w:tentative="0">
      <w:start w:val="0"/>
      <w:numFmt w:val="bullet"/>
      <w:lvlText w:val="•"/>
      <w:lvlJc w:val="left"/>
      <w:rPr>
        <w:color w:val="3370FF"/>
      </w:rPr>
    </w:lvl>
  </w:abstractNum>
  <w:abstractNum w:abstractNumId="19">
    <w:nsid w:val="60382F6E"/>
    <w:multiLevelType w:val="singleLevel"/>
    <w:tmpl w:val="60382F6E"/>
    <w:lvl w:ilvl="0" w:tentative="0">
      <w:start w:val="4"/>
      <w:numFmt w:val="decimal"/>
      <w:lvlText w:val="%1."/>
      <w:lvlJc w:val="left"/>
      <w:rPr>
        <w:color w:val="3370FF"/>
      </w:rPr>
    </w:lvl>
  </w:abstractNum>
  <w:abstractNum w:abstractNumId="20">
    <w:nsid w:val="72183CF9"/>
    <w:multiLevelType w:val="singleLevel"/>
    <w:tmpl w:val="72183CF9"/>
    <w:lvl w:ilvl="0" w:tentative="0">
      <w:start w:val="2"/>
      <w:numFmt w:val="decimal"/>
      <w:lvlText w:val="%1."/>
      <w:lvlJc w:val="left"/>
      <w:rPr>
        <w:color w:val="3370FF"/>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1666587F"/>
    <w:rsid w:val="4DD162A5"/>
    <w:rsid w:val="50E80C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2092</Words>
  <Characters>2208</Characters>
  <TotalTime>1</TotalTime>
  <ScaleCrop>false</ScaleCrop>
  <LinksUpToDate>false</LinksUpToDate>
  <CharactersWithSpaces>2226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2026-04-28T13:20:00Z</dcterms:created>
  <dc:creator>Apache POI</dc:creator>
  <cp:lastModifiedBy>张立秋</cp:lastModifiedBy>
  <dcterms:modified xsi:type="dcterms:W3CDTF">2026-04-29T13:53:19Z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eyJoZGlkIjoiMzEwNTM5NzYwMDRjMzkwZTVkZjY2ODkwMGIxNGU0OTUiLCJ1c2VySWQiOiI1Nzk3MDA3ODUifQ==</vt:lpwstr>
  </property>
  <property fmtid="{D5CDD505-2E9C-101B-9397-08002B2CF9AE}" pid="3" name="KSOProductBuildVer">
    <vt:lpwstr>2052-12.1.0.25865</vt:lpwstr>
  </property>
  <property fmtid="{D5CDD505-2E9C-101B-9397-08002B2CF9AE}" pid="4" name="ICV">
    <vt:lpwstr>C22A483EB7104731B4752F37261C3C54_12</vt:lpwstr>
  </property>
</Properties>
</file>