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E70F2">
      <w:pPr>
        <w:spacing w:before="1600" w:line="240" w:lineRule="auto"/>
        <w:rPr>
          <w:vertAlign w:val="baseline"/>
        </w:rPr>
      </w:pPr>
    </w:p>
    <w:p>
      <w:pPr>
        <w:spacing w:after="1400" w:line="240" w:lineRule="auto"/>
      </w:pPr>
    </w:p>
    <w:p>
      <w:pPr>
        <w:spacing w:after="120" w:line="240" w:lineRule="auto"/>
        <w:jc w:val="center"/>
      </w:pPr>
      <w:r>
        <w:rPr>
          <w:rFonts w:ascii="Times New Roman" w:hAnsi="Times New Roman" w:eastAsia="Times New Roman" w:cs="Times New Roman"/>
          <w:b/>
          <w:bCs/>
          <w:caps/>
          <w:sz w:val="32"/>
          <w:szCs w:val="32"/>
        </w:rPr>
        <w:t xml:space="preserve">INFOSYS 704: IT CONSULTANCY</w:t>
      </w:r>
    </w:p>
    <w:p>
      <w:pPr>
        <w:spacing w:after="160" w:line="240" w:lineRule="auto"/>
        <w:jc w:val="center"/>
      </w:pPr>
      <w:r>
        <w:rPr>
          <w:rFonts w:ascii="Times New Roman" w:hAnsi="Times New Roman" w:eastAsia="Times New Roman" w:cs="Times New Roman"/>
          <w:b/>
          <w:bCs/>
          <w:sz w:val="28"/>
          <w:szCs w:val="28"/>
        </w:rPr>
        <w:t xml:space="preserve">Assignment 1, Deliverable 2 (A1-D2)</w:t>
      </w:r>
    </w:p>
    <w:p>
      <w:pPr>
        <w:spacing w:after="0" w:line="300" w:lineRule="auto"/>
        <w:jc w:val="center"/>
      </w:pPr>
      <w:r>
        <w:rPr>
          <w:rFonts w:ascii="Times New Roman" w:hAnsi="Times New Roman" w:eastAsia="Times New Roman" w:cs="Times New Roman"/>
          <w:i/>
          <w:iCs/>
          <w:color w:val="404040"/>
          <w:sz w:val="24"/>
          <w:szCs w:val="24"/>
        </w:rPr>
        <w:t xml:space="preserve">Designing the Analysis, Gathering Data, Analysing Data, and Interpreting Results</w:t>
      </w:r>
    </w:p>
    <w:p>
      <w:pPr>
        <w:spacing w:before="200" w:after="240" w:line="240" w:lineRule="auto"/>
        <w:jc w:val="center"/>
        <w:pBdr>
          <w:bottom w:val="single" w:sz="8" w:space="6" w:color="8C8C8C"/>
        </w:pBdr>
        <w:ind w:left="1800" w:right="1800"/>
      </w:pPr>
    </w:p>
    <w:p>
      <w:pPr>
        <w:spacing w:after="160" w:line="240" w:lineRule="auto"/>
        <w:jc w:val="center"/>
      </w:pPr>
      <w:r>
        <w:rPr>
          <w:rFonts w:ascii="Times New Roman" w:hAnsi="Times New Roman" w:eastAsia="Times New Roman" w:cs="Times New Roman"/>
          <w:b/>
          <w:bCs/>
          <w:sz w:val="24"/>
          <w:szCs w:val="24"/>
        </w:rPr>
        <w:t xml:space="preserve">Organisation: </w:t>
      </w:r>
      <w:r>
        <w:rPr>
          <w:rFonts w:ascii="Times New Roman" w:hAnsi="Times New Roman" w:eastAsia="Times New Roman" w:cs="Times New Roman"/>
          <w:sz w:val="24"/>
          <w:szCs w:val="24"/>
        </w:rPr>
        <w:t xml:space="preserve">Spark New Zealand — Financial problem domain</w:t>
      </w:r>
    </w:p>
    <w:p>
      <w:pPr>
        <w:spacing w:after="160" w:line="240" w:lineRule="auto"/>
        <w:jc w:val="center"/>
      </w:pPr>
      <w:r>
        <w:rPr>
          <w:rFonts w:ascii="Times New Roman" w:hAnsi="Times New Roman" w:eastAsia="Times New Roman" w:cs="Times New Roman"/>
          <w:b/>
          <w:bCs/>
          <w:sz w:val="24"/>
          <w:szCs w:val="24"/>
        </w:rPr>
        <w:t xml:space="preserve">Selected process: </w:t>
      </w:r>
      <w:r>
        <w:rPr>
          <w:rFonts w:ascii="Times New Roman" w:hAnsi="Times New Roman" w:eastAsia="Times New Roman" w:cs="Times New Roman"/>
          <w:sz w:val="24"/>
          <w:szCs w:val="24"/>
        </w:rPr>
        <w:t xml:space="preserve">Annual mobile plan-review and right-planning journey</w:t>
      </w:r>
    </w:p>
    <w:p>
      <w:pPr>
        <w:spacing w:after="280" w:line="240" w:lineRule="auto"/>
      </w:pPr>
    </w:p>
    <w:p>
      <w:pPr>
        <w:spacing w:after="160" w:line="240" w:lineRule="auto"/>
        <w:jc w:val="center"/>
      </w:pPr>
      <w:r>
        <w:rPr>
          <w:rFonts w:ascii="Times New Roman" w:hAnsi="Times New Roman" w:eastAsia="Times New Roman" w:cs="Times New Roman"/>
          <w:b/>
          <w:bCs/>
          <w:sz w:val="24"/>
          <w:szCs w:val="24"/>
        </w:rPr>
        <w:t xml:space="preserve">Prepared by: </w:t>
      </w:r>
      <w:r>
        <w:rPr>
          <w:rFonts w:ascii="Times New Roman" w:hAnsi="Times New Roman" w:eastAsia="Times New Roman" w:cs="Times New Roman"/>
          <w:sz w:val="24"/>
          <w:szCs w:val="24"/>
        </w:rPr>
        <w:t xml:space="preserve">Rae Huang (UPI: xhua725)</w:t>
      </w:r>
    </w:p>
    <w:p>
      <w:pPr>
        <w:spacing w:after="160" w:line="240" w:lineRule="auto"/>
        <w:jc w:val="center"/>
      </w:pPr>
      <w:r>
        <w:rPr>
          <w:rFonts w:ascii="Times New Roman" w:hAnsi="Times New Roman" w:eastAsia="Times New Roman" w:cs="Times New Roman"/>
          <w:b/>
          <w:bCs/>
          <w:sz w:val="24"/>
          <w:szCs w:val="24"/>
        </w:rPr>
        <w:t xml:space="preserve">Course: </w:t>
      </w:r>
      <w:r>
        <w:rPr>
          <w:rFonts w:ascii="Times New Roman" w:hAnsi="Times New Roman" w:eastAsia="Times New Roman" w:cs="Times New Roman"/>
          <w:sz w:val="24"/>
          <w:szCs w:val="24"/>
        </w:rPr>
        <w:t xml:space="preserve">INFOSYS 704 IT Consultancy, 2026 S2 — University of Auckland Business School</w:t>
      </w:r>
    </w:p>
    <w:p>
      <w:pPr>
        <w:spacing w:line="360" w:lineRule="auto"/>
      </w:pPr>
      <w:r>
        <w:rPr>
          <w:rFonts w:ascii="Times New Roman" w:hAnsi="Times New Roman" w:eastAsia="Times New Roman"/>
          <w:sz w:val="24"/>
        </w:rPr>
        <w:br w:type="page"/>
      </w:r>
    </w:p>
    <w:p w14:paraId="0C469527">
      <w:pPr>
        <w:pStyle w:val="2"/>
        <w:spacing w:before="320" w:after="160" w:line="360" w:lineRule="auto"/>
        <w:outlineLvl w:val="0"/>
      </w:pPr>
      <w:r>
        <w:rPr>
          <w:rFonts w:ascii="Times New Roman" w:hAnsi="Times New Roman" w:eastAsia="Times New Roman" w:cs="Times New Roman"/>
          <w:b/>
          <w:bCs/>
          <w:color w:val="000000"/>
          <w:sz w:val="28"/>
          <w:szCs w:val="28"/>
        </w:rPr>
        <w:t>Use of Generative AI</w:t>
      </w:r>
    </w:p>
    <w:p w14:paraId="2BF7E825">
      <w:pPr>
        <w:spacing w:after="0" w:line="360" w:lineRule="auto"/>
        <w:jc w:val="both"/>
      </w:pPr>
      <w:bookmarkStart w:id="0" w:name="_GoBack"/>
      <w:r>
        <w:rPr>
          <w:rFonts w:hint="eastAsia" w:ascii="Times New Roman" w:hAnsi="Times New Roman" w:eastAsia="Times New Roman" w:cs="Times New Roman"/>
          <w:sz w:val="24"/>
          <w:szCs w:val="24"/>
        </w:rPr>
        <w:t>Generative AI was used in two ways required by the assignment: as one of the two interviewees analysed in Section 6 (Appendix C, an independent GenAI interview using the same guide as the human interview) and as a design-challenge partner for the TO-BE process in Section 8 (Appendix D). Generative AI was also used as a drafting and formatting assistant — structuring content, polishing expression, and checking APA 7 references. At no point did AI generate the core arguments or substantive content of this report. All hypotheses, the choice of key hypothesis, the interpretation of the two interviews, the selection of the recommended solution, and the final implementation recommendation are the author's own analytical judgements, checked against the source evidence cited throughout. No Spark-internal data, employee statements, or measured results have been fabricated by either the author or any AI tool.</w:t>
      </w:r>
    </w:p>
    <w:bookmarkEnd w:id="0"/>
    <w:p w14:paraId="35B4BF5D">
      <w:pPr>
        <w:pStyle w:val="2"/>
        <w:spacing w:before="320" w:after="160" w:line="360" w:lineRule="auto"/>
        <w:outlineLvl w:val="0"/>
      </w:pPr>
      <w:r>
        <w:rPr>
          <w:rFonts w:ascii="Times New Roman" w:hAnsi="Times New Roman" w:eastAsia="Times New Roman" w:cs="Times New Roman"/>
          <w:b/>
          <w:bCs/>
          <w:color w:val="000000"/>
          <w:sz w:val="28"/>
          <w:szCs w:val="28"/>
        </w:rPr>
        <w:t>1. Revised A1-D1 Foundations</w:t>
      </w:r>
    </w:p>
    <w:p w14:paraId="755E7959">
      <w:pPr>
        <w:pStyle w:val="3"/>
        <w:spacing w:before="240" w:after="140" w:line="360" w:lineRule="auto"/>
        <w:outlineLvl w:val="1"/>
      </w:pPr>
      <w:r>
        <w:rPr>
          <w:rFonts w:ascii="Times New Roman" w:hAnsi="Times New Roman" w:eastAsia="Times New Roman" w:cs="Times New Roman"/>
          <w:b/>
          <w:bCs/>
          <w:i/>
          <w:iCs/>
          <w:color w:val="000000"/>
          <w:sz w:val="28"/>
          <w:szCs w:val="28"/>
        </w:rPr>
        <w:t>1.1 Dysfunctional process</w:t>
      </w:r>
    </w:p>
    <w:p w14:paraId="06E55A9A">
      <w:pPr>
        <w:spacing w:after="0" w:line="360" w:lineRule="auto"/>
        <w:jc w:val="both"/>
      </w:pPr>
      <w:r>
        <w:rPr>
          <w:rFonts w:ascii="Times New Roman" w:hAnsi="Times New Roman" w:eastAsia="Times New Roman" w:cs="Times New Roman"/>
          <w:sz w:val="24"/>
          <w:szCs w:val="24"/>
        </w:rPr>
        <w:t>The focal process begins when an annual plan review is triggered and ends when the customer stays on the current plan, changes plan, contacts customer care, or defers the decision. The reported replacement design sends a summary without embedding the customer's historical usage and spend or a personalised stay-or-switch recommendation. Customers who need more information must follow a link and compare plan options themselves. This creates an observed information and navigation gap at a commercially important decision point (Commerce Commission, 2025b).</w:t>
      </w:r>
    </w:p>
    <w:p w14:paraId="3F00FCB2">
      <w:pPr>
        <w:spacing w:after="0" w:line="360" w:lineRule="auto"/>
        <w:jc w:val="both"/>
      </w:pPr>
      <w:r>
        <w:rPr>
          <w:rFonts w:ascii="Times New Roman" w:hAnsi="Times New Roman" w:eastAsia="Times New Roman" w:cs="Times New Roman"/>
          <w:sz w:val="24"/>
          <w:szCs w:val="24"/>
        </w:rPr>
        <w:t>The dysfunction is therefore not that Spark has already been proven to lose revenue through this process. The defensible diagnosis is narrower: the link-only journey transfers information retrieval and plan-comparison effort to the customer, while its effects on review completion, decision quality, retention value, ARPU, complaints, and care demand remain unmeasured.</w:t>
      </w:r>
    </w:p>
    <w:p w14:paraId="2F256EF0">
      <w:pPr>
        <w:pStyle w:val="3"/>
        <w:spacing w:before="240" w:after="140" w:line="360" w:lineRule="auto"/>
        <w:outlineLvl w:val="1"/>
      </w:pPr>
      <w:r>
        <w:rPr>
          <w:rFonts w:ascii="Times New Roman" w:hAnsi="Times New Roman" w:eastAsia="Times New Roman" w:cs="Times New Roman"/>
          <w:b/>
          <w:bCs/>
          <w:i/>
          <w:iCs/>
          <w:color w:val="000000"/>
          <w:sz w:val="28"/>
          <w:szCs w:val="28"/>
        </w:rPr>
        <w:t>1.2 SMART problem statement</w:t>
      </w:r>
    </w:p>
    <w:p w14:paraId="32E41F22">
      <w:pPr>
        <w:spacing w:after="0" w:line="360" w:lineRule="auto"/>
        <w:jc w:val="both"/>
      </w:pPr>
      <w:r>
        <w:rPr>
          <w:rFonts w:ascii="Times New Roman" w:hAnsi="Times New Roman" w:eastAsia="Times New Roman" w:cs="Times New Roman"/>
          <w:sz w:val="24"/>
          <w:szCs w:val="24"/>
        </w:rPr>
        <w:t xml:space="preserve">By </w:t>
      </w:r>
      <w:r>
        <w:rPr>
          <w:rFonts w:ascii="Times New Roman" w:hAnsi="Times New Roman" w:eastAsia="Times New Roman" w:cs="Times New Roman"/>
          <w:b/>
          <w:bCs/>
          <w:sz w:val="24"/>
          <w:szCs w:val="24"/>
        </w:rPr>
        <w:t>30 June 2027</w:t>
      </w:r>
      <w:r>
        <w:rPr>
          <w:rFonts w:ascii="Times New Roman" w:hAnsi="Times New Roman" w:eastAsia="Times New Roman" w:cs="Times New Roman"/>
          <w:sz w:val="24"/>
          <w:szCs w:val="24"/>
        </w:rPr>
        <w:t xml:space="preserve">, Spark should establish an FY26 baseline for the annual mobile plan-review funnel and test whether an embedded-information journey improves </w:t>
      </w:r>
      <w:r>
        <w:rPr>
          <w:rFonts w:ascii="Times New Roman" w:hAnsi="Times New Roman" w:eastAsia="Times New Roman" w:cs="Times New Roman"/>
          <w:b/>
          <w:bCs/>
          <w:sz w:val="24"/>
          <w:szCs w:val="24"/>
        </w:rPr>
        <w:t>effective plan-review completion by at least 5 percentage points</w:t>
      </w:r>
      <w:r>
        <w:rPr>
          <w:rFonts w:ascii="Times New Roman" w:hAnsi="Times New Roman" w:eastAsia="Times New Roman" w:cs="Times New Roman"/>
          <w:sz w:val="24"/>
          <w:szCs w:val="24"/>
        </w:rPr>
        <w:t xml:space="preserve"> against the link-only comparison journey. Any rollout should also demonstrate non-inferior 90-day retention value and no material deterioration in segment ARPU or complaint rate.</w:t>
      </w:r>
    </w:p>
    <w:p w14:paraId="3B11E684">
      <w:pPr>
        <w:spacing w:after="0" w:line="360" w:lineRule="auto"/>
        <w:jc w:val="both"/>
      </w:pPr>
      <w:r>
        <w:rPr>
          <w:rFonts w:ascii="Times New Roman" w:hAnsi="Times New Roman" w:eastAsia="Times New Roman" w:cs="Times New Roman"/>
          <w:sz w:val="24"/>
          <w:szCs w:val="24"/>
        </w:rPr>
        <w:t>This statement satisfies each SMART element individually:</w:t>
      </w:r>
    </w:p>
    <w:p w14:paraId="41482CDE">
      <w:pPr>
        <w:pStyle w:val="16"/>
        <w:numPr>
          <w:ilvl w:val="0"/>
          <w:numId w:val="1"/>
        </w:numPr>
        <w:spacing w:after="0" w:line="360" w:lineRule="auto"/>
      </w:pPr>
      <w:r>
        <w:rPr>
          <w:rFonts w:ascii="Times New Roman" w:hAnsi="Times New Roman" w:eastAsia="Times New Roman" w:cs="Times New Roman"/>
          <w:b/>
          <w:bCs/>
          <w:sz w:val="24"/>
          <w:szCs w:val="24"/>
        </w:rPr>
        <w:t>Specific:</w:t>
      </w:r>
      <w:r>
        <w:rPr>
          <w:rFonts w:ascii="Times New Roman" w:hAnsi="Times New Roman" w:eastAsia="Times New Roman" w:cs="Times New Roman"/>
          <w:sz w:val="24"/>
          <w:szCs w:val="24"/>
        </w:rPr>
        <w:t xml:space="preserve"> the annual mobile plan-review/right-planning journey, not the entire customer relationship.</w:t>
      </w:r>
    </w:p>
    <w:p w14:paraId="1323E726">
      <w:pPr>
        <w:pStyle w:val="16"/>
        <w:numPr>
          <w:ilvl w:val="0"/>
          <w:numId w:val="1"/>
        </w:numPr>
        <w:spacing w:after="0" w:line="360" w:lineRule="auto"/>
      </w:pPr>
      <w:r>
        <w:rPr>
          <w:rFonts w:ascii="Times New Roman" w:hAnsi="Times New Roman" w:eastAsia="Times New Roman" w:cs="Times New Roman"/>
          <w:b/>
          <w:bCs/>
          <w:sz w:val="24"/>
          <w:szCs w:val="24"/>
        </w:rPr>
        <w:t>Measurable:</w:t>
      </w:r>
      <w:r>
        <w:rPr>
          <w:rFonts w:ascii="Times New Roman" w:hAnsi="Times New Roman" w:eastAsia="Times New Roman" w:cs="Times New Roman"/>
          <w:sz w:val="24"/>
          <w:szCs w:val="24"/>
        </w:rPr>
        <w:t xml:space="preserve"> review completion, decision appropriateness, abandonment, retention value, ARPU, and complaints are each observable.</w:t>
      </w:r>
    </w:p>
    <w:p w14:paraId="0CC8F076">
      <w:pPr>
        <w:pStyle w:val="16"/>
        <w:numPr>
          <w:ilvl w:val="0"/>
          <w:numId w:val="1"/>
        </w:numPr>
        <w:spacing w:after="0" w:line="360" w:lineRule="auto"/>
      </w:pPr>
      <w:r>
        <w:rPr>
          <w:rFonts w:ascii="Times New Roman" w:hAnsi="Times New Roman" w:eastAsia="Times New Roman" w:cs="Times New Roman"/>
          <w:b/>
          <w:bCs/>
          <w:sz w:val="24"/>
          <w:szCs w:val="24"/>
        </w:rPr>
        <w:t>Achievable:</w:t>
      </w:r>
      <w:r>
        <w:rPr>
          <w:rFonts w:ascii="Times New Roman" w:hAnsi="Times New Roman" w:eastAsia="Times New Roman" w:cs="Times New Roman"/>
          <w:sz w:val="24"/>
          <w:szCs w:val="24"/>
        </w:rPr>
        <w:t xml:space="preserve"> a controlled pilot can compare two journey designs without organisational restructuring.</w:t>
      </w:r>
    </w:p>
    <w:p w14:paraId="4B0FAFD3">
      <w:pPr>
        <w:pStyle w:val="16"/>
        <w:numPr>
          <w:ilvl w:val="0"/>
          <w:numId w:val="1"/>
        </w:numPr>
        <w:spacing w:after="0" w:line="360" w:lineRule="auto"/>
      </w:pPr>
      <w:r>
        <w:rPr>
          <w:rFonts w:ascii="Times New Roman" w:hAnsi="Times New Roman" w:eastAsia="Times New Roman" w:cs="Times New Roman"/>
          <w:b/>
          <w:bCs/>
          <w:sz w:val="24"/>
          <w:szCs w:val="24"/>
        </w:rPr>
        <w:t>Relevant:</w:t>
      </w:r>
      <w:r>
        <w:rPr>
          <w:rFonts w:ascii="Times New Roman" w:hAnsi="Times New Roman" w:eastAsia="Times New Roman" w:cs="Times New Roman"/>
          <w:sz w:val="24"/>
          <w:szCs w:val="24"/>
        </w:rPr>
        <w:t xml:space="preserve"> the process concerns whether customers can make informed, suitable plan decisions and whether Spark can preserve customer value without avoidable harm.</w:t>
      </w:r>
    </w:p>
    <w:p w14:paraId="6C8DF006">
      <w:pPr>
        <w:pStyle w:val="16"/>
        <w:numPr>
          <w:ilvl w:val="0"/>
          <w:numId w:val="1"/>
        </w:numPr>
        <w:spacing w:after="0" w:line="360" w:lineRule="auto"/>
      </w:pPr>
      <w:r>
        <w:rPr>
          <w:rFonts w:ascii="Times New Roman" w:hAnsi="Times New Roman" w:eastAsia="Times New Roman" w:cs="Times New Roman"/>
          <w:b/>
          <w:bCs/>
          <w:sz w:val="24"/>
          <w:szCs w:val="24"/>
        </w:rPr>
        <w:t>Time-bound:</w:t>
      </w:r>
      <w:r>
        <w:rPr>
          <w:rFonts w:ascii="Times New Roman" w:hAnsi="Times New Roman" w:eastAsia="Times New Roman" w:cs="Times New Roman"/>
          <w:sz w:val="24"/>
          <w:szCs w:val="24"/>
        </w:rPr>
        <w:t xml:space="preserve"> baseline, pilot, and decision are completed by 30 June 2027.</w:t>
      </w:r>
    </w:p>
    <w:p w14:paraId="4267FCA0">
      <w:pPr>
        <w:spacing w:after="0" w:line="360" w:lineRule="auto"/>
        <w:jc w:val="both"/>
      </w:pPr>
      <w:r>
        <w:rPr>
          <w:rFonts w:ascii="Times New Roman" w:hAnsi="Times New Roman" w:eastAsia="Times New Roman" w:cs="Times New Roman"/>
          <w:sz w:val="24"/>
          <w:szCs w:val="24"/>
        </w:rPr>
        <w:t>The 5-percentage-point threshold is a pre-registered improvement target, not a claimed current result. Its commercial adequacy must be checked against the FY26 baseline, implementation cost, and statistical power.</w:t>
      </w:r>
    </w:p>
    <w:p w14:paraId="34D1480D">
      <w:pPr>
        <w:pStyle w:val="3"/>
        <w:spacing w:before="240" w:after="140" w:line="360" w:lineRule="auto"/>
        <w:outlineLvl w:val="1"/>
      </w:pPr>
      <w:r>
        <w:rPr>
          <w:rFonts w:ascii="Times New Roman" w:hAnsi="Times New Roman" w:eastAsia="Times New Roman" w:cs="Times New Roman"/>
          <w:b/>
          <w:bCs/>
          <w:i/>
          <w:iCs/>
          <w:color w:val="000000"/>
          <w:sz w:val="28"/>
          <w:szCs w:val="28"/>
        </w:rPr>
        <w:t>1.3 Issue tree</w:t>
      </w:r>
    </w:p>
    <w:p w14:paraId="1F12708F">
      <w:pPr>
        <w:spacing w:after="160" w:line="240" w:lineRule="auto"/>
        <w:jc w:val="both"/>
      </w:pPr>
      <w:r>
        <w:rPr>
          <w:rFonts w:ascii="Times New Roman" w:hAnsi="Times New Roman" w:eastAsia="Times New Roman"/>
          <w:sz w:val="22"/>
        </w:rPr>
        <w:t>Figure 1 converts the revised problem structure into a MECE issue tree. The decision-quality branch (H2) is prioritised because both interviews independently identify the customer's interpretation burden and missing embedded evidence as the most actionable mechanism.</w:t>
      </w:r>
    </w:p>
    <w:p w14:paraId="7338E820">
      <w:pPr>
        <w:keepNext/>
        <w:spacing w:before="100" w:after="60" w:line="360" w:lineRule="auto"/>
        <w:jc w:val="center"/>
      </w:pPr>
      <w:r>
        <w:rPr>
          <w:rFonts w:ascii="Times New Roman" w:hAnsi="Times New Roman" w:eastAsia="Times New Roman"/>
          <w:sz w:val="24"/>
        </w:rPr>
        <w:drawing>
          <wp:inline distT="0" distB="0" distL="114300" distR="114300">
            <wp:extent cx="6035040" cy="4023360"/>
            <wp:effectExtent l="0" t="0" r="1016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6035040" cy="4023360"/>
                    </a:xfrm>
                    <a:prstGeom prst="rect">
                      <a:avLst/>
                    </a:prstGeom>
                  </pic:spPr>
                </pic:pic>
              </a:graphicData>
            </a:graphic>
          </wp:inline>
        </w:drawing>
      </w:r>
    </w:p>
    <w:p w14:paraId="035FCD3D">
      <w:pPr>
        <w:keepNext/>
        <w:spacing w:before="80" w:after="80" w:line="240" w:lineRule="auto"/>
        <w:jc w:val="center"/>
      </w:pPr>
      <w:r>
        <w:rPr>
          <w:rFonts w:ascii="Times New Roman" w:hAnsi="Times New Roman" w:eastAsia="Times New Roman"/>
          <w:b/>
          <w:sz w:val="22"/>
        </w:rPr>
        <w:t>Figure 1. Revised issue tree linking the root problem, issue branches, testable hypotheses and tests.</w:t>
      </w:r>
    </w:p>
    <w:p w14:paraId="72008254">
      <w:pPr>
        <w:spacing w:after="0" w:line="360" w:lineRule="auto"/>
        <w:jc w:val="both"/>
      </w:pPr>
      <w:r>
        <w:rPr>
          <w:rFonts w:ascii="Times New Roman" w:hAnsi="Times New Roman" w:eastAsia="Times New Roman" w:cs="Times New Roman"/>
          <w:sz w:val="24"/>
          <w:szCs w:val="24"/>
        </w:rPr>
        <w:t xml:space="preserve">This tree applies the Lecture 4 and </w:t>
      </w:r>
      <w:r>
        <w:rPr>
          <w:rFonts w:ascii="Times New Roman" w:hAnsi="Times New Roman" w:eastAsia="Times New Roman" w:cs="Times New Roman"/>
          <w:i/>
          <w:iCs/>
          <w:sz w:val="24"/>
          <w:szCs w:val="24"/>
        </w:rPr>
        <w:t>The McKinsey Mind</w:t>
      </w:r>
      <w:r>
        <w:rPr>
          <w:rFonts w:ascii="Times New Roman" w:hAnsi="Times New Roman" w:eastAsia="Times New Roman" w:cs="Times New Roman"/>
          <w:sz w:val="24"/>
          <w:szCs w:val="24"/>
        </w:rPr>
        <w:t xml:space="preserve"> hypothesis-led approach: it decomposes the financial value-leakage question into testable branches and prioritises only analyses that can change the decision (Rasiel &amp; Friga, 2001; University of Auckland, 2026a, slides 65–70). It is MECE at the main-branch level because it separates entering the journey, making the decision, acting on it, and preserving subsequent value. Measurement is treated as an overlay rather than a competing cause.</w:t>
      </w:r>
    </w:p>
    <w:p w14:paraId="2E59924B">
      <w:pPr>
        <w:pStyle w:val="3"/>
        <w:spacing w:before="240" w:after="140" w:line="360" w:lineRule="auto"/>
        <w:outlineLvl w:val="1"/>
      </w:pPr>
      <w:r>
        <w:rPr>
          <w:rFonts w:ascii="Times New Roman" w:hAnsi="Times New Roman" w:eastAsia="Times New Roman" w:cs="Times New Roman"/>
          <w:b/>
          <w:bCs/>
          <w:i/>
          <w:iCs/>
          <w:color w:val="000000"/>
          <w:sz w:val="28"/>
          <w:szCs w:val="28"/>
        </w:rPr>
        <w:t>1.4 Hypotheses</w:t>
      </w:r>
    </w:p>
    <w:p w14:paraId="7A5DB31F">
      <w:pPr>
        <w:keepNext/>
        <w:spacing w:before="80" w:after="80" w:line="240" w:lineRule="auto"/>
        <w:jc w:val="center"/>
      </w:pPr>
      <w:r>
        <w:rPr>
          <w:rFonts w:ascii="Times New Roman" w:hAnsi="Times New Roman" w:eastAsia="Times New Roman"/>
          <w:b/>
          <w:sz w:val="22"/>
        </w:rPr>
        <w:t>Table 1. Revised hypotheses and decision rules.</w:t>
      </w:r>
    </w:p>
    <w:tbl>
      <w:tblPr>
        <w:tblStyle w:val="11"/>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4600"/>
        <w:gridCol w:w="4300"/>
      </w:tblGrid>
      <w:tr w14:paraId="6C320997">
        <w:trPr>
          <w:tblHeader/>
        </w:trPr>
        <w:tc>
          <w:tcPr>
            <w:tcW w:w="1000" w:type="dxa"/>
            <w:shd w:val="clear" w:color="auto" w:fill="1F3864"/>
            <w:tcMar>
              <w:top w:w="60" w:type="dxa"/>
              <w:left w:w="100" w:type="dxa"/>
              <w:bottom w:w="60" w:type="dxa"/>
              <w:right w:w="100" w:type="dxa"/>
            </w:tcMar>
            <w:vAlign w:val="center"/>
          </w:tcPr>
          <w:p w14:paraId="05696182">
            <w:pPr>
              <w:spacing w:after="0" w:line="240" w:lineRule="auto"/>
            </w:pPr>
            <w:r>
              <w:rPr>
                <w:rFonts w:ascii="Times New Roman" w:hAnsi="Times New Roman" w:eastAsia="Times New Roman" w:cs="Times New Roman"/>
                <w:b/>
                <w:bCs/>
                <w:color w:val="FFFFFF"/>
                <w:sz w:val="20"/>
                <w:szCs w:val="20"/>
              </w:rPr>
              <w:t>ID</w:t>
            </w:r>
          </w:p>
        </w:tc>
        <w:tc>
          <w:tcPr>
            <w:tcW w:w="4600" w:type="dxa"/>
            <w:shd w:val="clear" w:color="auto" w:fill="1F3864"/>
            <w:tcMar>
              <w:top w:w="60" w:type="dxa"/>
              <w:left w:w="100" w:type="dxa"/>
              <w:bottom w:w="60" w:type="dxa"/>
              <w:right w:w="100" w:type="dxa"/>
            </w:tcMar>
            <w:vAlign w:val="center"/>
          </w:tcPr>
          <w:p w14:paraId="0A616D69">
            <w:pPr>
              <w:spacing w:after="0" w:line="240" w:lineRule="auto"/>
            </w:pPr>
            <w:r>
              <w:rPr>
                <w:rFonts w:ascii="Times New Roman" w:hAnsi="Times New Roman" w:eastAsia="Times New Roman" w:cs="Times New Roman"/>
                <w:b/>
                <w:bCs/>
                <w:color w:val="FFFFFF"/>
                <w:sz w:val="20"/>
                <w:szCs w:val="20"/>
              </w:rPr>
              <w:t>Testable hypothesis</w:t>
            </w:r>
          </w:p>
        </w:tc>
        <w:tc>
          <w:tcPr>
            <w:tcW w:w="4300" w:type="dxa"/>
            <w:shd w:val="clear" w:color="auto" w:fill="1F3864"/>
            <w:tcMar>
              <w:top w:w="60" w:type="dxa"/>
              <w:left w:w="100" w:type="dxa"/>
              <w:bottom w:w="60" w:type="dxa"/>
              <w:right w:w="100" w:type="dxa"/>
            </w:tcMar>
            <w:vAlign w:val="center"/>
          </w:tcPr>
          <w:p w14:paraId="060077FF">
            <w:pPr>
              <w:spacing w:after="0" w:line="240" w:lineRule="auto"/>
            </w:pPr>
            <w:r>
              <w:rPr>
                <w:rFonts w:ascii="Times New Roman" w:hAnsi="Times New Roman" w:eastAsia="Times New Roman" w:cs="Times New Roman"/>
                <w:b/>
                <w:bCs/>
                <w:color w:val="FFFFFF"/>
                <w:sz w:val="20"/>
                <w:szCs w:val="20"/>
              </w:rPr>
              <w:t>Decision rule</w:t>
            </w:r>
          </w:p>
        </w:tc>
      </w:tr>
      <w:tr w14:paraId="6CF1A211">
        <w:tc>
          <w:tcPr>
            <w:tcW w:w="1000" w:type="dxa"/>
            <w:tcMar>
              <w:top w:w="60" w:type="dxa"/>
              <w:left w:w="100" w:type="dxa"/>
              <w:bottom w:w="60" w:type="dxa"/>
              <w:right w:w="100" w:type="dxa"/>
            </w:tcMar>
            <w:vAlign w:val="center"/>
          </w:tcPr>
          <w:p w14:paraId="0299469B">
            <w:pPr>
              <w:spacing w:after="0" w:line="240" w:lineRule="auto"/>
            </w:pPr>
            <w:r>
              <w:rPr>
                <w:rFonts w:ascii="Times New Roman" w:hAnsi="Times New Roman" w:eastAsia="Times New Roman" w:cs="Times New Roman"/>
                <w:b w:val="0"/>
                <w:bCs w:val="0"/>
                <w:sz w:val="20"/>
                <w:szCs w:val="20"/>
              </w:rPr>
              <w:t>H1</w:t>
            </w:r>
          </w:p>
        </w:tc>
        <w:tc>
          <w:tcPr>
            <w:tcW w:w="4600" w:type="dxa"/>
            <w:tcMar>
              <w:top w:w="60" w:type="dxa"/>
              <w:left w:w="100" w:type="dxa"/>
              <w:bottom w:w="60" w:type="dxa"/>
              <w:right w:w="100" w:type="dxa"/>
            </w:tcMar>
            <w:vAlign w:val="center"/>
          </w:tcPr>
          <w:p w14:paraId="0DF46B63">
            <w:pPr>
              <w:spacing w:after="0" w:line="240" w:lineRule="auto"/>
            </w:pPr>
            <w:r>
              <w:rPr>
                <w:rFonts w:ascii="Times New Roman" w:hAnsi="Times New Roman" w:eastAsia="Times New Roman" w:cs="Times New Roman"/>
                <w:b w:val="0"/>
                <w:bCs w:val="0"/>
                <w:sz w:val="20"/>
                <w:szCs w:val="20"/>
              </w:rPr>
              <w:t>A more salient annual-review reminder increases review entry and completion versus the current trigger.</w:t>
            </w:r>
          </w:p>
        </w:tc>
        <w:tc>
          <w:tcPr>
            <w:tcW w:w="4300" w:type="dxa"/>
            <w:tcMar>
              <w:top w:w="60" w:type="dxa"/>
              <w:left w:w="100" w:type="dxa"/>
              <w:bottom w:w="60" w:type="dxa"/>
              <w:right w:w="100" w:type="dxa"/>
            </w:tcMar>
            <w:vAlign w:val="center"/>
          </w:tcPr>
          <w:p w14:paraId="35379023">
            <w:pPr>
              <w:spacing w:after="0" w:line="240" w:lineRule="auto"/>
            </w:pPr>
            <w:r>
              <w:rPr>
                <w:rFonts w:ascii="Times New Roman" w:hAnsi="Times New Roman" w:eastAsia="Times New Roman" w:cs="Times New Roman"/>
                <w:b w:val="0"/>
                <w:bCs w:val="0"/>
                <w:sz w:val="20"/>
                <w:szCs w:val="20"/>
              </w:rPr>
              <w:t>Support only if the controlled uplift reaches the pre-set threshold and confidence interval; otherwise revise or reject.</w:t>
            </w:r>
          </w:p>
        </w:tc>
      </w:tr>
      <w:tr w14:paraId="23792059">
        <w:tc>
          <w:tcPr>
            <w:tcW w:w="1000" w:type="dxa"/>
            <w:shd w:val="clear" w:color="auto" w:fill="F2F2F2"/>
            <w:tcMar>
              <w:top w:w="60" w:type="dxa"/>
              <w:left w:w="100" w:type="dxa"/>
              <w:bottom w:w="60" w:type="dxa"/>
              <w:right w:w="100" w:type="dxa"/>
            </w:tcMar>
            <w:vAlign w:val="center"/>
          </w:tcPr>
          <w:p w14:paraId="3E7B833B">
            <w:pPr>
              <w:spacing w:after="0" w:line="240" w:lineRule="auto"/>
            </w:pPr>
            <w:r>
              <w:rPr>
                <w:rFonts w:ascii="Times New Roman" w:hAnsi="Times New Roman" w:eastAsia="Times New Roman" w:cs="Times New Roman"/>
                <w:b w:val="0"/>
                <w:bCs w:val="0"/>
                <w:sz w:val="20"/>
                <w:szCs w:val="20"/>
              </w:rPr>
              <w:t>H2 — key</w:t>
            </w:r>
          </w:p>
        </w:tc>
        <w:tc>
          <w:tcPr>
            <w:tcW w:w="4600" w:type="dxa"/>
            <w:shd w:val="clear" w:color="auto" w:fill="F2F2F2"/>
            <w:tcMar>
              <w:top w:w="60" w:type="dxa"/>
              <w:left w:w="100" w:type="dxa"/>
              <w:bottom w:w="60" w:type="dxa"/>
              <w:right w:w="100" w:type="dxa"/>
            </w:tcMar>
            <w:vAlign w:val="center"/>
          </w:tcPr>
          <w:p w14:paraId="114D8C5E">
            <w:pPr>
              <w:spacing w:after="0" w:line="240" w:lineRule="auto"/>
            </w:pPr>
            <w:r>
              <w:rPr>
                <w:rFonts w:ascii="Times New Roman" w:hAnsi="Times New Roman" w:eastAsia="Times New Roman" w:cs="Times New Roman"/>
                <w:b/>
                <w:bCs/>
                <w:sz w:val="20"/>
                <w:szCs w:val="20"/>
              </w:rPr>
              <w:t>Compared with a link-only annual plan summary, the absence of embedded usage/spend history and personalised right-plan guidance materially increases customers' plan-choice difficulty.</w:t>
            </w:r>
          </w:p>
        </w:tc>
        <w:tc>
          <w:tcPr>
            <w:tcW w:w="4300" w:type="dxa"/>
            <w:shd w:val="clear" w:color="auto" w:fill="F2F2F2"/>
            <w:tcMar>
              <w:top w:w="60" w:type="dxa"/>
              <w:left w:w="100" w:type="dxa"/>
              <w:bottom w:w="60" w:type="dxa"/>
              <w:right w:w="100" w:type="dxa"/>
            </w:tcMar>
            <w:vAlign w:val="center"/>
          </w:tcPr>
          <w:p w14:paraId="3A893F80">
            <w:pPr>
              <w:spacing w:after="0" w:line="240" w:lineRule="auto"/>
            </w:pPr>
            <w:r>
              <w:rPr>
                <w:rFonts w:ascii="Times New Roman" w:hAnsi="Times New Roman" w:eastAsia="Times New Roman" w:cs="Times New Roman"/>
                <w:b w:val="0"/>
                <w:bCs w:val="0"/>
                <w:sz w:val="20"/>
                <w:szCs w:val="20"/>
              </w:rPr>
              <w:t>For this assignment's qualitative stage, support only if both independent interviews identify this mechanism as material, give concrete reasons, and no stronger rival explanation dominates. A later customer experiment is needed for causal proof.</w:t>
            </w:r>
          </w:p>
        </w:tc>
      </w:tr>
      <w:tr w14:paraId="1912F662">
        <w:tc>
          <w:tcPr>
            <w:tcW w:w="1000" w:type="dxa"/>
            <w:tcMar>
              <w:top w:w="60" w:type="dxa"/>
              <w:left w:w="100" w:type="dxa"/>
              <w:bottom w:w="60" w:type="dxa"/>
              <w:right w:w="100" w:type="dxa"/>
            </w:tcMar>
            <w:vAlign w:val="center"/>
          </w:tcPr>
          <w:p w14:paraId="469F8672">
            <w:pPr>
              <w:spacing w:after="0" w:line="240" w:lineRule="auto"/>
            </w:pPr>
            <w:r>
              <w:rPr>
                <w:rFonts w:ascii="Times New Roman" w:hAnsi="Times New Roman" w:eastAsia="Times New Roman" w:cs="Times New Roman"/>
                <w:b w:val="0"/>
                <w:bCs w:val="0"/>
                <w:sz w:val="20"/>
                <w:szCs w:val="20"/>
              </w:rPr>
              <w:t>H3</w:t>
            </w:r>
          </w:p>
        </w:tc>
        <w:tc>
          <w:tcPr>
            <w:tcW w:w="4600" w:type="dxa"/>
            <w:tcMar>
              <w:top w:w="60" w:type="dxa"/>
              <w:left w:w="100" w:type="dxa"/>
              <w:bottom w:w="60" w:type="dxa"/>
              <w:right w:w="100" w:type="dxa"/>
            </w:tcMar>
            <w:vAlign w:val="center"/>
          </w:tcPr>
          <w:p w14:paraId="2826C403">
            <w:pPr>
              <w:spacing w:after="0" w:line="240" w:lineRule="auto"/>
            </w:pPr>
            <w:r>
              <w:rPr>
                <w:rFonts w:ascii="Times New Roman" w:hAnsi="Times New Roman" w:eastAsia="Times New Roman" w:cs="Times New Roman"/>
                <w:b w:val="0"/>
                <w:bCs w:val="0"/>
                <w:sz w:val="20"/>
                <w:szCs w:val="20"/>
              </w:rPr>
              <w:t>Extra navigation in the link-only journey increases abandonment and avoidable care demand.</w:t>
            </w:r>
          </w:p>
        </w:tc>
        <w:tc>
          <w:tcPr>
            <w:tcW w:w="4300" w:type="dxa"/>
            <w:tcMar>
              <w:top w:w="60" w:type="dxa"/>
              <w:left w:w="100" w:type="dxa"/>
              <w:bottom w:w="60" w:type="dxa"/>
              <w:right w:w="100" w:type="dxa"/>
            </w:tcMar>
            <w:vAlign w:val="center"/>
          </w:tcPr>
          <w:p w14:paraId="761D3985">
            <w:pPr>
              <w:spacing w:after="0" w:line="240" w:lineRule="auto"/>
            </w:pPr>
            <w:r>
              <w:rPr>
                <w:rFonts w:ascii="Times New Roman" w:hAnsi="Times New Roman" w:eastAsia="Times New Roman" w:cs="Times New Roman"/>
                <w:b w:val="0"/>
                <w:bCs w:val="0"/>
                <w:sz w:val="20"/>
                <w:szCs w:val="20"/>
              </w:rPr>
              <w:t>Support only if funnel/event data show a pre-defined reduction in abandonment or care contacts per completed review after controlling for channel and segment.</w:t>
            </w:r>
          </w:p>
        </w:tc>
      </w:tr>
      <w:tr w14:paraId="0DD6D012">
        <w:tc>
          <w:tcPr>
            <w:tcW w:w="1000" w:type="dxa"/>
            <w:shd w:val="clear" w:color="auto" w:fill="F2F2F2"/>
            <w:tcMar>
              <w:top w:w="60" w:type="dxa"/>
              <w:left w:w="100" w:type="dxa"/>
              <w:bottom w:w="60" w:type="dxa"/>
              <w:right w:w="100" w:type="dxa"/>
            </w:tcMar>
            <w:vAlign w:val="center"/>
          </w:tcPr>
          <w:p w14:paraId="5176CFE8">
            <w:pPr>
              <w:spacing w:after="0" w:line="240" w:lineRule="auto"/>
            </w:pPr>
            <w:r>
              <w:rPr>
                <w:rFonts w:ascii="Times New Roman" w:hAnsi="Times New Roman" w:eastAsia="Times New Roman" w:cs="Times New Roman"/>
                <w:b w:val="0"/>
                <w:bCs w:val="0"/>
                <w:sz w:val="20"/>
                <w:szCs w:val="20"/>
              </w:rPr>
              <w:t>H4</w:t>
            </w:r>
          </w:p>
        </w:tc>
        <w:tc>
          <w:tcPr>
            <w:tcW w:w="4600" w:type="dxa"/>
            <w:shd w:val="clear" w:color="auto" w:fill="F2F2F2"/>
            <w:tcMar>
              <w:top w:w="60" w:type="dxa"/>
              <w:left w:w="100" w:type="dxa"/>
              <w:bottom w:w="60" w:type="dxa"/>
              <w:right w:w="100" w:type="dxa"/>
            </w:tcMar>
            <w:vAlign w:val="center"/>
          </w:tcPr>
          <w:p w14:paraId="66DC92CC">
            <w:pPr>
              <w:spacing w:after="0" w:line="240" w:lineRule="auto"/>
            </w:pPr>
            <w:r>
              <w:rPr>
                <w:rFonts w:ascii="Times New Roman" w:hAnsi="Times New Roman" w:eastAsia="Times New Roman" w:cs="Times New Roman"/>
                <w:b w:val="0"/>
                <w:bCs w:val="0"/>
                <w:sz w:val="20"/>
                <w:szCs w:val="20"/>
              </w:rPr>
              <w:t>An enhanced review journey produces positive incremental 90-day retention value without materially reducing segment ARPU or worsening complaints.</w:t>
            </w:r>
          </w:p>
        </w:tc>
        <w:tc>
          <w:tcPr>
            <w:tcW w:w="4300" w:type="dxa"/>
            <w:shd w:val="clear" w:color="auto" w:fill="F2F2F2"/>
            <w:tcMar>
              <w:top w:w="60" w:type="dxa"/>
              <w:left w:w="100" w:type="dxa"/>
              <w:bottom w:w="60" w:type="dxa"/>
              <w:right w:w="100" w:type="dxa"/>
            </w:tcMar>
            <w:vAlign w:val="center"/>
          </w:tcPr>
          <w:p w14:paraId="45E65319">
            <w:pPr>
              <w:spacing w:after="0" w:line="240" w:lineRule="auto"/>
            </w:pPr>
            <w:r>
              <w:rPr>
                <w:rFonts w:ascii="Times New Roman" w:hAnsi="Times New Roman" w:eastAsia="Times New Roman" w:cs="Times New Roman"/>
                <w:b w:val="0"/>
                <w:bCs w:val="0"/>
                <w:sz w:val="20"/>
                <w:szCs w:val="20"/>
              </w:rPr>
              <w:t>Support only if retained contribution margin less journey/contact cost is positive and guardrails are met.</w:t>
            </w:r>
          </w:p>
        </w:tc>
      </w:tr>
      <w:tr w14:paraId="34183189">
        <w:tc>
          <w:tcPr>
            <w:tcW w:w="1000" w:type="dxa"/>
            <w:tcMar>
              <w:top w:w="60" w:type="dxa"/>
              <w:left w:w="100" w:type="dxa"/>
              <w:bottom w:w="60" w:type="dxa"/>
              <w:right w:w="100" w:type="dxa"/>
            </w:tcMar>
            <w:vAlign w:val="center"/>
          </w:tcPr>
          <w:p w14:paraId="563BA22B">
            <w:pPr>
              <w:spacing w:after="0" w:line="240" w:lineRule="auto"/>
            </w:pPr>
            <w:r>
              <w:rPr>
                <w:rFonts w:ascii="Times New Roman" w:hAnsi="Times New Roman" w:eastAsia="Times New Roman" w:cs="Times New Roman"/>
                <w:b w:val="0"/>
                <w:bCs w:val="0"/>
                <w:sz w:val="20"/>
                <w:szCs w:val="20"/>
              </w:rPr>
              <w:t>H5</w:t>
            </w:r>
          </w:p>
        </w:tc>
        <w:tc>
          <w:tcPr>
            <w:tcW w:w="4600" w:type="dxa"/>
            <w:tcMar>
              <w:top w:w="60" w:type="dxa"/>
              <w:left w:w="100" w:type="dxa"/>
              <w:bottom w:w="60" w:type="dxa"/>
              <w:right w:w="100" w:type="dxa"/>
            </w:tcMar>
            <w:vAlign w:val="center"/>
          </w:tcPr>
          <w:p w14:paraId="584BFE91">
            <w:pPr>
              <w:spacing w:after="0" w:line="240" w:lineRule="auto"/>
            </w:pPr>
            <w:r>
              <w:rPr>
                <w:rFonts w:ascii="Times New Roman" w:hAnsi="Times New Roman" w:eastAsia="Times New Roman" w:cs="Times New Roman"/>
                <w:b w:val="0"/>
                <w:bCs w:val="0"/>
                <w:sz w:val="20"/>
                <w:szCs w:val="20"/>
              </w:rPr>
              <w:t>Review-step abandonment is positively associated with 90-day churn after controlling for tenure, segment, current plan, and campaign exposure.</w:t>
            </w:r>
          </w:p>
        </w:tc>
        <w:tc>
          <w:tcPr>
            <w:tcW w:w="4300" w:type="dxa"/>
            <w:tcMar>
              <w:top w:w="60" w:type="dxa"/>
              <w:left w:w="100" w:type="dxa"/>
              <w:bottom w:w="60" w:type="dxa"/>
              <w:right w:w="100" w:type="dxa"/>
            </w:tcMar>
            <w:vAlign w:val="center"/>
          </w:tcPr>
          <w:p w14:paraId="6F84220B">
            <w:pPr>
              <w:spacing w:after="0" w:line="240" w:lineRule="auto"/>
            </w:pPr>
            <w:r>
              <w:rPr>
                <w:rFonts w:ascii="Times New Roman" w:hAnsi="Times New Roman" w:eastAsia="Times New Roman" w:cs="Times New Roman"/>
                <w:b w:val="0"/>
                <w:bCs w:val="0"/>
                <w:sz w:val="20"/>
                <w:szCs w:val="20"/>
              </w:rPr>
              <w:t>Support only if the adjusted effect is positive and its 95% confidence interval excludes zero; association will not be presented as causation.</w:t>
            </w:r>
          </w:p>
        </w:tc>
      </w:tr>
    </w:tbl>
    <w:p w14:paraId="6F86B8E2">
      <w:pPr>
        <w:spacing w:after="160" w:line="360" w:lineRule="auto"/>
        <w:jc w:val="both"/>
      </w:pPr>
    </w:p>
    <w:p w14:paraId="032CA12C">
      <w:pPr>
        <w:pStyle w:val="3"/>
        <w:spacing w:before="240" w:after="140" w:line="360" w:lineRule="auto"/>
        <w:outlineLvl w:val="1"/>
      </w:pPr>
      <w:r>
        <w:rPr>
          <w:rFonts w:ascii="Times New Roman" w:hAnsi="Times New Roman" w:eastAsia="Times New Roman" w:cs="Times New Roman"/>
          <w:b/>
          <w:bCs/>
          <w:i/>
          <w:iCs/>
          <w:color w:val="000000"/>
          <w:sz w:val="28"/>
          <w:szCs w:val="28"/>
        </w:rPr>
        <w:t>1.5 AS-IS model interpretation</w:t>
      </w:r>
    </w:p>
    <w:p w14:paraId="06D57374">
      <w:pPr>
        <w:spacing w:after="0" w:line="360" w:lineRule="auto"/>
        <w:jc w:val="both"/>
      </w:pPr>
      <w:r>
        <w:rPr>
          <w:rFonts w:ascii="Times New Roman" w:hAnsi="Times New Roman" w:eastAsia="Times New Roman"/>
          <w:sz w:val="24"/>
        </w:rPr>
        <w:t>The A1-D1 SAP Signavio export is retained only as conceptual input and was fully redrawn for A1-D2. Marker feedback on A1-D1 identified overlapping text, unclear lane boundaries, improper task-to-lane connections and unclear sequence flows. The revised model preserves the valid process content while rebuilding its syntax and layout: Spark's data/plan-review responsibilities, Spark's care/plan-service responsibilities and the customer's responsibilities sit in separate, clearly bounded lanes; every task sits fully within its responsible lane; message flows connect the two pools; gateways and outgoing conditions are labelled; and no text or connector overlaps another element (Figure 2).</w:t>
      </w:r>
    </w:p>
    <w:p w14:paraId="2406D9E8">
      <w:pPr>
        <w:spacing w:after="0" w:line="360" w:lineRule="auto"/>
        <w:jc w:val="both"/>
      </w:pPr>
      <w:r>
        <w:rPr>
          <w:rFonts w:ascii="Times New Roman" w:hAnsi="Times New Roman" w:eastAsia="Times New Roman" w:cs="Times New Roman"/>
          <w:sz w:val="24"/>
          <w:szCs w:val="24"/>
        </w:rPr>
        <w:t>The revised model makes the observed gap visible at “Send annual summary”: embedded history and a personalised right-plan recommendation are absent from the message the customer receives. The customer may then follow a link, compare plans manually, contact care, stay, change or defer.</w:t>
      </w:r>
    </w:p>
    <w:p w14:paraId="1DAA5831">
      <w:pPr>
        <w:spacing w:after="0" w:line="360" w:lineRule="auto"/>
        <w:jc w:val="both"/>
      </w:pPr>
      <w:r>
        <w:rPr>
          <w:rFonts w:ascii="Times New Roman" w:hAnsi="Times New Roman" w:eastAsia="Times New Roman" w:cs="Times New Roman"/>
          <w:sz w:val="24"/>
          <w:szCs w:val="24"/>
        </w:rPr>
        <w:t xml:space="preserve">The model retains the evidence labels </w:t>
      </w:r>
      <w:r>
        <w:rPr>
          <w:rFonts w:ascii="Times New Roman" w:hAnsi="Times New Roman" w:eastAsia="Times New Roman" w:cs="Times New Roman"/>
          <w:b/>
          <w:bCs/>
          <w:sz w:val="24"/>
          <w:szCs w:val="24"/>
        </w:rPr>
        <w:t>[O] observed</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[H] hypothesised</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[V] to validate</w:t>
      </w:r>
      <w:r>
        <w:rPr>
          <w:rFonts w:ascii="Times New Roman" w:hAnsi="Times New Roman" w:eastAsia="Times New Roman" w:cs="Times New Roman"/>
          <w:sz w:val="24"/>
          <w:szCs w:val="24"/>
        </w:rPr>
        <w:t>, so a reader can see at a glance which steps are drawn from public reporting, which are analytical inference, and which require client-side validation. Public sources do not disclose Spark's internal systems, recommendation rules, exceptions, process owner, or event-data links; these are not invented anywhere in the model.</w:t>
      </w:r>
    </w:p>
    <w:p w14:paraId="4763B857">
      <w:pPr>
        <w:spacing w:line="360" w:lineRule="auto"/>
        <w:sectPr>
          <w:footerReference r:id="rId3" w:type="default"/>
          <w:pgSz w:w="11906" w:h="16838"/>
          <w:pgMar w:top="1080" w:right="1200" w:bottom="1080" w:left="1200" w:header="708" w:footer="708" w:gutter="0"/>
          <w:cols w:space="720" w:num="1"/>
          <w:docGrid w:linePitch="360" w:charSpace="0"/>
        </w:sectPr>
      </w:pPr>
    </w:p>
    <w:p w14:paraId="17F31993">
      <w:pPr>
        <w:spacing w:before="200" w:after="100" w:line="360" w:lineRule="auto"/>
        <w:jc w:val="center"/>
      </w:pPr>
      <w:r>
        <w:rPr>
          <w:rFonts w:ascii="Times New Roman" w:hAnsi="Times New Roman" w:eastAsia="Times New Roman"/>
          <w:sz w:val="24"/>
        </w:rPr>
        <w:drawing>
          <wp:inline distT="0" distB="0" distL="0" distR="0">
            <wp:extent cx="9659620" cy="4173855"/>
            <wp:effectExtent l="0" t="0" r="1778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6"/>
                    <a:srcRect l="5048" t="2017" r="5188"/>
                    <a:stretch>
                      <a:fillRect/>
                    </a:stretch>
                  </pic:blipFill>
                  <pic:spPr>
                    <a:xfrm>
                      <a:off x="0" y="0"/>
                      <a:ext cx="9659620" cy="4173855"/>
                    </a:xfrm>
                    <a:prstGeom prst="rect">
                      <a:avLst/>
                    </a:prstGeom>
                  </pic:spPr>
                </pic:pic>
              </a:graphicData>
            </a:graphic>
          </wp:inline>
        </w:drawing>
      </w:r>
    </w:p>
    <w:p w14:paraId="10B2EB62">
      <w:pPr>
        <w:spacing w:before="120" w:after="200" w:line="240" w:lineRule="auto"/>
        <w:jc w:val="center"/>
      </w:pPr>
      <w:r>
        <w:rPr>
          <w:rFonts w:ascii="Times New Roman" w:hAnsi="Times New Roman" w:eastAsia="Times New Roman"/>
          <w:b/>
          <w:sz w:val="22"/>
        </w:rPr>
        <w:t>Figure 2a. Revised AS-IS annual mobile plan-review process—overview (SAP Signavio BPMN 2.0).</w:t>
      </w:r>
    </w:p>
    <w:p w14:paraId="4B2B1782">
      <w:pPr>
        <w:spacing w:line="360" w:lineRule="auto"/>
        <w:sectPr>
          <w:footerReference r:id="rId4" w:type="default"/>
          <w:pgSz w:w="16838" w:h="11906" w:orient="landscape"/>
          <w:pgMar w:top="1000" w:right="900" w:bottom="1000" w:left="900" w:header="708" w:footer="708" w:gutter="0"/>
          <w:cols w:space="720" w:num="1"/>
          <w:docGrid w:linePitch="360" w:charSpace="0"/>
        </w:sectPr>
      </w:pPr>
    </w:p>
    <w:p w14:paraId="5D54FCC5">
      <w:pPr>
        <w:pStyle w:val="2"/>
        <w:spacing w:before="320" w:after="160" w:line="360" w:lineRule="auto"/>
        <w:outlineLvl w:val="0"/>
      </w:pPr>
      <w:r>
        <w:rPr>
          <w:rFonts w:ascii="Times New Roman" w:hAnsi="Times New Roman" w:eastAsia="Times New Roman" w:cs="Times New Roman"/>
          <w:b/>
          <w:bCs/>
          <w:color w:val="000000"/>
          <w:sz w:val="28"/>
          <w:szCs w:val="28"/>
        </w:rPr>
        <w:t>2. KPI Framework</w:t>
      </w:r>
    </w:p>
    <w:p w14:paraId="69E16624">
      <w:pPr>
        <w:pStyle w:val="3"/>
        <w:spacing w:before="240" w:after="140" w:line="360" w:lineRule="auto"/>
        <w:outlineLvl w:val="1"/>
      </w:pPr>
      <w:r>
        <w:rPr>
          <w:rFonts w:ascii="Times New Roman" w:hAnsi="Times New Roman" w:eastAsia="Times New Roman" w:cs="Times New Roman"/>
          <w:b/>
          <w:bCs/>
          <w:i/>
          <w:iCs/>
          <w:color w:val="000000"/>
          <w:sz w:val="28"/>
          <w:szCs w:val="28"/>
        </w:rPr>
        <w:t>2.0 Quantified dysfunction and target basis</w:t>
      </w:r>
    </w:p>
    <w:p w14:paraId="02421455">
      <w:pPr>
        <w:spacing w:after="0" w:line="360" w:lineRule="auto"/>
        <w:jc w:val="both"/>
      </w:pPr>
      <w:r>
        <w:rPr>
          <w:rFonts w:ascii="Times New Roman" w:hAnsi="Times New Roman" w:eastAsia="Times New Roman" w:cs="Times New Roman"/>
          <w:sz w:val="24"/>
          <w:szCs w:val="24"/>
        </w:rPr>
        <w:t>The available public baseline quantifies the design weakness rather than Spark's internal funnel performance. In the 2024 transparency assessment, Spark's annual summary scored 73%; its Made For You Review used six months rather than a full year of data and lacked sufficient spending detail (Commerce Commission, 2024). The 2025 review then reported that Spark's replacement summaries omitted both embedded historical information and the right-plan recommendation and instead directed customers to a link (Commerce Commission, 2025b). These observations justify testing the dysfunctional information design, but they do not quantify review abandonment or financial loss. The proposed five-percentage-point uplift is therefore a pre-registered pilot target against a contemporaneous comparison, not a claim about the current baseline.</w:t>
      </w:r>
    </w:p>
    <w:p w14:paraId="521811C8">
      <w:pPr>
        <w:pStyle w:val="3"/>
        <w:spacing w:before="240" w:after="140" w:line="360" w:lineRule="auto"/>
        <w:outlineLvl w:val="1"/>
      </w:pPr>
      <w:r>
        <w:rPr>
          <w:rFonts w:ascii="Times New Roman" w:hAnsi="Times New Roman" w:eastAsia="Times New Roman" w:cs="Times New Roman"/>
          <w:b/>
          <w:bCs/>
          <w:i/>
          <w:iCs/>
          <w:color w:val="000000"/>
          <w:sz w:val="28"/>
          <w:szCs w:val="28"/>
        </w:rPr>
        <w:t>2.1 Major KPI: Effective plan-review completion rate</w:t>
      </w:r>
    </w:p>
    <w:p w14:paraId="7F58A72A">
      <w:pPr>
        <w:spacing w:after="0" w:line="360" w:lineRule="auto"/>
        <w:jc w:val="both"/>
      </w:pPr>
      <w:r>
        <w:rPr>
          <w:rFonts w:ascii="Times New Roman" w:hAnsi="Times New Roman" w:eastAsia="Times New Roman" w:cs="Times New Roman"/>
          <w:b/>
          <w:bCs/>
          <w:sz w:val="24"/>
          <w:szCs w:val="24"/>
        </w:rPr>
        <w:t>Definition:</w:t>
      </w:r>
      <w:r>
        <w:rPr>
          <w:rFonts w:ascii="Times New Roman" w:hAnsi="Times New Roman" w:eastAsia="Times New Roman" w:cs="Times New Roman"/>
          <w:sz w:val="24"/>
          <w:szCs w:val="24"/>
        </w:rPr>
        <w:t xml:space="preserve"> Percentage of eligible customers who enter the annual review, reach a recorded stay/change decision within 30 days, and satisfy the appropriate-choice rule.</w:t>
      </w:r>
    </w:p>
    <w:p w14:paraId="6BBA58C5">
      <w:pPr>
        <w:spacing w:after="0" w:line="360" w:lineRule="auto"/>
        <w:jc w:val="both"/>
      </w:pPr>
      <w:r>
        <w:rPr>
          <w:rFonts w:ascii="Times New Roman" w:hAnsi="Times New Roman" w:eastAsia="Times New Roman" w:cs="Times New Roman"/>
          <w:b/>
          <w:bCs/>
          <w:sz w:val="24"/>
          <w:szCs w:val="24"/>
        </w:rPr>
        <w:t>Formula:</w:t>
      </w:r>
      <w:r>
        <w:rPr>
          <w:rFonts w:ascii="Times New Roman" w:hAnsi="Times New Roman" w:eastAsia="Times New Roman" w:cs="Times New Roman"/>
          <w:sz w:val="24"/>
          <w:szCs w:val="24"/>
        </w:rPr>
        <w:t xml:space="preserve"> customers completing an appropriate review decision within 30 days ÷ eligible customers receiving a review invitation × 100</w:t>
      </w:r>
    </w:p>
    <w:p w14:paraId="0278C1EF">
      <w:pPr>
        <w:spacing w:after="0" w:line="360" w:lineRule="auto"/>
        <w:jc w:val="both"/>
      </w:pPr>
      <w:r>
        <w:rPr>
          <w:rFonts w:ascii="Times New Roman" w:hAnsi="Times New Roman" w:eastAsia="Times New Roman" w:cs="Times New Roman"/>
          <w:b/>
          <w:bCs/>
          <w:sz w:val="24"/>
          <w:szCs w:val="24"/>
        </w:rPr>
        <w:t>Appropriate-choice rule:</w:t>
      </w:r>
      <w:r>
        <w:rPr>
          <w:rFonts w:ascii="Times New Roman" w:hAnsi="Times New Roman" w:eastAsia="Times New Roman" w:cs="Times New Roman"/>
          <w:sz w:val="24"/>
          <w:szCs w:val="24"/>
        </w:rPr>
        <w:t xml:space="preserve"> the selected/current plan is consistent with pre-agreed usage, spend, allowance, and customer-preference rules. The rule and tolerances must be approved before analysis; they cannot be defined after seeing results.</w:t>
      </w:r>
    </w:p>
    <w:p w14:paraId="1D0958AE">
      <w:pPr>
        <w:spacing w:after="0" w:line="360" w:lineRule="auto"/>
        <w:jc w:val="both"/>
      </w:pPr>
      <w:r>
        <w:rPr>
          <w:rFonts w:ascii="Times New Roman" w:hAnsi="Times New Roman" w:eastAsia="Times New Roman" w:cs="Times New Roman"/>
          <w:b/>
          <w:bCs/>
          <w:sz w:val="24"/>
          <w:szCs w:val="24"/>
        </w:rPr>
        <w:t>SMART target:</w:t>
      </w:r>
      <w:r>
        <w:rPr>
          <w:rFonts w:ascii="Times New Roman" w:hAnsi="Times New Roman" w:eastAsia="Times New Roman" w:cs="Times New Roman"/>
          <w:sz w:val="24"/>
          <w:szCs w:val="24"/>
        </w:rPr>
        <w:t xml:space="preserve"> establish the FY26 baseline and, by 30 June 2027, improve the treatment journey by </w:t>
      </w:r>
      <w:r>
        <w:rPr>
          <w:rFonts w:ascii="Times New Roman" w:hAnsi="Times New Roman" w:eastAsia="Times New Roman" w:cs="Times New Roman"/>
          <w:b/>
          <w:bCs/>
          <w:sz w:val="24"/>
          <w:szCs w:val="24"/>
        </w:rPr>
        <w:t>at least 5 percentage points</w:t>
      </w:r>
      <w:r>
        <w:rPr>
          <w:rFonts w:ascii="Times New Roman" w:hAnsi="Times New Roman" w:eastAsia="Times New Roman" w:cs="Times New Roman"/>
          <w:sz w:val="24"/>
          <w:szCs w:val="24"/>
        </w:rPr>
        <w:t xml:space="preserve"> versus a contemporaneous link-only comparison, subject to adequate sample size and the financial/experience guardrails below.</w:t>
      </w:r>
    </w:p>
    <w:p w14:paraId="7F0DAAF9">
      <w:pPr>
        <w:spacing w:after="0" w:line="360" w:lineRule="auto"/>
        <w:jc w:val="both"/>
      </w:pPr>
      <w:r>
        <w:rPr>
          <w:rFonts w:ascii="Times New Roman" w:hAnsi="Times New Roman" w:eastAsia="Times New Roman" w:cs="Times New Roman"/>
          <w:b/>
          <w:bCs/>
          <w:sz w:val="24"/>
          <w:szCs w:val="24"/>
        </w:rPr>
        <w:t>Why it is the major KPI:</w:t>
      </w:r>
      <w:r>
        <w:rPr>
          <w:rFonts w:ascii="Times New Roman" w:hAnsi="Times New Roman" w:eastAsia="Times New Roman" w:cs="Times New Roman"/>
          <w:sz w:val="24"/>
          <w:szCs w:val="24"/>
        </w:rPr>
        <w:t xml:space="preserve"> it prevents a weak definition of success. Clicks or plan changes alone may rise without helping customers choose appropriately. This KPI combines process completion with decision quality.</w:t>
      </w:r>
    </w:p>
    <w:p w14:paraId="76BD8825">
      <w:pPr>
        <w:pStyle w:val="3"/>
        <w:spacing w:before="240" w:after="140" w:line="360" w:lineRule="auto"/>
        <w:outlineLvl w:val="1"/>
      </w:pPr>
      <w:r>
        <w:rPr>
          <w:rFonts w:ascii="Times New Roman" w:hAnsi="Times New Roman" w:eastAsia="Times New Roman" w:cs="Times New Roman"/>
          <w:b/>
          <w:bCs/>
          <w:i/>
          <w:iCs/>
          <w:color w:val="000000"/>
          <w:sz w:val="28"/>
          <w:szCs w:val="28"/>
        </w:rPr>
        <w:t>2.2 Sub-KPI 1: Review decision-completion rate</w:t>
      </w:r>
    </w:p>
    <w:p w14:paraId="0DFB6D8E">
      <w:pPr>
        <w:spacing w:after="0" w:line="360" w:lineRule="auto"/>
        <w:jc w:val="both"/>
      </w:pPr>
      <w:r>
        <w:rPr>
          <w:rFonts w:ascii="Times New Roman" w:hAnsi="Times New Roman" w:eastAsia="Times New Roman" w:cs="Times New Roman"/>
          <w:b/>
          <w:bCs/>
          <w:sz w:val="24"/>
          <w:szCs w:val="24"/>
        </w:rPr>
        <w:t>Definition:</w:t>
      </w:r>
      <w:r>
        <w:rPr>
          <w:rFonts w:ascii="Times New Roman" w:hAnsi="Times New Roman" w:eastAsia="Times New Roman" w:cs="Times New Roman"/>
          <w:sz w:val="24"/>
          <w:szCs w:val="24"/>
        </w:rPr>
        <w:t xml:space="preserve"> percentage of eligible invited customers with a recorded stay/change decision within 30 days.</w:t>
      </w:r>
    </w:p>
    <w:p w14:paraId="5B988C77">
      <w:pPr>
        <w:spacing w:after="0" w:line="360" w:lineRule="auto"/>
        <w:jc w:val="both"/>
      </w:pPr>
      <w:r>
        <w:rPr>
          <w:rFonts w:ascii="Times New Roman" w:hAnsi="Times New Roman" w:eastAsia="Times New Roman" w:cs="Times New Roman"/>
          <w:b/>
          <w:bCs/>
          <w:sz w:val="24"/>
          <w:szCs w:val="24"/>
        </w:rPr>
        <w:t>Formula:</w:t>
      </w:r>
      <w:r>
        <w:rPr>
          <w:rFonts w:ascii="Times New Roman" w:hAnsi="Times New Roman" w:eastAsia="Times New Roman" w:cs="Times New Roman"/>
          <w:sz w:val="24"/>
          <w:szCs w:val="24"/>
        </w:rPr>
        <w:t xml:space="preserve"> customers recording stay/change within 30 days ÷ eligible invited customers × 100</w:t>
      </w:r>
    </w:p>
    <w:p w14:paraId="75E8989D">
      <w:pPr>
        <w:spacing w:after="0" w:line="360" w:lineRule="auto"/>
        <w:jc w:val="both"/>
      </w:pPr>
      <w:r>
        <w:rPr>
          <w:rFonts w:ascii="Times New Roman" w:hAnsi="Times New Roman" w:eastAsia="Times New Roman" w:cs="Times New Roman"/>
          <w:b/>
          <w:bCs/>
          <w:sz w:val="24"/>
          <w:szCs w:val="24"/>
        </w:rPr>
        <w:t>SMART target:</w:t>
      </w:r>
      <w:r>
        <w:rPr>
          <w:rFonts w:ascii="Times New Roman" w:hAnsi="Times New Roman" w:eastAsia="Times New Roman" w:cs="Times New Roman"/>
          <w:sz w:val="24"/>
          <w:szCs w:val="24"/>
        </w:rPr>
        <w:t xml:space="preserve"> improve by </w:t>
      </w:r>
      <w:r>
        <w:rPr>
          <w:rFonts w:ascii="Times New Roman" w:hAnsi="Times New Roman" w:eastAsia="Times New Roman" w:cs="Times New Roman"/>
          <w:b/>
          <w:bCs/>
          <w:sz w:val="24"/>
          <w:szCs w:val="24"/>
        </w:rPr>
        <w:t>at least 5 percentage points</w:t>
      </w:r>
      <w:r>
        <w:rPr>
          <w:rFonts w:ascii="Times New Roman" w:hAnsi="Times New Roman" w:eastAsia="Times New Roman" w:cs="Times New Roman"/>
          <w:sz w:val="24"/>
          <w:szCs w:val="24"/>
        </w:rPr>
        <w:t xml:space="preserve"> against the link-only comparison by 30 June 2027.</w:t>
      </w:r>
    </w:p>
    <w:p w14:paraId="258F2FB7">
      <w:pPr>
        <w:pStyle w:val="3"/>
        <w:spacing w:before="240" w:after="140" w:line="360" w:lineRule="auto"/>
        <w:outlineLvl w:val="1"/>
      </w:pPr>
      <w:r>
        <w:rPr>
          <w:rFonts w:ascii="Times New Roman" w:hAnsi="Times New Roman" w:eastAsia="Times New Roman" w:cs="Times New Roman"/>
          <w:b/>
          <w:bCs/>
          <w:i/>
          <w:iCs/>
          <w:color w:val="000000"/>
          <w:sz w:val="28"/>
          <w:szCs w:val="28"/>
        </w:rPr>
        <w:t>2.3 Sub-KPI 2: Appropriate plan-choice rate among completers</w:t>
      </w:r>
    </w:p>
    <w:p w14:paraId="52CD7C06">
      <w:pPr>
        <w:spacing w:after="0" w:line="360" w:lineRule="auto"/>
        <w:jc w:val="both"/>
      </w:pPr>
      <w:r>
        <w:rPr>
          <w:rFonts w:ascii="Times New Roman" w:hAnsi="Times New Roman" w:eastAsia="Times New Roman" w:cs="Times New Roman"/>
          <w:b/>
          <w:bCs/>
          <w:sz w:val="24"/>
          <w:szCs w:val="24"/>
        </w:rPr>
        <w:t>Definition:</w:t>
      </w:r>
      <w:r>
        <w:rPr>
          <w:rFonts w:ascii="Times New Roman" w:hAnsi="Times New Roman" w:eastAsia="Times New Roman" w:cs="Times New Roman"/>
          <w:sz w:val="24"/>
          <w:szCs w:val="24"/>
        </w:rPr>
        <w:t xml:space="preserve"> percentage of customers completing the review whose stay/change decision satisfies the pre-agreed appropriate-choice rule.</w:t>
      </w:r>
    </w:p>
    <w:p w14:paraId="2C37B20D">
      <w:pPr>
        <w:spacing w:after="0" w:line="360" w:lineRule="auto"/>
        <w:jc w:val="both"/>
      </w:pPr>
      <w:r>
        <w:rPr>
          <w:rFonts w:ascii="Times New Roman" w:hAnsi="Times New Roman" w:eastAsia="Times New Roman" w:cs="Times New Roman"/>
          <w:b/>
          <w:bCs/>
          <w:sz w:val="24"/>
          <w:szCs w:val="24"/>
        </w:rPr>
        <w:t>Formula:</w:t>
      </w:r>
      <w:r>
        <w:rPr>
          <w:rFonts w:ascii="Times New Roman" w:hAnsi="Times New Roman" w:eastAsia="Times New Roman" w:cs="Times New Roman"/>
          <w:sz w:val="24"/>
          <w:szCs w:val="24"/>
        </w:rPr>
        <w:t xml:space="preserve"> appropriate completed decisions ÷ all completed stay/change decisions × 100</w:t>
      </w:r>
    </w:p>
    <w:p w14:paraId="5B194A9B">
      <w:pPr>
        <w:spacing w:after="0" w:line="360" w:lineRule="auto"/>
        <w:jc w:val="both"/>
      </w:pPr>
      <w:r>
        <w:rPr>
          <w:rFonts w:ascii="Times New Roman" w:hAnsi="Times New Roman" w:eastAsia="Times New Roman" w:cs="Times New Roman"/>
          <w:b/>
          <w:bCs/>
          <w:sz w:val="24"/>
          <w:szCs w:val="24"/>
        </w:rPr>
        <w:t>SMART target:</w:t>
      </w:r>
      <w:r>
        <w:rPr>
          <w:rFonts w:ascii="Times New Roman" w:hAnsi="Times New Roman" w:eastAsia="Times New Roman" w:cs="Times New Roman"/>
          <w:sz w:val="24"/>
          <w:szCs w:val="24"/>
        </w:rPr>
        <w:t xml:space="preserve"> be </w:t>
      </w:r>
      <w:r>
        <w:rPr>
          <w:rFonts w:ascii="Times New Roman" w:hAnsi="Times New Roman" w:eastAsia="Times New Roman" w:cs="Times New Roman"/>
          <w:b/>
          <w:bCs/>
          <w:sz w:val="24"/>
          <w:szCs w:val="24"/>
        </w:rPr>
        <w:t>non-inferior</w:t>
      </w:r>
      <w:r>
        <w:rPr>
          <w:rFonts w:ascii="Times New Roman" w:hAnsi="Times New Roman" w:eastAsia="Times New Roman" w:cs="Times New Roman"/>
          <w:sz w:val="24"/>
          <w:szCs w:val="24"/>
        </w:rPr>
        <w:t xml:space="preserve"> to the link-only comparison and seek a </w:t>
      </w:r>
      <w:r>
        <w:rPr>
          <w:rFonts w:ascii="Times New Roman" w:hAnsi="Times New Roman" w:eastAsia="Times New Roman" w:cs="Times New Roman"/>
          <w:b/>
          <w:bCs/>
          <w:sz w:val="24"/>
          <w:szCs w:val="24"/>
        </w:rPr>
        <w:t>5-percentage-point improvement</w:t>
      </w:r>
      <w:r>
        <w:rPr>
          <w:rFonts w:ascii="Times New Roman" w:hAnsi="Times New Roman" w:eastAsia="Times New Roman" w:cs="Times New Roman"/>
          <w:sz w:val="24"/>
          <w:szCs w:val="24"/>
        </w:rPr>
        <w:t>, with the non-inferiority margin fixed before the pilot.</w:t>
      </w:r>
    </w:p>
    <w:p w14:paraId="70D8E927">
      <w:pPr>
        <w:pStyle w:val="3"/>
        <w:spacing w:before="240" w:after="140" w:line="360" w:lineRule="auto"/>
        <w:outlineLvl w:val="1"/>
      </w:pPr>
      <w:r>
        <w:rPr>
          <w:rFonts w:ascii="Times New Roman" w:hAnsi="Times New Roman" w:eastAsia="Times New Roman" w:cs="Times New Roman"/>
          <w:b/>
          <w:bCs/>
          <w:i/>
          <w:iCs/>
          <w:color w:val="000000"/>
          <w:sz w:val="28"/>
          <w:szCs w:val="28"/>
        </w:rPr>
        <w:t>2.4 Guardrails and diagnostic measures</w:t>
      </w:r>
    </w:p>
    <w:p w14:paraId="04962B54">
      <w:pPr>
        <w:pStyle w:val="16"/>
        <w:numPr>
          <w:ilvl w:val="0"/>
          <w:numId w:val="1"/>
        </w:numPr>
        <w:spacing w:after="0" w:line="360" w:lineRule="auto"/>
      </w:pPr>
      <w:r>
        <w:rPr>
          <w:rFonts w:ascii="Times New Roman" w:hAnsi="Times New Roman" w:eastAsia="Times New Roman" w:cs="Times New Roman"/>
          <w:sz w:val="24"/>
          <w:szCs w:val="24"/>
        </w:rPr>
        <w:t>90-day retention value per eligible invited customer;</w:t>
      </w:r>
    </w:p>
    <w:p w14:paraId="61A6A493">
      <w:pPr>
        <w:pStyle w:val="16"/>
        <w:numPr>
          <w:ilvl w:val="0"/>
          <w:numId w:val="1"/>
        </w:numPr>
        <w:spacing w:after="0" w:line="360" w:lineRule="auto"/>
      </w:pPr>
      <w:r>
        <w:rPr>
          <w:rFonts w:ascii="Times New Roman" w:hAnsi="Times New Roman" w:eastAsia="Times New Roman" w:cs="Times New Roman"/>
          <w:sz w:val="24"/>
          <w:szCs w:val="24"/>
        </w:rPr>
        <w:t>segment ARPU;</w:t>
      </w:r>
    </w:p>
    <w:p w14:paraId="6F1D7F6F">
      <w:pPr>
        <w:pStyle w:val="16"/>
        <w:numPr>
          <w:ilvl w:val="0"/>
          <w:numId w:val="1"/>
        </w:numPr>
        <w:spacing w:after="0" w:line="360" w:lineRule="auto"/>
      </w:pPr>
      <w:r>
        <w:rPr>
          <w:rFonts w:ascii="Times New Roman" w:hAnsi="Times New Roman" w:eastAsia="Times New Roman" w:cs="Times New Roman"/>
          <w:sz w:val="24"/>
          <w:szCs w:val="24"/>
        </w:rPr>
        <w:t>complaint rate per 1,000 invited customers;</w:t>
      </w:r>
    </w:p>
    <w:p w14:paraId="03E8E5FA">
      <w:pPr>
        <w:pStyle w:val="16"/>
        <w:numPr>
          <w:ilvl w:val="0"/>
          <w:numId w:val="1"/>
        </w:numPr>
        <w:spacing w:after="0" w:line="360" w:lineRule="auto"/>
      </w:pPr>
      <w:r>
        <w:rPr>
          <w:rFonts w:ascii="Times New Roman" w:hAnsi="Times New Roman" w:eastAsia="Times New Roman" w:cs="Times New Roman"/>
          <w:sz w:val="24"/>
          <w:szCs w:val="24"/>
        </w:rPr>
        <w:t>care contacts per completed review;</w:t>
      </w:r>
    </w:p>
    <w:p w14:paraId="56AA3B0E">
      <w:pPr>
        <w:pStyle w:val="16"/>
        <w:numPr>
          <w:ilvl w:val="0"/>
          <w:numId w:val="1"/>
        </w:numPr>
        <w:spacing w:after="0" w:line="360" w:lineRule="auto"/>
      </w:pPr>
      <w:r>
        <w:rPr>
          <w:rFonts w:ascii="Times New Roman" w:hAnsi="Times New Roman" w:eastAsia="Times New Roman" w:cs="Times New Roman"/>
          <w:sz w:val="24"/>
          <w:szCs w:val="24"/>
        </w:rPr>
        <w:t>extra-navigation abandonment rate.</w:t>
      </w:r>
    </w:p>
    <w:p w14:paraId="1DDCE459">
      <w:pPr>
        <w:spacing w:after="0" w:line="360" w:lineRule="auto"/>
        <w:jc w:val="both"/>
      </w:pPr>
      <w:r>
        <w:rPr>
          <w:rFonts w:ascii="Times New Roman" w:hAnsi="Times New Roman" w:eastAsia="Times New Roman" w:cs="Times New Roman"/>
          <w:sz w:val="24"/>
          <w:szCs w:val="24"/>
        </w:rPr>
        <w:t>These are not substitutes for the required major KPI and two sub-KPIs. They test whether apparent funnel improvement creates sustainable value without customer or revenue harm.</w:t>
      </w:r>
    </w:p>
    <w:p w14:paraId="612D97C8">
      <w:pPr>
        <w:pStyle w:val="2"/>
        <w:spacing w:before="320" w:after="160" w:line="360" w:lineRule="auto"/>
        <w:outlineLvl w:val="0"/>
      </w:pPr>
      <w:r>
        <w:rPr>
          <w:rFonts w:ascii="Times New Roman" w:hAnsi="Times New Roman" w:eastAsia="Times New Roman" w:cs="Times New Roman"/>
          <w:b/>
          <w:bCs/>
          <w:color w:val="000000"/>
          <w:sz w:val="28"/>
          <w:szCs w:val="28"/>
        </w:rPr>
        <w:t>3. Analysis Work Plan</w:t>
      </w:r>
    </w:p>
    <w:p w14:paraId="5D0AF3F4">
      <w:pPr>
        <w:spacing w:after="0" w:line="360" w:lineRule="auto"/>
        <w:jc w:val="both"/>
      </w:pPr>
      <w:r>
        <w:rPr>
          <w:rFonts w:ascii="Times New Roman" w:hAnsi="Times New Roman" w:eastAsia="Times New Roman" w:cs="Times New Roman"/>
          <w:sz w:val="24"/>
          <w:szCs w:val="24"/>
        </w:rPr>
        <w:t>Prioritisation follows Lecture 4 and Rasiel and Friga's (2001) hypothesis-led work-planning approach: test the decision-quality mechanism first because it is closest to the observed information gap and determines whether an embedded-information solution is worth designing (University of Auckland, 2026a, slides 65–70). Analyses requiring inaccessible internal Spark data are specified transparently as proposed client work, not presented as completed evidence (Table 2).</w:t>
      </w:r>
    </w:p>
    <w:p w14:paraId="522BA65E">
      <w:pPr>
        <w:spacing w:line="360" w:lineRule="auto"/>
        <w:sectPr>
          <w:footerReference r:id="rId5" w:type="default"/>
          <w:pgSz w:w="11906" w:h="16838"/>
          <w:pgMar w:top="1080" w:right="1200" w:bottom="1080" w:left="1200" w:header="708" w:footer="708" w:gutter="0"/>
          <w:cols w:space="720" w:num="1"/>
          <w:docGrid w:linePitch="360" w:charSpace="0"/>
        </w:sectPr>
      </w:pPr>
    </w:p>
    <w:p w14:paraId="3871A60D">
      <w:pPr>
        <w:keepNext/>
        <w:spacing w:before="120" w:after="200" w:line="240" w:lineRule="auto"/>
        <w:jc w:val="center"/>
      </w:pPr>
      <w:r>
        <w:rPr>
          <w:rFonts w:ascii="Times New Roman" w:hAnsi="Times New Roman" w:eastAsia="Times New Roman" w:cs="Times New Roman"/>
          <w:b/>
          <w:bCs/>
          <w:sz w:val="22"/>
          <w:szCs w:val="22"/>
        </w:rPr>
        <w:t>Table 2. Analysis Work Plan (Lecture 4, slides 65–70).</w:t>
      </w:r>
    </w:p>
    <w:tbl>
      <w:tblPr>
        <w:tblStyle w:val="11"/>
        <w:tblW w:w="14337" w:type="dxa"/>
        <w:jc w:val="center"/>
        <w:tblBorders>
          <w:top w:val="single" w:color="AAB4BF" w:sz="6" w:space="0"/>
          <w:left w:val="single" w:color="AAB4BF" w:sz="6" w:space="0"/>
          <w:bottom w:val="single" w:color="AAB4BF" w:sz="6" w:space="0"/>
          <w:right w:val="single" w:color="AAB4BF" w:sz="6" w:space="0"/>
          <w:insideH w:val="single" w:color="AAB4BF" w:sz="6" w:space="0"/>
          <w:insideV w:val="single" w:color="AAB4BF" w:sz="6" w:space="0"/>
        </w:tblBorders>
        <w:tblLayout w:type="fixed"/>
        <w:tblCellMar>
          <w:top w:w="0" w:type="dxa"/>
          <w:left w:w="10" w:type="dxa"/>
          <w:bottom w:w="0" w:type="dxa"/>
          <w:right w:w="10" w:type="dxa"/>
        </w:tblCellMar>
      </w:tblPr>
      <w:tblGrid>
        <w:gridCol w:w="1228"/>
        <w:gridCol w:w="3740"/>
        <w:gridCol w:w="2295"/>
        <w:gridCol w:w="1896"/>
        <w:gridCol w:w="1814"/>
        <w:gridCol w:w="1476"/>
        <w:gridCol w:w="1888"/>
      </w:tblGrid>
      <w:tr w14:paraId="135D958D">
        <w:trPr>
          <w:cantSplit/>
          <w:trHeight w:val="673" w:hRule="atLeast"/>
          <w:tblHeader/>
          <w:jc w:val="center"/>
        </w:trPr>
        <w:tc>
          <w:tcPr>
            <w:tcW w:w="1224" w:type="dxa"/>
            <w:shd w:val="clear" w:color="auto" w:fill="17365D"/>
            <w:tcMar>
              <w:top w:w="20" w:type="dxa"/>
              <w:left w:w="55" w:type="dxa"/>
              <w:bottom w:w="20" w:type="dxa"/>
              <w:right w:w="55" w:type="dxa"/>
            </w:tcMar>
            <w:vAlign w:val="center"/>
          </w:tcPr>
          <w:p w14:paraId="29CFC4AB">
            <w:pPr>
              <w:spacing w:before="0" w:after="0" w:line="240" w:lineRule="auto"/>
              <w:jc w:val="center"/>
            </w:pPr>
            <w:r>
              <w:rPr>
                <w:rFonts w:ascii="Times New Roman" w:hAnsi="Times New Roman" w:eastAsia="Times New Roman" w:cs="Times New Roman"/>
                <w:b/>
                <w:bCs/>
                <w:color w:val="FFFFFF"/>
                <w:sz w:val="20"/>
                <w:szCs w:val="20"/>
              </w:rPr>
              <w:t>Priority / hypothesis</w:t>
            </w:r>
          </w:p>
        </w:tc>
        <w:tc>
          <w:tcPr>
            <w:tcW w:w="3744" w:type="dxa"/>
            <w:shd w:val="clear" w:color="auto" w:fill="17365D"/>
            <w:tcMar>
              <w:top w:w="20" w:type="dxa"/>
              <w:left w:w="55" w:type="dxa"/>
              <w:bottom w:w="20" w:type="dxa"/>
              <w:right w:w="55" w:type="dxa"/>
            </w:tcMar>
            <w:vAlign w:val="center"/>
          </w:tcPr>
          <w:p w14:paraId="0DE40781">
            <w:pPr>
              <w:spacing w:before="0" w:after="0" w:line="240" w:lineRule="auto"/>
              <w:jc w:val="center"/>
            </w:pPr>
            <w:r>
              <w:rPr>
                <w:rFonts w:ascii="Times New Roman" w:hAnsi="Times New Roman" w:eastAsia="Times New Roman" w:cs="Times New Roman"/>
                <w:b/>
                <w:bCs/>
                <w:color w:val="FFFFFF"/>
                <w:sz w:val="20"/>
                <w:szCs w:val="20"/>
              </w:rPr>
              <w:t>Analysis and testing method</w:t>
            </w:r>
          </w:p>
        </w:tc>
        <w:tc>
          <w:tcPr>
            <w:tcW w:w="2289" w:type="dxa"/>
            <w:shd w:val="clear" w:color="auto" w:fill="17365D"/>
            <w:tcMar>
              <w:top w:w="20" w:type="dxa"/>
              <w:left w:w="55" w:type="dxa"/>
              <w:bottom w:w="20" w:type="dxa"/>
              <w:right w:w="55" w:type="dxa"/>
            </w:tcMar>
            <w:vAlign w:val="center"/>
          </w:tcPr>
          <w:p w14:paraId="25130D28">
            <w:pPr>
              <w:spacing w:before="0" w:after="0" w:line="240" w:lineRule="auto"/>
              <w:jc w:val="center"/>
            </w:pPr>
            <w:r>
              <w:rPr>
                <w:rFonts w:ascii="Times New Roman" w:hAnsi="Times New Roman" w:eastAsia="Times New Roman" w:cs="Times New Roman"/>
                <w:b/>
                <w:bCs/>
                <w:color w:val="FFFFFF"/>
                <w:sz w:val="20"/>
                <w:szCs w:val="20"/>
              </w:rPr>
              <w:t>Data needed</w:t>
            </w:r>
          </w:p>
        </w:tc>
        <w:tc>
          <w:tcPr>
            <w:tcW w:w="1900" w:type="dxa"/>
            <w:shd w:val="clear" w:color="auto" w:fill="17365D"/>
            <w:tcMar>
              <w:top w:w="20" w:type="dxa"/>
              <w:left w:w="55" w:type="dxa"/>
              <w:bottom w:w="20" w:type="dxa"/>
              <w:right w:w="55" w:type="dxa"/>
            </w:tcMar>
            <w:vAlign w:val="center"/>
          </w:tcPr>
          <w:p w14:paraId="3ABD86FC">
            <w:pPr>
              <w:spacing w:before="0" w:after="0" w:line="240" w:lineRule="auto"/>
              <w:jc w:val="center"/>
            </w:pPr>
            <w:r>
              <w:rPr>
                <w:rFonts w:ascii="Times New Roman" w:hAnsi="Times New Roman" w:eastAsia="Times New Roman" w:cs="Times New Roman"/>
                <w:b/>
                <w:bCs/>
                <w:color w:val="FFFFFF"/>
                <w:sz w:val="20"/>
                <w:szCs w:val="20"/>
              </w:rPr>
              <w:t>Likely source</w:t>
            </w:r>
          </w:p>
        </w:tc>
        <w:tc>
          <w:tcPr>
            <w:tcW w:w="1814" w:type="dxa"/>
            <w:shd w:val="clear" w:color="auto" w:fill="17365D"/>
            <w:tcMar>
              <w:top w:w="20" w:type="dxa"/>
              <w:left w:w="55" w:type="dxa"/>
              <w:bottom w:w="20" w:type="dxa"/>
              <w:right w:w="55" w:type="dxa"/>
            </w:tcMar>
            <w:vAlign w:val="center"/>
          </w:tcPr>
          <w:p w14:paraId="00E4AE21">
            <w:pPr>
              <w:spacing w:before="0" w:after="0" w:line="240" w:lineRule="auto"/>
              <w:jc w:val="center"/>
            </w:pPr>
            <w:r>
              <w:rPr>
                <w:rFonts w:ascii="Times New Roman" w:hAnsi="Times New Roman" w:eastAsia="Times New Roman" w:cs="Times New Roman"/>
                <w:b/>
                <w:bCs/>
                <w:color w:val="FFFFFF"/>
                <w:sz w:val="20"/>
                <w:szCs w:val="20"/>
              </w:rPr>
              <w:t>End product</w:t>
            </w:r>
          </w:p>
        </w:tc>
        <w:tc>
          <w:tcPr>
            <w:tcW w:w="1468" w:type="dxa"/>
            <w:shd w:val="clear" w:color="auto" w:fill="17365D"/>
            <w:tcMar>
              <w:top w:w="20" w:type="dxa"/>
              <w:left w:w="55" w:type="dxa"/>
              <w:bottom w:w="20" w:type="dxa"/>
              <w:right w:w="55" w:type="dxa"/>
            </w:tcMar>
            <w:vAlign w:val="center"/>
          </w:tcPr>
          <w:p w14:paraId="39029329">
            <w:pPr>
              <w:spacing w:before="0" w:after="0" w:line="240" w:lineRule="auto"/>
              <w:jc w:val="center"/>
            </w:pPr>
            <w:r>
              <w:rPr>
                <w:rFonts w:ascii="Times New Roman" w:hAnsi="Times New Roman" w:eastAsia="Times New Roman" w:cs="Times New Roman"/>
                <w:b/>
                <w:bCs/>
                <w:color w:val="FFFFFF"/>
                <w:sz w:val="20"/>
                <w:szCs w:val="20"/>
              </w:rPr>
              <w:t>Responsibility</w:t>
            </w:r>
          </w:p>
        </w:tc>
        <w:tc>
          <w:tcPr>
            <w:tcW w:w="1886" w:type="dxa"/>
            <w:shd w:val="clear" w:color="auto" w:fill="17365D"/>
            <w:tcMar>
              <w:top w:w="20" w:type="dxa"/>
              <w:left w:w="55" w:type="dxa"/>
              <w:bottom w:w="20" w:type="dxa"/>
              <w:right w:w="55" w:type="dxa"/>
            </w:tcMar>
            <w:vAlign w:val="center"/>
          </w:tcPr>
          <w:p w14:paraId="552AE2BE">
            <w:pPr>
              <w:spacing w:before="0" w:after="0" w:line="240" w:lineRule="auto"/>
              <w:jc w:val="center"/>
            </w:pPr>
            <w:r>
              <w:rPr>
                <w:rFonts w:ascii="Times New Roman" w:hAnsi="Times New Roman" w:eastAsia="Times New Roman" w:cs="Times New Roman"/>
                <w:b/>
                <w:bCs/>
                <w:color w:val="FFFFFF"/>
                <w:sz w:val="20"/>
                <w:szCs w:val="20"/>
              </w:rPr>
              <w:t>Due date</w:t>
            </w:r>
          </w:p>
        </w:tc>
      </w:tr>
      <w:tr w14:paraId="49BC9361">
        <w:trPr>
          <w:cantSplit/>
          <w:trHeight w:val="2352" w:hRule="atLeast"/>
          <w:jc w:val="center"/>
        </w:trPr>
        <w:tc>
          <w:tcPr>
            <w:tcW w:w="1224" w:type="dxa"/>
            <w:tcMar>
              <w:top w:w="20" w:type="dxa"/>
              <w:left w:w="55" w:type="dxa"/>
              <w:bottom w:w="20" w:type="dxa"/>
              <w:right w:w="55" w:type="dxa"/>
            </w:tcMar>
            <w:vAlign w:val="center"/>
          </w:tcPr>
          <w:p w14:paraId="48BC007C">
            <w:pPr>
              <w:spacing w:before="0" w:after="0" w:line="240" w:lineRule="auto"/>
              <w:jc w:val="center"/>
            </w:pPr>
            <w:r>
              <w:rPr>
                <w:rFonts w:ascii="Times New Roman" w:hAnsi="Times New Roman" w:eastAsia="Times New Roman" w:cs="Times New Roman"/>
                <w:b w:val="0"/>
                <w:bCs w:val="0"/>
                <w:sz w:val="20"/>
                <w:szCs w:val="20"/>
              </w:rPr>
              <w:t>P1 — H2 decision difficulty</w:t>
            </w:r>
          </w:p>
        </w:tc>
        <w:tc>
          <w:tcPr>
            <w:tcW w:w="3744" w:type="dxa"/>
            <w:tcMar>
              <w:top w:w="20" w:type="dxa"/>
              <w:left w:w="55" w:type="dxa"/>
              <w:bottom w:w="20" w:type="dxa"/>
              <w:right w:w="55" w:type="dxa"/>
            </w:tcMar>
            <w:vAlign w:val="center"/>
          </w:tcPr>
          <w:p w14:paraId="6820C10E">
            <w:pPr>
              <w:spacing w:before="0" w:after="0" w:line="240" w:lineRule="auto"/>
              <w:jc w:val="center"/>
            </w:pPr>
            <w:r>
              <w:rPr>
                <w:rFonts w:ascii="Times New Roman" w:hAnsi="Times New Roman" w:eastAsia="Times New Roman" w:cs="Times New Roman"/>
                <w:b w:val="0"/>
                <w:bCs w:val="0"/>
                <w:sz w:val="20"/>
                <w:szCs w:val="20"/>
              </w:rPr>
              <w:t>Public-evidence review; two matched semi-structured interviews; deductive and inductive thematic coding; convergence and rival-explanation test. Future client validation: randomised link-only versus embedded-history/recommendation test.</w:t>
            </w:r>
          </w:p>
        </w:tc>
        <w:tc>
          <w:tcPr>
            <w:tcW w:w="2289" w:type="dxa"/>
            <w:tcMar>
              <w:top w:w="20" w:type="dxa"/>
              <w:left w:w="55" w:type="dxa"/>
              <w:bottom w:w="20" w:type="dxa"/>
              <w:right w:w="55" w:type="dxa"/>
            </w:tcMar>
            <w:vAlign w:val="center"/>
          </w:tcPr>
          <w:p w14:paraId="3E1DC1A7">
            <w:pPr>
              <w:spacing w:before="0" w:after="0" w:line="240" w:lineRule="auto"/>
              <w:jc w:val="center"/>
            </w:pPr>
            <w:r>
              <w:rPr>
                <w:rFonts w:ascii="Times New Roman" w:hAnsi="Times New Roman" w:eastAsia="Times New Roman" w:cs="Times New Roman"/>
                <w:b w:val="0"/>
                <w:bCs w:val="0"/>
                <w:sz w:val="20"/>
                <w:szCs w:val="20"/>
              </w:rPr>
              <w:t>Reported journey design; interview responses on information needs, effort, confidence, trust, and feasibility. Future: variant assignment, journey events, choice outcome.</w:t>
            </w:r>
          </w:p>
        </w:tc>
        <w:tc>
          <w:tcPr>
            <w:tcW w:w="1900" w:type="dxa"/>
            <w:tcMar>
              <w:top w:w="20" w:type="dxa"/>
              <w:left w:w="55" w:type="dxa"/>
              <w:bottom w:w="20" w:type="dxa"/>
              <w:right w:w="55" w:type="dxa"/>
            </w:tcMar>
            <w:vAlign w:val="center"/>
          </w:tcPr>
          <w:p w14:paraId="22F49390">
            <w:pPr>
              <w:spacing w:before="0" w:after="0" w:line="240" w:lineRule="auto"/>
              <w:jc w:val="center"/>
            </w:pPr>
            <w:r>
              <w:rPr>
                <w:rFonts w:ascii="Times New Roman" w:hAnsi="Times New Roman" w:eastAsia="Times New Roman" w:cs="Times New Roman"/>
                <w:b w:val="0"/>
                <w:bCs w:val="0"/>
                <w:sz w:val="20"/>
                <w:szCs w:val="20"/>
              </w:rPr>
              <w:t>Commerce Commission and Spark public material; Xuan Zeng; GenAI interview. Future client data explicitly marked unavailable.</w:t>
            </w:r>
          </w:p>
        </w:tc>
        <w:tc>
          <w:tcPr>
            <w:tcW w:w="1814" w:type="dxa"/>
            <w:tcMar>
              <w:top w:w="20" w:type="dxa"/>
              <w:left w:w="55" w:type="dxa"/>
              <w:bottom w:w="20" w:type="dxa"/>
              <w:right w:w="55" w:type="dxa"/>
            </w:tcMar>
            <w:vAlign w:val="center"/>
          </w:tcPr>
          <w:p w14:paraId="20ED3EB1">
            <w:pPr>
              <w:spacing w:before="0" w:after="0" w:line="240" w:lineRule="auto"/>
              <w:jc w:val="center"/>
            </w:pPr>
            <w:r>
              <w:rPr>
                <w:rFonts w:ascii="Times New Roman" w:hAnsi="Times New Roman" w:eastAsia="Times New Roman" w:cs="Times New Roman"/>
                <w:b w:val="0"/>
                <w:bCs w:val="0"/>
                <w:sz w:val="20"/>
                <w:szCs w:val="20"/>
              </w:rPr>
              <w:t>Evidence matrix; coded themes; proven/disproven workflow decision; refined H2; experiment specification.</w:t>
            </w:r>
          </w:p>
        </w:tc>
        <w:tc>
          <w:tcPr>
            <w:tcW w:w="1468" w:type="dxa"/>
            <w:tcMar>
              <w:top w:w="20" w:type="dxa"/>
              <w:left w:w="55" w:type="dxa"/>
              <w:bottom w:w="20" w:type="dxa"/>
              <w:right w:w="55" w:type="dxa"/>
            </w:tcMar>
            <w:vAlign w:val="center"/>
          </w:tcPr>
          <w:p w14:paraId="2CAE0D9F">
            <w:pPr>
              <w:spacing w:before="0" w:after="0" w:line="240" w:lineRule="auto"/>
              <w:jc w:val="center"/>
            </w:pPr>
            <w:r>
              <w:rPr>
                <w:rFonts w:ascii="Times New Roman" w:hAnsi="Times New Roman" w:eastAsia="Times New Roman" w:cs="Times New Roman"/>
                <w:b w:val="0"/>
                <w:bCs w:val="0"/>
                <w:sz w:val="20"/>
                <w:szCs w:val="20"/>
              </w:rPr>
              <w:t>Rae Huang</w:t>
            </w:r>
          </w:p>
        </w:tc>
        <w:tc>
          <w:tcPr>
            <w:tcW w:w="1886" w:type="dxa"/>
            <w:tcMar>
              <w:top w:w="20" w:type="dxa"/>
              <w:left w:w="55" w:type="dxa"/>
              <w:bottom w:w="20" w:type="dxa"/>
              <w:right w:w="55" w:type="dxa"/>
            </w:tcMar>
            <w:vAlign w:val="center"/>
          </w:tcPr>
          <w:p w14:paraId="147152C3">
            <w:pPr>
              <w:spacing w:before="0" w:after="0" w:line="240" w:lineRule="auto"/>
              <w:jc w:val="center"/>
            </w:pPr>
            <w:r>
              <w:rPr>
                <w:rFonts w:ascii="Times New Roman" w:hAnsi="Times New Roman" w:eastAsia="Times New Roman" w:cs="Times New Roman"/>
                <w:b w:val="0"/>
                <w:bCs w:val="0"/>
                <w:sz w:val="20"/>
                <w:szCs w:val="20"/>
              </w:rPr>
              <w:t>Guide: 18 Aug; Xuan: 24 Aug; GenAI and synthesis: 26 Aug 2026. Future experiment not conducted.</w:t>
            </w:r>
          </w:p>
        </w:tc>
      </w:tr>
      <w:tr w14:paraId="103F6FEC">
        <w:trPr>
          <w:cantSplit/>
          <w:trHeight w:val="1465" w:hRule="atLeast"/>
          <w:jc w:val="center"/>
        </w:trPr>
        <w:tc>
          <w:tcPr>
            <w:tcW w:w="1224" w:type="dxa"/>
            <w:shd w:val="clear" w:color="auto" w:fill="EAF2F8"/>
            <w:tcMar>
              <w:top w:w="20" w:type="dxa"/>
              <w:left w:w="55" w:type="dxa"/>
              <w:bottom w:w="20" w:type="dxa"/>
              <w:right w:w="55" w:type="dxa"/>
            </w:tcMar>
            <w:vAlign w:val="center"/>
          </w:tcPr>
          <w:p w14:paraId="04F3015C">
            <w:pPr>
              <w:spacing w:before="0" w:after="0" w:line="240" w:lineRule="auto"/>
              <w:jc w:val="center"/>
            </w:pPr>
            <w:r>
              <w:rPr>
                <w:rFonts w:ascii="Times New Roman" w:hAnsi="Times New Roman" w:eastAsia="Times New Roman" w:cs="Times New Roman"/>
                <w:b w:val="0"/>
                <w:bCs w:val="0"/>
                <w:sz w:val="20"/>
                <w:szCs w:val="20"/>
              </w:rPr>
              <w:t>P2 — H3 action leakage</w:t>
            </w:r>
          </w:p>
        </w:tc>
        <w:tc>
          <w:tcPr>
            <w:tcW w:w="3744" w:type="dxa"/>
            <w:shd w:val="clear" w:color="auto" w:fill="EAF2F8"/>
            <w:tcMar>
              <w:top w:w="20" w:type="dxa"/>
              <w:left w:w="55" w:type="dxa"/>
              <w:bottom w:w="20" w:type="dxa"/>
              <w:right w:w="55" w:type="dxa"/>
            </w:tcMar>
            <w:vAlign w:val="center"/>
          </w:tcPr>
          <w:p w14:paraId="0B2481B6">
            <w:pPr>
              <w:spacing w:before="0" w:after="0" w:line="240" w:lineRule="auto"/>
              <w:jc w:val="center"/>
            </w:pPr>
            <w:r>
              <w:rPr>
                <w:rFonts w:ascii="Times New Roman" w:hAnsi="Times New Roman" w:eastAsia="Times New Roman" w:cs="Times New Roman"/>
                <w:b w:val="0"/>
                <w:bCs w:val="0"/>
                <w:sz w:val="20"/>
                <w:szCs w:val="20"/>
              </w:rPr>
              <w:t>Map customer steps and failure points; compare abandonment and care demand by journey variant and segment.</w:t>
            </w:r>
          </w:p>
        </w:tc>
        <w:tc>
          <w:tcPr>
            <w:tcW w:w="2289" w:type="dxa"/>
            <w:shd w:val="clear" w:color="auto" w:fill="EAF2F8"/>
            <w:tcMar>
              <w:top w:w="20" w:type="dxa"/>
              <w:left w:w="55" w:type="dxa"/>
              <w:bottom w:w="20" w:type="dxa"/>
              <w:right w:w="55" w:type="dxa"/>
            </w:tcMar>
            <w:vAlign w:val="center"/>
          </w:tcPr>
          <w:p w14:paraId="74D06A89">
            <w:pPr>
              <w:spacing w:before="0" w:after="0" w:line="240" w:lineRule="auto"/>
              <w:jc w:val="center"/>
            </w:pPr>
            <w:r>
              <w:rPr>
                <w:rFonts w:ascii="Times New Roman" w:hAnsi="Times New Roman" w:eastAsia="Times New Roman" w:cs="Times New Roman"/>
                <w:b w:val="0"/>
                <w:bCs w:val="0"/>
                <w:sz w:val="20"/>
                <w:szCs w:val="20"/>
              </w:rPr>
              <w:t>Page/event sequence, exits, elapsed time, care contact, final action, channel, segment.</w:t>
            </w:r>
          </w:p>
        </w:tc>
        <w:tc>
          <w:tcPr>
            <w:tcW w:w="1900" w:type="dxa"/>
            <w:shd w:val="clear" w:color="auto" w:fill="EAF2F8"/>
            <w:tcMar>
              <w:top w:w="20" w:type="dxa"/>
              <w:left w:w="55" w:type="dxa"/>
              <w:bottom w:w="20" w:type="dxa"/>
              <w:right w:w="55" w:type="dxa"/>
            </w:tcMar>
            <w:vAlign w:val="center"/>
          </w:tcPr>
          <w:p w14:paraId="125DE3BF">
            <w:pPr>
              <w:spacing w:before="0" w:after="0" w:line="240" w:lineRule="auto"/>
              <w:jc w:val="center"/>
            </w:pPr>
            <w:r>
              <w:rPr>
                <w:rFonts w:ascii="Times New Roman" w:hAnsi="Times New Roman" w:eastAsia="Times New Roman" w:cs="Times New Roman"/>
                <w:b w:val="0"/>
                <w:bCs w:val="0"/>
                <w:sz w:val="20"/>
                <w:szCs w:val="20"/>
              </w:rPr>
              <w:t>Proposed Spark event and CRM extracts; not available in this assignment.</w:t>
            </w:r>
          </w:p>
        </w:tc>
        <w:tc>
          <w:tcPr>
            <w:tcW w:w="1814" w:type="dxa"/>
            <w:shd w:val="clear" w:color="auto" w:fill="EAF2F8"/>
            <w:tcMar>
              <w:top w:w="20" w:type="dxa"/>
              <w:left w:w="55" w:type="dxa"/>
              <w:bottom w:w="20" w:type="dxa"/>
              <w:right w:w="55" w:type="dxa"/>
            </w:tcMar>
            <w:vAlign w:val="center"/>
          </w:tcPr>
          <w:p w14:paraId="61FF1551">
            <w:pPr>
              <w:spacing w:before="0" w:after="0" w:line="240" w:lineRule="auto"/>
              <w:jc w:val="center"/>
            </w:pPr>
            <w:r>
              <w:rPr>
                <w:rFonts w:ascii="Times New Roman" w:hAnsi="Times New Roman" w:eastAsia="Times New Roman" w:cs="Times New Roman"/>
                <w:b w:val="0"/>
                <w:bCs w:val="0"/>
                <w:sz w:val="20"/>
                <w:szCs w:val="20"/>
              </w:rPr>
              <w:t>Funnel visual; abandonment hotspot table; test specification.</w:t>
            </w:r>
          </w:p>
        </w:tc>
        <w:tc>
          <w:tcPr>
            <w:tcW w:w="1468" w:type="dxa"/>
            <w:shd w:val="clear" w:color="auto" w:fill="EAF2F8"/>
            <w:tcMar>
              <w:top w:w="20" w:type="dxa"/>
              <w:left w:w="55" w:type="dxa"/>
              <w:bottom w:w="20" w:type="dxa"/>
              <w:right w:w="55" w:type="dxa"/>
            </w:tcMar>
            <w:vAlign w:val="center"/>
          </w:tcPr>
          <w:p w14:paraId="009C635F">
            <w:pPr>
              <w:spacing w:before="0" w:after="0" w:line="240" w:lineRule="auto"/>
              <w:jc w:val="center"/>
            </w:pPr>
            <w:r>
              <w:rPr>
                <w:rFonts w:ascii="Times New Roman" w:hAnsi="Times New Roman" w:eastAsia="Times New Roman" w:cs="Times New Roman"/>
                <w:b w:val="0"/>
                <w:bCs w:val="0"/>
                <w:sz w:val="20"/>
                <w:szCs w:val="20"/>
              </w:rPr>
              <w:t>Proposed client-side analysis</w:t>
            </w:r>
          </w:p>
        </w:tc>
        <w:tc>
          <w:tcPr>
            <w:tcW w:w="1886" w:type="dxa"/>
            <w:shd w:val="clear" w:color="auto" w:fill="EAF2F8"/>
            <w:tcMar>
              <w:top w:w="20" w:type="dxa"/>
              <w:left w:w="55" w:type="dxa"/>
              <w:bottom w:w="20" w:type="dxa"/>
              <w:right w:w="55" w:type="dxa"/>
            </w:tcMar>
            <w:vAlign w:val="center"/>
          </w:tcPr>
          <w:p w14:paraId="1A181655">
            <w:pPr>
              <w:spacing w:before="0" w:after="0" w:line="240" w:lineRule="auto"/>
              <w:jc w:val="center"/>
            </w:pPr>
            <w:r>
              <w:rPr>
                <w:rFonts w:ascii="Times New Roman" w:hAnsi="Times New Roman" w:eastAsia="Times New Roman" w:cs="Times New Roman"/>
                <w:b w:val="0"/>
                <w:bCs w:val="0"/>
                <w:sz w:val="20"/>
                <w:szCs w:val="20"/>
              </w:rPr>
              <w:t>Not conducted — requires Spark client data.</w:t>
            </w:r>
          </w:p>
        </w:tc>
      </w:tr>
      <w:tr w14:paraId="429C37E7">
        <w:trPr>
          <w:cantSplit/>
          <w:trHeight w:val="1359" w:hRule="atLeast"/>
          <w:jc w:val="center"/>
        </w:trPr>
        <w:tc>
          <w:tcPr>
            <w:tcW w:w="1224" w:type="dxa"/>
            <w:tcMar>
              <w:top w:w="20" w:type="dxa"/>
              <w:left w:w="55" w:type="dxa"/>
              <w:bottom w:w="20" w:type="dxa"/>
              <w:right w:w="55" w:type="dxa"/>
            </w:tcMar>
            <w:vAlign w:val="center"/>
          </w:tcPr>
          <w:p w14:paraId="121212DF">
            <w:pPr>
              <w:spacing w:before="0" w:after="0" w:line="240" w:lineRule="auto"/>
              <w:jc w:val="center"/>
            </w:pPr>
            <w:r>
              <w:rPr>
                <w:rFonts w:ascii="Times New Roman" w:hAnsi="Times New Roman" w:eastAsia="Times New Roman" w:cs="Times New Roman"/>
                <w:b w:val="0"/>
                <w:bCs w:val="0"/>
                <w:sz w:val="20"/>
                <w:szCs w:val="20"/>
              </w:rPr>
              <w:t>P3 — H1 reach</w:t>
            </w:r>
          </w:p>
        </w:tc>
        <w:tc>
          <w:tcPr>
            <w:tcW w:w="3744" w:type="dxa"/>
            <w:tcMar>
              <w:top w:w="20" w:type="dxa"/>
              <w:left w:w="55" w:type="dxa"/>
              <w:bottom w:w="20" w:type="dxa"/>
              <w:right w:w="55" w:type="dxa"/>
            </w:tcMar>
            <w:vAlign w:val="center"/>
          </w:tcPr>
          <w:p w14:paraId="7918A025">
            <w:pPr>
              <w:spacing w:before="0" w:after="0" w:line="240" w:lineRule="auto"/>
              <w:jc w:val="center"/>
            </w:pPr>
            <w:r>
              <w:rPr>
                <w:rFonts w:ascii="Times New Roman" w:hAnsi="Times New Roman" w:eastAsia="Times New Roman" w:cs="Times New Roman"/>
                <w:b w:val="0"/>
                <w:bCs w:val="0"/>
                <w:sz w:val="20"/>
                <w:szCs w:val="20"/>
              </w:rPr>
              <w:t>Compare delivery, open, entry, and completion across reminder variants and segments.</w:t>
            </w:r>
          </w:p>
        </w:tc>
        <w:tc>
          <w:tcPr>
            <w:tcW w:w="2289" w:type="dxa"/>
            <w:tcMar>
              <w:top w:w="20" w:type="dxa"/>
              <w:left w:w="55" w:type="dxa"/>
              <w:bottom w:w="20" w:type="dxa"/>
              <w:right w:w="55" w:type="dxa"/>
            </w:tcMar>
            <w:vAlign w:val="center"/>
          </w:tcPr>
          <w:p w14:paraId="28460BF3">
            <w:pPr>
              <w:spacing w:before="0" w:after="0" w:line="240" w:lineRule="auto"/>
              <w:jc w:val="center"/>
            </w:pPr>
            <w:r>
              <w:rPr>
                <w:rFonts w:ascii="Times New Roman" w:hAnsi="Times New Roman" w:eastAsia="Times New Roman" w:cs="Times New Roman"/>
                <w:b w:val="0"/>
                <w:bCs w:val="0"/>
                <w:sz w:val="20"/>
                <w:szCs w:val="20"/>
              </w:rPr>
              <w:t>Eligibility, delivery/open timestamps, reminder variant, entry/completion, segment.</w:t>
            </w:r>
          </w:p>
        </w:tc>
        <w:tc>
          <w:tcPr>
            <w:tcW w:w="1900" w:type="dxa"/>
            <w:tcMar>
              <w:top w:w="20" w:type="dxa"/>
              <w:left w:w="55" w:type="dxa"/>
              <w:bottom w:w="20" w:type="dxa"/>
              <w:right w:w="55" w:type="dxa"/>
            </w:tcMar>
            <w:vAlign w:val="center"/>
          </w:tcPr>
          <w:p w14:paraId="55A6147C">
            <w:pPr>
              <w:spacing w:before="0" w:after="0" w:line="240" w:lineRule="auto"/>
              <w:jc w:val="center"/>
            </w:pPr>
            <w:r>
              <w:rPr>
                <w:rFonts w:ascii="Times New Roman" w:hAnsi="Times New Roman" w:eastAsia="Times New Roman" w:cs="Times New Roman"/>
                <w:b w:val="0"/>
                <w:bCs w:val="0"/>
                <w:sz w:val="20"/>
                <w:szCs w:val="20"/>
              </w:rPr>
              <w:t>Proposed campaign and event logs; not available in this assignment.</w:t>
            </w:r>
          </w:p>
        </w:tc>
        <w:tc>
          <w:tcPr>
            <w:tcW w:w="1814" w:type="dxa"/>
            <w:tcMar>
              <w:top w:w="20" w:type="dxa"/>
              <w:left w:w="55" w:type="dxa"/>
              <w:bottom w:w="20" w:type="dxa"/>
              <w:right w:w="55" w:type="dxa"/>
            </w:tcMar>
            <w:vAlign w:val="center"/>
          </w:tcPr>
          <w:p w14:paraId="21BDF9F9">
            <w:pPr>
              <w:spacing w:before="0" w:after="0" w:line="240" w:lineRule="auto"/>
              <w:jc w:val="center"/>
            </w:pPr>
            <w:r>
              <w:rPr>
                <w:rFonts w:ascii="Times New Roman" w:hAnsi="Times New Roman" w:eastAsia="Times New Roman" w:cs="Times New Roman"/>
                <w:b w:val="0"/>
                <w:bCs w:val="0"/>
                <w:sz w:val="20"/>
                <w:szCs w:val="20"/>
              </w:rPr>
              <w:t>Segment funnel; controlled-test design.</w:t>
            </w:r>
          </w:p>
        </w:tc>
        <w:tc>
          <w:tcPr>
            <w:tcW w:w="1468" w:type="dxa"/>
            <w:tcMar>
              <w:top w:w="20" w:type="dxa"/>
              <w:left w:w="55" w:type="dxa"/>
              <w:bottom w:w="20" w:type="dxa"/>
              <w:right w:w="55" w:type="dxa"/>
            </w:tcMar>
            <w:vAlign w:val="center"/>
          </w:tcPr>
          <w:p w14:paraId="4C28D39B">
            <w:pPr>
              <w:spacing w:before="0" w:after="0" w:line="240" w:lineRule="auto"/>
              <w:jc w:val="center"/>
            </w:pPr>
            <w:r>
              <w:rPr>
                <w:rFonts w:ascii="Times New Roman" w:hAnsi="Times New Roman" w:eastAsia="Times New Roman" w:cs="Times New Roman"/>
                <w:b w:val="0"/>
                <w:bCs w:val="0"/>
                <w:sz w:val="20"/>
                <w:szCs w:val="20"/>
              </w:rPr>
              <w:t>Proposed client-side analysis</w:t>
            </w:r>
          </w:p>
        </w:tc>
        <w:tc>
          <w:tcPr>
            <w:tcW w:w="1886" w:type="dxa"/>
            <w:tcMar>
              <w:top w:w="20" w:type="dxa"/>
              <w:left w:w="55" w:type="dxa"/>
              <w:bottom w:w="20" w:type="dxa"/>
              <w:right w:w="55" w:type="dxa"/>
            </w:tcMar>
            <w:vAlign w:val="center"/>
          </w:tcPr>
          <w:p w14:paraId="68AFF991">
            <w:pPr>
              <w:spacing w:before="0" w:after="0" w:line="240" w:lineRule="auto"/>
              <w:jc w:val="center"/>
            </w:pPr>
            <w:r>
              <w:rPr>
                <w:rFonts w:ascii="Times New Roman" w:hAnsi="Times New Roman" w:eastAsia="Times New Roman" w:cs="Times New Roman"/>
                <w:b w:val="0"/>
                <w:bCs w:val="0"/>
                <w:sz w:val="20"/>
                <w:szCs w:val="20"/>
              </w:rPr>
              <w:t>Not conducted — requires Spark client data.</w:t>
            </w:r>
          </w:p>
        </w:tc>
      </w:tr>
      <w:tr w14:paraId="0E4025B3">
        <w:trPr>
          <w:cantSplit/>
          <w:trHeight w:val="1285" w:hRule="atLeast"/>
          <w:jc w:val="center"/>
        </w:trPr>
        <w:tc>
          <w:tcPr>
            <w:tcW w:w="1224" w:type="dxa"/>
            <w:shd w:val="clear" w:color="auto" w:fill="EAF2F8"/>
            <w:tcMar>
              <w:top w:w="20" w:type="dxa"/>
              <w:left w:w="55" w:type="dxa"/>
              <w:bottom w:w="20" w:type="dxa"/>
              <w:right w:w="55" w:type="dxa"/>
            </w:tcMar>
            <w:vAlign w:val="center"/>
          </w:tcPr>
          <w:p w14:paraId="775936EA">
            <w:pPr>
              <w:spacing w:before="0" w:after="0" w:line="240" w:lineRule="auto"/>
              <w:jc w:val="center"/>
            </w:pPr>
            <w:r>
              <w:rPr>
                <w:rFonts w:ascii="Times New Roman" w:hAnsi="Times New Roman" w:eastAsia="Times New Roman" w:cs="Times New Roman"/>
                <w:b w:val="0"/>
                <w:bCs w:val="0"/>
                <w:sz w:val="20"/>
                <w:szCs w:val="20"/>
              </w:rPr>
              <w:t>P4 — H4 retained value</w:t>
            </w:r>
          </w:p>
        </w:tc>
        <w:tc>
          <w:tcPr>
            <w:tcW w:w="3744" w:type="dxa"/>
            <w:shd w:val="clear" w:color="auto" w:fill="EAF2F8"/>
            <w:tcMar>
              <w:top w:w="20" w:type="dxa"/>
              <w:left w:w="55" w:type="dxa"/>
              <w:bottom w:w="20" w:type="dxa"/>
              <w:right w:w="55" w:type="dxa"/>
            </w:tcMar>
            <w:vAlign w:val="center"/>
          </w:tcPr>
          <w:p w14:paraId="7D5508ED">
            <w:pPr>
              <w:spacing w:before="0" w:after="0" w:line="240" w:lineRule="auto"/>
              <w:jc w:val="center"/>
            </w:pPr>
            <w:r>
              <w:rPr>
                <w:rFonts w:ascii="Times New Roman" w:hAnsi="Times New Roman" w:eastAsia="Times New Roman" w:cs="Times New Roman"/>
                <w:b w:val="0"/>
                <w:bCs w:val="0"/>
                <w:sz w:val="20"/>
                <w:szCs w:val="20"/>
              </w:rPr>
              <w:t>Estimate incremental 90-day retained contribution margin less journey and contact cost; check ARPU and complaint guardrails.</w:t>
            </w:r>
          </w:p>
        </w:tc>
        <w:tc>
          <w:tcPr>
            <w:tcW w:w="2289" w:type="dxa"/>
            <w:shd w:val="clear" w:color="auto" w:fill="EAF2F8"/>
            <w:tcMar>
              <w:top w:w="20" w:type="dxa"/>
              <w:left w:w="55" w:type="dxa"/>
              <w:bottom w:w="20" w:type="dxa"/>
              <w:right w:w="55" w:type="dxa"/>
            </w:tcMar>
            <w:vAlign w:val="center"/>
          </w:tcPr>
          <w:p w14:paraId="6E30F5AE">
            <w:pPr>
              <w:spacing w:before="0" w:after="0" w:line="240" w:lineRule="auto"/>
              <w:jc w:val="center"/>
            </w:pPr>
            <w:r>
              <w:rPr>
                <w:rFonts w:ascii="Times New Roman" w:hAnsi="Times New Roman" w:eastAsia="Times New Roman" w:cs="Times New Roman"/>
                <w:b w:val="0"/>
                <w:bCs w:val="0"/>
                <w:sz w:val="20"/>
                <w:szCs w:val="20"/>
              </w:rPr>
              <w:t>Churn, margin/ARPU, plan, service cost, contact cost, complaints, treatment, covariates.</w:t>
            </w:r>
          </w:p>
        </w:tc>
        <w:tc>
          <w:tcPr>
            <w:tcW w:w="1900" w:type="dxa"/>
            <w:shd w:val="clear" w:color="auto" w:fill="EAF2F8"/>
            <w:tcMar>
              <w:top w:w="20" w:type="dxa"/>
              <w:left w:w="55" w:type="dxa"/>
              <w:bottom w:w="20" w:type="dxa"/>
              <w:right w:w="55" w:type="dxa"/>
            </w:tcMar>
            <w:vAlign w:val="center"/>
          </w:tcPr>
          <w:p w14:paraId="197A7B84">
            <w:pPr>
              <w:spacing w:before="0" w:after="0" w:line="240" w:lineRule="auto"/>
              <w:jc w:val="center"/>
            </w:pPr>
            <w:r>
              <w:rPr>
                <w:rFonts w:ascii="Times New Roman" w:hAnsi="Times New Roman" w:eastAsia="Times New Roman" w:cs="Times New Roman"/>
                <w:b w:val="0"/>
                <w:bCs w:val="0"/>
                <w:sz w:val="20"/>
                <w:szCs w:val="20"/>
              </w:rPr>
              <w:t>Proposed billing, CRM, finance, and complaints data; not available in this assignment.</w:t>
            </w:r>
          </w:p>
        </w:tc>
        <w:tc>
          <w:tcPr>
            <w:tcW w:w="1814" w:type="dxa"/>
            <w:shd w:val="clear" w:color="auto" w:fill="EAF2F8"/>
            <w:tcMar>
              <w:top w:w="20" w:type="dxa"/>
              <w:left w:w="55" w:type="dxa"/>
              <w:bottom w:w="20" w:type="dxa"/>
              <w:right w:w="55" w:type="dxa"/>
            </w:tcMar>
            <w:vAlign w:val="center"/>
          </w:tcPr>
          <w:p w14:paraId="3B3EDFC6">
            <w:pPr>
              <w:spacing w:before="0" w:after="0" w:line="240" w:lineRule="auto"/>
              <w:jc w:val="center"/>
            </w:pPr>
            <w:r>
              <w:rPr>
                <w:rFonts w:ascii="Times New Roman" w:hAnsi="Times New Roman" w:eastAsia="Times New Roman" w:cs="Times New Roman"/>
                <w:b w:val="0"/>
                <w:bCs w:val="0"/>
                <w:sz w:val="20"/>
                <w:szCs w:val="20"/>
              </w:rPr>
              <w:t>Value bridge; sensitivity table; rollout threshold.</w:t>
            </w:r>
          </w:p>
        </w:tc>
        <w:tc>
          <w:tcPr>
            <w:tcW w:w="1468" w:type="dxa"/>
            <w:shd w:val="clear" w:color="auto" w:fill="EAF2F8"/>
            <w:tcMar>
              <w:top w:w="20" w:type="dxa"/>
              <w:left w:w="55" w:type="dxa"/>
              <w:bottom w:w="20" w:type="dxa"/>
              <w:right w:w="55" w:type="dxa"/>
            </w:tcMar>
            <w:vAlign w:val="center"/>
          </w:tcPr>
          <w:p w14:paraId="18C11513">
            <w:pPr>
              <w:spacing w:before="0" w:after="0" w:line="240" w:lineRule="auto"/>
              <w:jc w:val="center"/>
            </w:pPr>
            <w:r>
              <w:rPr>
                <w:rFonts w:ascii="Times New Roman" w:hAnsi="Times New Roman" w:eastAsia="Times New Roman" w:cs="Times New Roman"/>
                <w:b w:val="0"/>
                <w:bCs w:val="0"/>
                <w:sz w:val="20"/>
                <w:szCs w:val="20"/>
              </w:rPr>
              <w:t>Proposed client-side analysis</w:t>
            </w:r>
          </w:p>
        </w:tc>
        <w:tc>
          <w:tcPr>
            <w:tcW w:w="1886" w:type="dxa"/>
            <w:shd w:val="clear" w:color="auto" w:fill="EAF2F8"/>
            <w:tcMar>
              <w:top w:w="20" w:type="dxa"/>
              <w:left w:w="55" w:type="dxa"/>
              <w:bottom w:w="20" w:type="dxa"/>
              <w:right w:w="55" w:type="dxa"/>
            </w:tcMar>
            <w:vAlign w:val="center"/>
          </w:tcPr>
          <w:p w14:paraId="0318714A">
            <w:pPr>
              <w:spacing w:before="0" w:after="0" w:line="240" w:lineRule="auto"/>
              <w:jc w:val="center"/>
            </w:pPr>
            <w:r>
              <w:rPr>
                <w:rFonts w:ascii="Times New Roman" w:hAnsi="Times New Roman" w:eastAsia="Times New Roman" w:cs="Times New Roman"/>
                <w:b w:val="0"/>
                <w:bCs w:val="0"/>
                <w:sz w:val="20"/>
                <w:szCs w:val="20"/>
              </w:rPr>
              <w:t>Not conducted — requires Spark client data.</w:t>
            </w:r>
          </w:p>
        </w:tc>
      </w:tr>
      <w:tr w14:paraId="43DF235B">
        <w:trPr>
          <w:cantSplit/>
          <w:trHeight w:val="1419" w:hRule="atLeast"/>
          <w:jc w:val="center"/>
        </w:trPr>
        <w:tc>
          <w:tcPr>
            <w:tcW w:w="1224" w:type="dxa"/>
            <w:tcMar>
              <w:top w:w="20" w:type="dxa"/>
              <w:left w:w="55" w:type="dxa"/>
              <w:bottom w:w="20" w:type="dxa"/>
              <w:right w:w="55" w:type="dxa"/>
            </w:tcMar>
            <w:vAlign w:val="center"/>
          </w:tcPr>
          <w:p w14:paraId="0E90DB67">
            <w:pPr>
              <w:spacing w:before="0" w:after="0" w:line="240" w:lineRule="auto"/>
              <w:jc w:val="center"/>
            </w:pPr>
            <w:r>
              <w:rPr>
                <w:rFonts w:ascii="Times New Roman" w:hAnsi="Times New Roman" w:eastAsia="Times New Roman" w:cs="Times New Roman"/>
                <w:b w:val="0"/>
                <w:bCs w:val="0"/>
                <w:sz w:val="20"/>
                <w:szCs w:val="20"/>
              </w:rPr>
              <w:t>P5 — H5 abandonment/churn association</w:t>
            </w:r>
          </w:p>
        </w:tc>
        <w:tc>
          <w:tcPr>
            <w:tcW w:w="3744" w:type="dxa"/>
            <w:tcMar>
              <w:top w:w="20" w:type="dxa"/>
              <w:left w:w="55" w:type="dxa"/>
              <w:bottom w:w="20" w:type="dxa"/>
              <w:right w:w="55" w:type="dxa"/>
            </w:tcMar>
            <w:vAlign w:val="center"/>
          </w:tcPr>
          <w:p w14:paraId="2D64D5EF">
            <w:pPr>
              <w:spacing w:before="0" w:after="0" w:line="240" w:lineRule="auto"/>
              <w:jc w:val="center"/>
            </w:pPr>
            <w:r>
              <w:rPr>
                <w:rFonts w:ascii="Times New Roman" w:hAnsi="Times New Roman" w:eastAsia="Times New Roman" w:cs="Times New Roman"/>
                <w:b w:val="0"/>
                <w:bCs w:val="0"/>
                <w:sz w:val="20"/>
                <w:szCs w:val="20"/>
              </w:rPr>
              <w:t>Cohort analysis and multivariable model; report uncertainty and avoid causal language.</w:t>
            </w:r>
          </w:p>
        </w:tc>
        <w:tc>
          <w:tcPr>
            <w:tcW w:w="2289" w:type="dxa"/>
            <w:tcMar>
              <w:top w:w="20" w:type="dxa"/>
              <w:left w:w="55" w:type="dxa"/>
              <w:bottom w:w="20" w:type="dxa"/>
              <w:right w:w="55" w:type="dxa"/>
            </w:tcMar>
            <w:vAlign w:val="center"/>
          </w:tcPr>
          <w:p w14:paraId="50F88171">
            <w:pPr>
              <w:spacing w:before="0" w:after="0" w:line="240" w:lineRule="auto"/>
              <w:jc w:val="center"/>
            </w:pPr>
            <w:r>
              <w:rPr>
                <w:rFonts w:ascii="Times New Roman" w:hAnsi="Times New Roman" w:eastAsia="Times New Roman" w:cs="Times New Roman"/>
                <w:b w:val="0"/>
                <w:bCs w:val="0"/>
                <w:sz w:val="20"/>
                <w:szCs w:val="20"/>
              </w:rPr>
              <w:t>Review events, abandonment point, 90-day churn, tenure, segment, plan, campaign.</w:t>
            </w:r>
          </w:p>
        </w:tc>
        <w:tc>
          <w:tcPr>
            <w:tcW w:w="1900" w:type="dxa"/>
            <w:tcMar>
              <w:top w:w="20" w:type="dxa"/>
              <w:left w:w="55" w:type="dxa"/>
              <w:bottom w:w="20" w:type="dxa"/>
              <w:right w:w="55" w:type="dxa"/>
            </w:tcMar>
            <w:vAlign w:val="center"/>
          </w:tcPr>
          <w:p w14:paraId="5D3C82A7">
            <w:pPr>
              <w:spacing w:before="0" w:after="0" w:line="240" w:lineRule="auto"/>
              <w:jc w:val="center"/>
            </w:pPr>
            <w:r>
              <w:rPr>
                <w:rFonts w:ascii="Times New Roman" w:hAnsi="Times New Roman" w:eastAsia="Times New Roman" w:cs="Times New Roman"/>
                <w:b w:val="0"/>
                <w:bCs w:val="0"/>
                <w:sz w:val="20"/>
                <w:szCs w:val="20"/>
              </w:rPr>
              <w:t>Proposed linked event/CRM/billing data; not available in this assignment.</w:t>
            </w:r>
          </w:p>
        </w:tc>
        <w:tc>
          <w:tcPr>
            <w:tcW w:w="1814" w:type="dxa"/>
            <w:tcMar>
              <w:top w:w="20" w:type="dxa"/>
              <w:left w:w="55" w:type="dxa"/>
              <w:bottom w:w="20" w:type="dxa"/>
              <w:right w:w="55" w:type="dxa"/>
            </w:tcMar>
            <w:vAlign w:val="center"/>
          </w:tcPr>
          <w:p w14:paraId="347E7315">
            <w:pPr>
              <w:spacing w:before="0" w:after="0" w:line="240" w:lineRule="auto"/>
              <w:jc w:val="center"/>
            </w:pPr>
            <w:r>
              <w:rPr>
                <w:rFonts w:ascii="Times New Roman" w:hAnsi="Times New Roman" w:eastAsia="Times New Roman" w:cs="Times New Roman"/>
                <w:b w:val="0"/>
                <w:bCs w:val="0"/>
                <w:sz w:val="20"/>
                <w:szCs w:val="20"/>
              </w:rPr>
              <w:t>Adjusted-effects table; limitations; causal-test recommendation.</w:t>
            </w:r>
          </w:p>
        </w:tc>
        <w:tc>
          <w:tcPr>
            <w:tcW w:w="1468" w:type="dxa"/>
            <w:tcMar>
              <w:top w:w="20" w:type="dxa"/>
              <w:left w:w="55" w:type="dxa"/>
              <w:bottom w:w="20" w:type="dxa"/>
              <w:right w:w="55" w:type="dxa"/>
            </w:tcMar>
            <w:vAlign w:val="center"/>
          </w:tcPr>
          <w:p w14:paraId="6CC28A62">
            <w:pPr>
              <w:spacing w:before="0" w:after="0" w:line="240" w:lineRule="auto"/>
              <w:jc w:val="center"/>
            </w:pPr>
            <w:r>
              <w:rPr>
                <w:rFonts w:ascii="Times New Roman" w:hAnsi="Times New Roman" w:eastAsia="Times New Roman" w:cs="Times New Roman"/>
                <w:b w:val="0"/>
                <w:bCs w:val="0"/>
                <w:sz w:val="20"/>
                <w:szCs w:val="20"/>
              </w:rPr>
              <w:t>Proposed client-side analysis</w:t>
            </w:r>
          </w:p>
        </w:tc>
        <w:tc>
          <w:tcPr>
            <w:tcW w:w="1886" w:type="dxa"/>
            <w:tcMar>
              <w:top w:w="20" w:type="dxa"/>
              <w:left w:w="55" w:type="dxa"/>
              <w:bottom w:w="20" w:type="dxa"/>
              <w:right w:w="55" w:type="dxa"/>
            </w:tcMar>
            <w:vAlign w:val="center"/>
          </w:tcPr>
          <w:p w14:paraId="01066B7E">
            <w:pPr>
              <w:spacing w:before="0" w:after="0" w:line="240" w:lineRule="auto"/>
              <w:jc w:val="center"/>
            </w:pPr>
            <w:r>
              <w:rPr>
                <w:rFonts w:ascii="Times New Roman" w:hAnsi="Times New Roman" w:eastAsia="Times New Roman" w:cs="Times New Roman"/>
                <w:b w:val="0"/>
                <w:bCs w:val="0"/>
                <w:sz w:val="20"/>
                <w:szCs w:val="20"/>
              </w:rPr>
              <w:t>Not conducted — requires Spark client data.</w:t>
            </w:r>
          </w:p>
        </w:tc>
      </w:tr>
    </w:tbl>
    <w:p w14:paraId="27D17773">
      <w:pPr>
        <w:spacing w:line="360" w:lineRule="auto"/>
        <w:sectPr>
          <w:footerReference r:id="rId6" w:type="default"/>
          <w:pgSz w:w="16838" w:h="11906" w:orient="landscape"/>
          <w:pgMar w:top="1000" w:right="900" w:bottom="1000" w:left="900" w:header="708" w:footer="708" w:gutter="0"/>
          <w:cols w:space="720" w:num="1"/>
          <w:docGrid w:linePitch="360" w:charSpace="0"/>
        </w:sectPr>
      </w:pPr>
    </w:p>
    <w:p w14:paraId="7548B2C6">
      <w:pPr>
        <w:pStyle w:val="2"/>
        <w:spacing w:before="320" w:after="160" w:line="360" w:lineRule="auto"/>
        <w:outlineLvl w:val="0"/>
      </w:pPr>
      <w:r>
        <w:rPr>
          <w:rFonts w:ascii="Times New Roman" w:hAnsi="Times New Roman" w:eastAsia="Times New Roman" w:cs="Times New Roman"/>
          <w:b/>
          <w:bCs/>
          <w:color w:val="000000"/>
          <w:sz w:val="28"/>
          <w:szCs w:val="28"/>
        </w:rPr>
        <w:t>4. Data Gathering and Analysis Plan for H2</w:t>
      </w:r>
    </w:p>
    <w:p w14:paraId="7BFD00EB">
      <w:pPr>
        <w:pStyle w:val="3"/>
        <w:spacing w:before="240" w:after="140" w:line="360" w:lineRule="auto"/>
        <w:outlineLvl w:val="1"/>
      </w:pPr>
      <w:r>
        <w:rPr>
          <w:rFonts w:ascii="Times New Roman" w:hAnsi="Times New Roman" w:eastAsia="Times New Roman" w:cs="Times New Roman"/>
          <w:b/>
          <w:bCs/>
          <w:i/>
          <w:iCs/>
          <w:color w:val="000000"/>
          <w:sz w:val="28"/>
          <w:szCs w:val="28"/>
        </w:rPr>
        <w:t>4.1 Key hypothesis</w:t>
      </w:r>
    </w:p>
    <w:p w14:paraId="04DE8D91">
      <w:pPr>
        <w:spacing w:after="0" w:line="360" w:lineRule="auto"/>
        <w:jc w:val="both"/>
      </w:pPr>
      <w:r>
        <w:rPr>
          <w:rFonts w:ascii="Times New Roman" w:hAnsi="Times New Roman" w:eastAsia="Times New Roman" w:cs="Times New Roman"/>
          <w:sz w:val="24"/>
          <w:szCs w:val="24"/>
        </w:rPr>
        <w:t>Compared with a link-only annual plan summary, the absence of embedded usage/spend history and personalised right-plan guidance materially increases customers' plan-choice difficulty.</w:t>
      </w:r>
    </w:p>
    <w:p w14:paraId="38842AC7">
      <w:pPr>
        <w:pStyle w:val="3"/>
        <w:spacing w:before="240" w:after="140" w:line="360" w:lineRule="auto"/>
        <w:outlineLvl w:val="1"/>
      </w:pPr>
      <w:r>
        <w:rPr>
          <w:rFonts w:ascii="Times New Roman" w:hAnsi="Times New Roman" w:eastAsia="Times New Roman" w:cs="Times New Roman"/>
          <w:b/>
          <w:bCs/>
          <w:i/>
          <w:iCs/>
          <w:color w:val="000000"/>
          <w:sz w:val="28"/>
          <w:szCs w:val="28"/>
        </w:rPr>
        <w:t>4.2 Data to collect</w:t>
      </w:r>
    </w:p>
    <w:p w14:paraId="7A572671">
      <w:pPr>
        <w:pStyle w:val="16"/>
        <w:numPr>
          <w:ilvl w:val="0"/>
          <w:numId w:val="1"/>
        </w:numPr>
        <w:spacing w:after="0" w:line="360" w:lineRule="auto"/>
      </w:pPr>
      <w:r>
        <w:rPr>
          <w:rFonts w:ascii="Times New Roman" w:hAnsi="Times New Roman" w:eastAsia="Times New Roman" w:cs="Times New Roman"/>
          <w:sz w:val="24"/>
          <w:szCs w:val="24"/>
        </w:rPr>
        <w:t>Which information a person needs to assess plan fit.</w:t>
      </w:r>
    </w:p>
    <w:p w14:paraId="60BB946B">
      <w:pPr>
        <w:pStyle w:val="16"/>
        <w:numPr>
          <w:ilvl w:val="0"/>
          <w:numId w:val="1"/>
        </w:numPr>
        <w:spacing w:after="0" w:line="360" w:lineRule="auto"/>
      </w:pPr>
      <w:r>
        <w:rPr>
          <w:rFonts w:ascii="Times New Roman" w:hAnsi="Times New Roman" w:eastAsia="Times New Roman" w:cs="Times New Roman"/>
          <w:sz w:val="24"/>
          <w:szCs w:val="24"/>
        </w:rPr>
        <w:t>Where a link-only journey creates extra steps or uncertainty.</w:t>
      </w:r>
    </w:p>
    <w:p w14:paraId="289F5DFC">
      <w:pPr>
        <w:pStyle w:val="16"/>
        <w:numPr>
          <w:ilvl w:val="0"/>
          <w:numId w:val="1"/>
        </w:numPr>
        <w:spacing w:after="0" w:line="360" w:lineRule="auto"/>
      </w:pPr>
      <w:r>
        <w:rPr>
          <w:rFonts w:ascii="Times New Roman" w:hAnsi="Times New Roman" w:eastAsia="Times New Roman" w:cs="Times New Roman"/>
          <w:sz w:val="24"/>
          <w:szCs w:val="24"/>
        </w:rPr>
        <w:t>How embedded history affects effort, understanding, confidence, and trust.</w:t>
      </w:r>
    </w:p>
    <w:p w14:paraId="52112E73">
      <w:pPr>
        <w:pStyle w:val="16"/>
        <w:numPr>
          <w:ilvl w:val="0"/>
          <w:numId w:val="1"/>
        </w:numPr>
        <w:spacing w:after="0" w:line="360" w:lineRule="auto"/>
      </w:pPr>
      <w:r>
        <w:rPr>
          <w:rFonts w:ascii="Times New Roman" w:hAnsi="Times New Roman" w:eastAsia="Times New Roman" w:cs="Times New Roman"/>
          <w:sz w:val="24"/>
          <w:szCs w:val="24"/>
        </w:rPr>
        <w:t>How a personalised recommendation affects or threatens perceived fairness and control.</w:t>
      </w:r>
    </w:p>
    <w:p w14:paraId="0B98C057">
      <w:pPr>
        <w:pStyle w:val="16"/>
        <w:numPr>
          <w:ilvl w:val="0"/>
          <w:numId w:val="1"/>
        </w:numPr>
        <w:spacing w:after="0" w:line="360" w:lineRule="auto"/>
      </w:pPr>
      <w:r>
        <w:rPr>
          <w:rFonts w:ascii="Times New Roman" w:hAnsi="Times New Roman" w:eastAsia="Times New Roman" w:cs="Times New Roman"/>
          <w:sz w:val="24"/>
          <w:szCs w:val="24"/>
        </w:rPr>
        <w:t>Whether organisational constraints or risks make the proposed mechanism implausible.</w:t>
      </w:r>
    </w:p>
    <w:p w14:paraId="50AD94E6">
      <w:pPr>
        <w:pStyle w:val="16"/>
        <w:numPr>
          <w:ilvl w:val="0"/>
          <w:numId w:val="1"/>
        </w:numPr>
        <w:spacing w:after="0" w:line="360" w:lineRule="auto"/>
      </w:pPr>
      <w:r>
        <w:rPr>
          <w:rFonts w:ascii="Times New Roman" w:hAnsi="Times New Roman" w:eastAsia="Times New Roman" w:cs="Times New Roman"/>
          <w:sz w:val="24"/>
          <w:szCs w:val="24"/>
        </w:rPr>
        <w:t>Rival explanations, such as price complexity, low motivation, reminder salience, privacy concern, or general distrust.</w:t>
      </w:r>
    </w:p>
    <w:p w14:paraId="24915824">
      <w:pPr>
        <w:pStyle w:val="3"/>
        <w:spacing w:before="240" w:after="140" w:line="360" w:lineRule="auto"/>
        <w:outlineLvl w:val="1"/>
      </w:pPr>
      <w:r>
        <w:rPr>
          <w:rFonts w:ascii="Times New Roman" w:hAnsi="Times New Roman" w:eastAsia="Times New Roman" w:cs="Times New Roman"/>
          <w:b/>
          <w:bCs/>
          <w:i/>
          <w:iCs/>
          <w:color w:val="000000"/>
          <w:sz w:val="28"/>
          <w:szCs w:val="28"/>
        </w:rPr>
        <w:t>4.3 Sources</w:t>
      </w:r>
    </w:p>
    <w:p w14:paraId="55D2822D">
      <w:pPr>
        <w:pStyle w:val="16"/>
        <w:numPr>
          <w:ilvl w:val="0"/>
          <w:numId w:val="1"/>
        </w:numPr>
        <w:spacing w:after="0" w:line="360" w:lineRule="auto"/>
      </w:pPr>
      <w:r>
        <w:rPr>
          <w:rFonts w:ascii="Times New Roman" w:hAnsi="Times New Roman" w:eastAsia="Times New Roman" w:cs="Times New Roman"/>
          <w:b/>
          <w:bCs/>
          <w:sz w:val="24"/>
          <w:szCs w:val="24"/>
        </w:rPr>
        <w:t>Public documentary evidence:</w:t>
      </w:r>
      <w:r>
        <w:rPr>
          <w:rFonts w:ascii="Times New Roman" w:hAnsi="Times New Roman" w:eastAsia="Times New Roman" w:cs="Times New Roman"/>
          <w:sz w:val="24"/>
          <w:szCs w:val="24"/>
        </w:rPr>
        <w:t xml:space="preserve"> Commerce Commission reporting and Spark public reporting. This establishes context and the reported process gap only.</w:t>
      </w:r>
    </w:p>
    <w:p w14:paraId="56087FCB">
      <w:pPr>
        <w:pStyle w:val="16"/>
        <w:numPr>
          <w:ilvl w:val="0"/>
          <w:numId w:val="1"/>
        </w:numPr>
        <w:spacing w:after="0" w:line="360" w:lineRule="auto"/>
      </w:pPr>
      <w:r>
        <w:rPr>
          <w:rFonts w:ascii="Times New Roman" w:hAnsi="Times New Roman" w:eastAsia="Times New Roman" w:cs="Times New Roman"/>
          <w:b/>
          <w:bCs/>
          <w:sz w:val="24"/>
          <w:szCs w:val="24"/>
        </w:rPr>
        <w:t>Human interview:</w:t>
      </w:r>
      <w:r>
        <w:rPr>
          <w:rFonts w:ascii="Times New Roman" w:hAnsi="Times New Roman" w:eastAsia="Times New Roman" w:cs="Times New Roman"/>
          <w:sz w:val="24"/>
          <w:szCs w:val="24"/>
        </w:rPr>
        <w:t xml:space="preserve"> Xuan Zeng, group mate, Organisational problem domain. The participant provides an external analytical perspective, not insider knowledge of Spark.</w:t>
      </w:r>
    </w:p>
    <w:p w14:paraId="095B0272">
      <w:pPr>
        <w:pStyle w:val="16"/>
        <w:numPr>
          <w:ilvl w:val="0"/>
          <w:numId w:val="1"/>
        </w:numPr>
        <w:spacing w:after="0" w:line="360" w:lineRule="auto"/>
      </w:pPr>
      <w:r>
        <w:rPr>
          <w:rFonts w:ascii="Times New Roman" w:hAnsi="Times New Roman" w:eastAsia="Times New Roman" w:cs="Times New Roman"/>
          <w:b/>
          <w:bCs/>
          <w:sz w:val="24"/>
          <w:szCs w:val="24"/>
        </w:rPr>
        <w:t>GenAI interview:</w:t>
      </w:r>
      <w:r>
        <w:rPr>
          <w:rFonts w:ascii="Times New Roman" w:hAnsi="Times New Roman" w:eastAsia="Times New Roman" w:cs="Times New Roman"/>
          <w:sz w:val="24"/>
          <w:szCs w:val="24"/>
        </w:rPr>
        <w:t xml:space="preserve"> the same semi-structured guide, clearly labelled as simulated stakeholder/expert reasoning rather than factual Spark testimony.</w:t>
      </w:r>
    </w:p>
    <w:p w14:paraId="582F04BA">
      <w:pPr>
        <w:pStyle w:val="16"/>
        <w:numPr>
          <w:ilvl w:val="0"/>
          <w:numId w:val="1"/>
        </w:numPr>
        <w:spacing w:after="0" w:line="360" w:lineRule="auto"/>
      </w:pPr>
      <w:r>
        <w:rPr>
          <w:rFonts w:ascii="Times New Roman" w:hAnsi="Times New Roman" w:eastAsia="Times New Roman" w:cs="Times New Roman"/>
          <w:b/>
          <w:bCs/>
          <w:sz w:val="24"/>
          <w:szCs w:val="24"/>
        </w:rPr>
        <w:t>Future client-side evidence:</w:t>
      </w:r>
      <w:r>
        <w:rPr>
          <w:rFonts w:ascii="Times New Roman" w:hAnsi="Times New Roman" w:eastAsia="Times New Roman" w:cs="Times New Roman"/>
          <w:sz w:val="24"/>
          <w:szCs w:val="24"/>
        </w:rPr>
        <w:t xml:space="preserve"> customer experiment and event data, included as a recommendation but not claimed as collected.</w:t>
      </w:r>
    </w:p>
    <w:p w14:paraId="040332F0">
      <w:pPr>
        <w:pStyle w:val="3"/>
        <w:spacing w:before="240" w:after="140" w:line="360" w:lineRule="auto"/>
        <w:outlineLvl w:val="1"/>
      </w:pPr>
      <w:r>
        <w:rPr>
          <w:rFonts w:ascii="Times New Roman" w:hAnsi="Times New Roman" w:eastAsia="Times New Roman" w:cs="Times New Roman"/>
          <w:b/>
          <w:bCs/>
          <w:i/>
          <w:iCs/>
          <w:color w:val="000000"/>
          <w:sz w:val="28"/>
          <w:szCs w:val="28"/>
        </w:rPr>
        <w:t>4.4 Collection method</w:t>
      </w:r>
    </w:p>
    <w:p w14:paraId="2241AE52">
      <w:pPr>
        <w:pStyle w:val="16"/>
        <w:numPr>
          <w:ilvl w:val="0"/>
          <w:numId w:val="1"/>
        </w:numPr>
        <w:spacing w:after="0" w:line="360" w:lineRule="auto"/>
      </w:pPr>
      <w:r>
        <w:rPr>
          <w:rFonts w:ascii="Times New Roman" w:hAnsi="Times New Roman" w:eastAsia="Times New Roman" w:cs="Times New Roman"/>
          <w:sz w:val="24"/>
          <w:szCs w:val="24"/>
        </w:rPr>
        <w:t>Use one semi-structured guide for both interviews so questions are comparable.</w:t>
      </w:r>
    </w:p>
    <w:p w14:paraId="529E32CC">
      <w:pPr>
        <w:pStyle w:val="16"/>
        <w:numPr>
          <w:ilvl w:val="0"/>
          <w:numId w:val="1"/>
        </w:numPr>
        <w:spacing w:after="0" w:line="360" w:lineRule="auto"/>
      </w:pPr>
      <w:r>
        <w:rPr>
          <w:rFonts w:ascii="Times New Roman" w:hAnsi="Times New Roman" w:eastAsia="Times New Roman" w:cs="Times New Roman"/>
          <w:sz w:val="24"/>
          <w:szCs w:val="24"/>
        </w:rPr>
        <w:t>Send the guide in advance and pilot it before use.</w:t>
      </w:r>
    </w:p>
    <w:p w14:paraId="1AA84812">
      <w:pPr>
        <w:pStyle w:val="16"/>
        <w:numPr>
          <w:ilvl w:val="0"/>
          <w:numId w:val="1"/>
        </w:numPr>
        <w:spacing w:after="0" w:line="360" w:lineRule="auto"/>
      </w:pPr>
      <w:r>
        <w:rPr>
          <w:rFonts w:ascii="Times New Roman" w:hAnsi="Times New Roman" w:eastAsia="Times New Roman" w:cs="Times New Roman"/>
          <w:sz w:val="24"/>
          <w:szCs w:val="24"/>
        </w:rPr>
        <w:t>Obtain permission to use the group mate's responses in the assignment.</w:t>
      </w:r>
    </w:p>
    <w:p w14:paraId="1A02CE4C">
      <w:pPr>
        <w:pStyle w:val="16"/>
        <w:numPr>
          <w:ilvl w:val="0"/>
          <w:numId w:val="1"/>
        </w:numPr>
        <w:spacing w:after="0" w:line="360" w:lineRule="auto"/>
      </w:pPr>
      <w:r>
        <w:rPr>
          <w:rFonts w:ascii="Times New Roman" w:hAnsi="Times New Roman" w:eastAsia="Times New Roman" w:cs="Times New Roman"/>
          <w:sz w:val="24"/>
          <w:szCs w:val="24"/>
        </w:rPr>
        <w:t>Preserve Xuan's responses verbatim; do not improve or reconstruct them.</w:t>
      </w:r>
    </w:p>
    <w:p w14:paraId="7125FCCA">
      <w:pPr>
        <w:pStyle w:val="16"/>
        <w:numPr>
          <w:ilvl w:val="0"/>
          <w:numId w:val="1"/>
        </w:numPr>
        <w:spacing w:after="0" w:line="360" w:lineRule="auto"/>
      </w:pPr>
      <w:r>
        <w:rPr>
          <w:rFonts w:ascii="Times New Roman" w:hAnsi="Times New Roman" w:eastAsia="Times New Roman" w:cs="Times New Roman"/>
          <w:sz w:val="24"/>
          <w:szCs w:val="24"/>
        </w:rPr>
        <w:t>Ask the same core questions in the same order, using neutral probes only where clarification is required.</w:t>
      </w:r>
    </w:p>
    <w:p w14:paraId="594A0A24">
      <w:pPr>
        <w:pStyle w:val="16"/>
        <w:numPr>
          <w:ilvl w:val="0"/>
          <w:numId w:val="1"/>
        </w:numPr>
        <w:spacing w:after="0" w:line="360" w:lineRule="auto"/>
      </w:pPr>
      <w:r>
        <w:rPr>
          <w:rFonts w:ascii="Times New Roman" w:hAnsi="Times New Roman" w:eastAsia="Times New Roman" w:cs="Times New Roman"/>
          <w:sz w:val="24"/>
          <w:szCs w:val="24"/>
        </w:rPr>
        <w:t>Save the complete human and GenAI transcripts as appendices.</w:t>
      </w:r>
    </w:p>
    <w:p w14:paraId="6ADBF019">
      <w:pPr>
        <w:pStyle w:val="16"/>
        <w:numPr>
          <w:ilvl w:val="0"/>
          <w:numId w:val="1"/>
        </w:numPr>
        <w:spacing w:after="0" w:line="360" w:lineRule="auto"/>
      </w:pPr>
      <w:r>
        <w:rPr>
          <w:rFonts w:ascii="Times New Roman" w:hAnsi="Times New Roman" w:eastAsia="Times New Roman" w:cs="Times New Roman"/>
          <w:sz w:val="24"/>
          <w:szCs w:val="24"/>
        </w:rPr>
        <w:t>Keep public facts, interview perceptions, and proposed internal validation data clearly separated.</w:t>
      </w:r>
    </w:p>
    <w:p w14:paraId="706A713D">
      <w:pPr>
        <w:pStyle w:val="3"/>
        <w:spacing w:before="240" w:after="140" w:line="360" w:lineRule="auto"/>
        <w:outlineLvl w:val="1"/>
      </w:pPr>
      <w:r>
        <w:rPr>
          <w:rFonts w:ascii="Times New Roman" w:hAnsi="Times New Roman" w:eastAsia="Times New Roman" w:cs="Times New Roman"/>
          <w:b/>
          <w:bCs/>
          <w:i/>
          <w:iCs/>
          <w:color w:val="000000"/>
          <w:sz w:val="28"/>
          <w:szCs w:val="28"/>
        </w:rPr>
        <w:t>4.5 Analysis method</w:t>
      </w:r>
    </w:p>
    <w:p w14:paraId="2037D934">
      <w:pPr>
        <w:pStyle w:val="16"/>
        <w:numPr>
          <w:ilvl w:val="0"/>
          <w:numId w:val="1"/>
        </w:numPr>
        <w:spacing w:after="0" w:line="360" w:lineRule="auto"/>
      </w:pPr>
      <w:r>
        <w:rPr>
          <w:rFonts w:ascii="Times New Roman" w:hAnsi="Times New Roman" w:eastAsia="Times New Roman" w:cs="Times New Roman"/>
          <w:sz w:val="24"/>
          <w:szCs w:val="24"/>
        </w:rPr>
        <w:t>Create a codebook before reviewing answers: information completeness, navigation effort, comparison difficulty, confidence, trust/fairness, organisational feasibility, counterevidence, and KPI implications.</w:t>
      </w:r>
    </w:p>
    <w:p w14:paraId="05EB59FA">
      <w:pPr>
        <w:pStyle w:val="16"/>
        <w:numPr>
          <w:ilvl w:val="0"/>
          <w:numId w:val="1"/>
        </w:numPr>
        <w:spacing w:after="0" w:line="360" w:lineRule="auto"/>
      </w:pPr>
      <w:r>
        <w:rPr>
          <w:rFonts w:ascii="Times New Roman" w:hAnsi="Times New Roman" w:eastAsia="Times New Roman" w:cs="Times New Roman"/>
          <w:sz w:val="24"/>
          <w:szCs w:val="24"/>
        </w:rPr>
        <w:t>Code both transcripts independently by question and theme.</w:t>
      </w:r>
    </w:p>
    <w:p w14:paraId="66F3D2AA">
      <w:pPr>
        <w:pStyle w:val="16"/>
        <w:numPr>
          <w:ilvl w:val="0"/>
          <w:numId w:val="1"/>
        </w:numPr>
        <w:spacing w:after="0" w:line="360" w:lineRule="auto"/>
      </w:pPr>
      <w:r>
        <w:rPr>
          <w:rFonts w:ascii="Times New Roman" w:hAnsi="Times New Roman" w:eastAsia="Times New Roman" w:cs="Times New Roman"/>
          <w:sz w:val="24"/>
          <w:szCs w:val="24"/>
        </w:rPr>
        <w:t>Add emergent codes only when the evidence does not fit the initial codebook; document each addition.</w:t>
      </w:r>
    </w:p>
    <w:p w14:paraId="252B6F91">
      <w:pPr>
        <w:pStyle w:val="16"/>
        <w:numPr>
          <w:ilvl w:val="0"/>
          <w:numId w:val="1"/>
        </w:numPr>
        <w:spacing w:after="0" w:line="360" w:lineRule="auto"/>
      </w:pPr>
      <w:r>
        <w:rPr>
          <w:rFonts w:ascii="Times New Roman" w:hAnsi="Times New Roman" w:eastAsia="Times New Roman" w:cs="Times New Roman"/>
          <w:sz w:val="24"/>
          <w:szCs w:val="24"/>
        </w:rPr>
        <w:t>Build an evidence-convergence matrix showing agreement, disagreement, concrete examples, and evidential limits.</w:t>
      </w:r>
    </w:p>
    <w:p w14:paraId="7FE17FCD">
      <w:pPr>
        <w:pStyle w:val="16"/>
        <w:numPr>
          <w:ilvl w:val="0"/>
          <w:numId w:val="1"/>
        </w:numPr>
        <w:spacing w:after="0" w:line="360" w:lineRule="auto"/>
      </w:pPr>
      <w:r>
        <w:rPr>
          <w:rFonts w:ascii="Times New Roman" w:hAnsi="Times New Roman" w:eastAsia="Times New Roman" w:cs="Times New Roman"/>
          <w:sz w:val="24"/>
          <w:szCs w:val="24"/>
        </w:rPr>
        <w:t>Search actively for negative cases and rival explanations.</w:t>
      </w:r>
    </w:p>
    <w:p w14:paraId="4AFB0BAF">
      <w:pPr>
        <w:pStyle w:val="16"/>
        <w:numPr>
          <w:ilvl w:val="0"/>
          <w:numId w:val="1"/>
        </w:numPr>
        <w:spacing w:after="0" w:line="360" w:lineRule="auto"/>
      </w:pPr>
      <w:r>
        <w:rPr>
          <w:rFonts w:ascii="Times New Roman" w:hAnsi="Times New Roman" w:eastAsia="Times New Roman" w:cs="Times New Roman"/>
          <w:sz w:val="24"/>
          <w:szCs w:val="24"/>
        </w:rPr>
        <w:t>Decide the hypothesis result using the pre-set rule below.</w:t>
      </w:r>
    </w:p>
    <w:p w14:paraId="3B9D7026">
      <w:pPr>
        <w:spacing w:after="0" w:line="360" w:lineRule="auto"/>
        <w:jc w:val="both"/>
      </w:pPr>
      <w:r>
        <w:rPr>
          <w:rFonts w:ascii="Times New Roman" w:hAnsi="Times New Roman" w:eastAsia="Times New Roman" w:cs="Times New Roman"/>
          <w:b/>
          <w:bCs/>
          <w:sz w:val="24"/>
          <w:szCs w:val="24"/>
        </w:rPr>
        <w:t>Decision rule:</w:t>
      </w:r>
      <w:r>
        <w:rPr>
          <w:rFonts w:ascii="Times New Roman" w:hAnsi="Times New Roman" w:eastAsia="Times New Roman" w:cs="Times New Roman"/>
          <w:sz w:val="24"/>
          <w:szCs w:val="24"/>
        </w:rPr>
        <w:t xml:space="preserve"> H2 is qualitatively supported for solution development only if both interviews independently identify missing embedded information and/or personalised guidance as a material contributor to decision difficulty, provide a plausible mechanism, and do not reveal a stronger rival explanation that dominates. If one source contradicts H2 or the evidence is vague, it is classified as </w:t>
      </w:r>
      <w:r>
        <w:rPr>
          <w:rFonts w:ascii="Times New Roman" w:hAnsi="Times New Roman" w:eastAsia="Times New Roman" w:cs="Times New Roman"/>
          <w:b/>
          <w:bCs/>
          <w:sz w:val="24"/>
          <w:szCs w:val="24"/>
        </w:rPr>
        <w:t>mixed/inconclusive</w:t>
      </w:r>
      <w:r>
        <w:rPr>
          <w:rFonts w:ascii="Times New Roman" w:hAnsi="Times New Roman" w:eastAsia="Times New Roman" w:cs="Times New Roman"/>
          <w:sz w:val="24"/>
          <w:szCs w:val="24"/>
        </w:rPr>
        <w:t xml:space="preserve"> and the hypothesis is revised. Interview evidence cannot establish causal or population-level proof; a controlled customer test remains necessary.</w:t>
      </w:r>
    </w:p>
    <w:p w14:paraId="4F2BAB3D">
      <w:pPr>
        <w:pStyle w:val="3"/>
        <w:spacing w:before="240" w:after="140" w:line="360" w:lineRule="auto"/>
        <w:outlineLvl w:val="1"/>
      </w:pPr>
      <w:r>
        <w:rPr>
          <w:rFonts w:ascii="Times New Roman" w:hAnsi="Times New Roman" w:eastAsia="Times New Roman" w:cs="Times New Roman"/>
          <w:b/>
          <w:bCs/>
          <w:i/>
          <w:iCs/>
          <w:color w:val="000000"/>
          <w:sz w:val="28"/>
          <w:szCs w:val="28"/>
        </w:rPr>
        <w:t>4.6 Proposed visualisations</w:t>
      </w:r>
    </w:p>
    <w:p w14:paraId="56503884">
      <w:pPr>
        <w:pStyle w:val="16"/>
        <w:numPr>
          <w:ilvl w:val="0"/>
          <w:numId w:val="1"/>
        </w:numPr>
        <w:spacing w:after="0" w:line="360" w:lineRule="auto"/>
      </w:pPr>
      <w:r>
        <w:rPr>
          <w:rFonts w:ascii="Times New Roman" w:hAnsi="Times New Roman" w:eastAsia="Times New Roman"/>
          <w:sz w:val="24"/>
        </w:rPr>
        <w:t>Hypothesis–evidence convergence matrix: hypothesis component × source × convergence judgement × analytical implication (Table 3, Section 6.2).</w:t>
      </w:r>
    </w:p>
    <w:p w14:paraId="58A8B7A5">
      <w:pPr>
        <w:pStyle w:val="16"/>
        <w:numPr>
          <w:ilvl w:val="0"/>
          <w:numId w:val="1"/>
        </w:numPr>
        <w:spacing w:after="0" w:line="360" w:lineRule="auto"/>
      </w:pPr>
      <w:r>
        <w:rPr>
          <w:rFonts w:ascii="Times New Roman" w:hAnsi="Times New Roman" w:eastAsia="Times New Roman"/>
          <w:sz w:val="24"/>
        </w:rPr>
        <w:t>Customer-effort pathway: AS-IS steps with evidence tags at the points where effort or uncertainty arises (Figure 2).</w:t>
      </w:r>
    </w:p>
    <w:p w14:paraId="74F06F2F">
      <w:pPr>
        <w:pStyle w:val="16"/>
        <w:numPr>
          <w:ilvl w:val="0"/>
          <w:numId w:val="1"/>
        </w:numPr>
        <w:spacing w:after="0" w:line="360" w:lineRule="auto"/>
      </w:pPr>
      <w:r>
        <w:rPr>
          <w:rFonts w:ascii="Times New Roman" w:hAnsi="Times New Roman" w:eastAsia="Times New Roman" w:cs="Times New Roman"/>
          <w:b/>
          <w:bCs/>
          <w:sz w:val="24"/>
          <w:szCs w:val="24"/>
        </w:rPr>
        <w:t>Rival-explanation table:</w:t>
      </w:r>
      <w:r>
        <w:rPr>
          <w:rFonts w:ascii="Times New Roman" w:hAnsi="Times New Roman" w:eastAsia="Times New Roman" w:cs="Times New Roman"/>
          <w:sz w:val="24"/>
          <w:szCs w:val="24"/>
        </w:rPr>
        <w:t xml:space="preserve"> explanation, supporting evidence, contradictory evidence, and next test (Section 6.2).</w:t>
      </w:r>
    </w:p>
    <w:p w14:paraId="71F4E25E">
      <w:pPr>
        <w:pStyle w:val="16"/>
        <w:numPr>
          <w:ilvl w:val="0"/>
          <w:numId w:val="1"/>
        </w:numPr>
        <w:spacing w:after="0" w:line="360" w:lineRule="auto"/>
      </w:pPr>
      <w:r>
        <w:rPr>
          <w:rFonts w:ascii="Times New Roman" w:hAnsi="Times New Roman" w:eastAsia="Times New Roman" w:cs="Times New Roman"/>
          <w:b/>
          <w:bCs/>
          <w:sz w:val="24"/>
          <w:szCs w:val="24"/>
        </w:rPr>
        <w:t>Future validation funnel:</w:t>
      </w:r>
      <w:r>
        <w:rPr>
          <w:rFonts w:ascii="Times New Roman" w:hAnsi="Times New Roman" w:eastAsia="Times New Roman" w:cs="Times New Roman"/>
          <w:sz w:val="24"/>
          <w:szCs w:val="24"/>
        </w:rPr>
        <w:t xml:space="preserve"> invited → entered → decision completed → appropriate choice → 90-day retained value (Section 9.3).</w:t>
      </w:r>
    </w:p>
    <w:p w14:paraId="3429D793">
      <w:pPr>
        <w:spacing w:after="0" w:line="360" w:lineRule="auto"/>
        <w:jc w:val="both"/>
      </w:pPr>
      <w:r>
        <w:rPr>
          <w:rFonts w:ascii="Times New Roman" w:hAnsi="Times New Roman" w:eastAsia="Times New Roman" w:cs="Times New Roman"/>
          <w:sz w:val="24"/>
          <w:szCs w:val="24"/>
        </w:rPr>
        <w:t>With only two interviews, no percentage chart or frequency claim is used to imply representativeness.</w:t>
      </w:r>
    </w:p>
    <w:p w14:paraId="68B20B0F">
      <w:pPr>
        <w:pStyle w:val="2"/>
        <w:spacing w:before="320" w:after="160" w:line="360" w:lineRule="auto"/>
        <w:outlineLvl w:val="0"/>
      </w:pPr>
      <w:r>
        <w:rPr>
          <w:rFonts w:ascii="Times New Roman" w:hAnsi="Times New Roman" w:eastAsia="Times New Roman" w:cs="Times New Roman"/>
          <w:b/>
          <w:bCs/>
          <w:color w:val="000000"/>
          <w:sz w:val="28"/>
          <w:szCs w:val="28"/>
        </w:rPr>
        <w:t>5. Semi-Structured Interview Guide</w:t>
      </w:r>
    </w:p>
    <w:p w14:paraId="35E4D223">
      <w:pPr>
        <w:spacing w:after="0" w:line="360" w:lineRule="auto"/>
        <w:jc w:val="both"/>
      </w:pPr>
      <w:r>
        <w:rPr>
          <w:rFonts w:ascii="Times New Roman" w:hAnsi="Times New Roman" w:eastAsia="Times New Roman" w:cs="Times New Roman"/>
          <w:b/>
          <w:bCs/>
          <w:sz w:val="24"/>
          <w:szCs w:val="24"/>
        </w:rPr>
        <w:t>Use:</w:t>
      </w:r>
      <w:r>
        <w:rPr>
          <w:rFonts w:ascii="Times New Roman" w:hAnsi="Times New Roman" w:eastAsia="Times New Roman" w:cs="Times New Roman"/>
          <w:sz w:val="24"/>
          <w:szCs w:val="24"/>
        </w:rPr>
        <w:t xml:space="preserve"> identical core guide for Xuan Zeng and the GenAI interview. </w:t>
      </w:r>
      <w:r>
        <w:rPr>
          <w:rFonts w:ascii="Times New Roman" w:hAnsi="Times New Roman" w:eastAsia="Times New Roman" w:cs="Times New Roman"/>
          <w:b/>
          <w:bCs/>
          <w:sz w:val="24"/>
          <w:szCs w:val="24"/>
        </w:rPr>
        <w:t>Estimated time:</w:t>
      </w:r>
      <w:r>
        <w:rPr>
          <w:rFonts w:ascii="Times New Roman" w:hAnsi="Times New Roman" w:eastAsia="Times New Roman" w:cs="Times New Roman"/>
          <w:sz w:val="24"/>
          <w:szCs w:val="24"/>
        </w:rPr>
        <w:t xml:space="preserve"> 20–25 minutes. </w:t>
      </w:r>
      <w:r>
        <w:rPr>
          <w:rFonts w:ascii="Times New Roman" w:hAnsi="Times New Roman" w:eastAsia="Times New Roman" w:cs="Times New Roman"/>
          <w:b/>
          <w:bCs/>
          <w:sz w:val="24"/>
          <w:szCs w:val="24"/>
        </w:rPr>
        <w:t>Interviewer:</w:t>
      </w:r>
      <w:r>
        <w:rPr>
          <w:rFonts w:ascii="Times New Roman" w:hAnsi="Times New Roman" w:eastAsia="Times New Roman" w:cs="Times New Roman"/>
          <w:sz w:val="24"/>
          <w:szCs w:val="24"/>
        </w:rPr>
        <w:t xml:space="preserve"> Rae Huang. </w:t>
      </w:r>
      <w:r>
        <w:rPr>
          <w:rFonts w:ascii="Times New Roman" w:hAnsi="Times New Roman" w:eastAsia="Times New Roman" w:cs="Times New Roman"/>
          <w:b/>
          <w:bCs/>
          <w:sz w:val="24"/>
          <w:szCs w:val="24"/>
        </w:rPr>
        <w:t>Purpose:</w:t>
      </w:r>
      <w:r>
        <w:rPr>
          <w:rFonts w:ascii="Times New Roman" w:hAnsi="Times New Roman" w:eastAsia="Times New Roman" w:cs="Times New Roman"/>
          <w:sz w:val="24"/>
          <w:szCs w:val="24"/>
        </w:rPr>
        <w:t xml:space="preserve"> test H2 and identify counterevidence; not to obtain confidential Spark information.</w:t>
      </w:r>
    </w:p>
    <w:p w14:paraId="1A888122">
      <w:pPr>
        <w:spacing w:after="0" w:line="360" w:lineRule="auto"/>
        <w:jc w:val="both"/>
      </w:pPr>
      <w:r>
        <w:rPr>
          <w:rFonts w:ascii="Times New Roman" w:hAnsi="Times New Roman" w:eastAsia="Times New Roman" w:cs="Times New Roman"/>
          <w:sz w:val="24"/>
          <w:szCs w:val="24"/>
        </w:rPr>
        <w:t>The guide follows the course sequence of beginning with context, moving gradually into process and sensitive governance questions, listening without leading, and closing with an invitation for omitted issues (University of Auckland, 2026b, slides 11–16). The full guide, with all ten sections and twenty-two questions, is reproduced in Appendix A; question numbers below match the transcripts in Appendices B and C.</w:t>
      </w:r>
    </w:p>
    <w:p w14:paraId="6C49640E">
      <w:pPr>
        <w:pStyle w:val="3"/>
        <w:spacing w:before="240" w:after="140" w:line="360" w:lineRule="auto"/>
        <w:outlineLvl w:val="1"/>
      </w:pPr>
      <w:r>
        <w:rPr>
          <w:rFonts w:ascii="Times New Roman" w:hAnsi="Times New Roman" w:eastAsia="Times New Roman" w:cs="Times New Roman"/>
          <w:b/>
          <w:bCs/>
          <w:i/>
          <w:iCs/>
          <w:color w:val="000000"/>
          <w:sz w:val="28"/>
          <w:szCs w:val="28"/>
        </w:rPr>
        <w:t>Section 1 — Consent and evidence boundary</w:t>
      </w:r>
    </w:p>
    <w:p w14:paraId="766A1670">
      <w:pPr>
        <w:pStyle w:val="16"/>
        <w:numPr>
          <w:ilvl w:val="0"/>
          <w:numId w:val="1"/>
        </w:numPr>
        <w:spacing w:after="0" w:line="360" w:lineRule="auto"/>
      </w:pPr>
      <w:r>
        <w:rPr>
          <w:rFonts w:ascii="Times New Roman" w:hAnsi="Times New Roman" w:eastAsia="Times New Roman" w:cs="Times New Roman"/>
          <w:sz w:val="24"/>
          <w:szCs w:val="24"/>
        </w:rPr>
        <w:t>1. Do you agree that your answers may be quoted or summarised in my INFOSYS 704 assignment, with your name and stated problem domain?</w:t>
      </w:r>
    </w:p>
    <w:p w14:paraId="18DF8AC2">
      <w:pPr>
        <w:pStyle w:val="16"/>
        <w:numPr>
          <w:ilvl w:val="0"/>
          <w:numId w:val="1"/>
        </w:numPr>
        <w:spacing w:after="0" w:line="360" w:lineRule="auto"/>
      </w:pPr>
      <w:r>
        <w:rPr>
          <w:rFonts w:ascii="Times New Roman" w:hAnsi="Times New Roman" w:eastAsia="Times New Roman" w:cs="Times New Roman"/>
          <w:sz w:val="24"/>
          <w:szCs w:val="24"/>
        </w:rPr>
        <w:t>2. Please confirm that your answers reflect your own analysis or general experience and do not contain confidential information from Spark.</w:t>
      </w:r>
    </w:p>
    <w:p w14:paraId="314221E7">
      <w:pPr>
        <w:pStyle w:val="3"/>
        <w:spacing w:before="240" w:after="140" w:line="360" w:lineRule="auto"/>
        <w:outlineLvl w:val="1"/>
      </w:pPr>
      <w:r>
        <w:rPr>
          <w:rFonts w:ascii="Times New Roman" w:hAnsi="Times New Roman" w:eastAsia="Times New Roman" w:cs="Times New Roman"/>
          <w:b/>
          <w:bCs/>
          <w:i/>
          <w:iCs/>
          <w:color w:val="000000"/>
          <w:sz w:val="28"/>
          <w:szCs w:val="28"/>
        </w:rPr>
        <w:t>Section 2 — Perspective and context</w:t>
      </w:r>
    </w:p>
    <w:p w14:paraId="28B71887">
      <w:pPr>
        <w:pStyle w:val="16"/>
        <w:numPr>
          <w:ilvl w:val="0"/>
          <w:numId w:val="1"/>
        </w:numPr>
        <w:spacing w:after="0" w:line="360" w:lineRule="auto"/>
      </w:pPr>
      <w:r>
        <w:rPr>
          <w:rFonts w:ascii="Times New Roman" w:hAnsi="Times New Roman" w:eastAsia="Times New Roman" w:cs="Times New Roman"/>
          <w:sz w:val="24"/>
          <w:szCs w:val="24"/>
        </w:rPr>
        <w:t>3. What is your INFOSYS 704 problem domain, and what perspective does it give you on customer-facing process design?</w:t>
      </w:r>
    </w:p>
    <w:p w14:paraId="024C5CE8">
      <w:pPr>
        <w:pStyle w:val="16"/>
        <w:numPr>
          <w:ilvl w:val="0"/>
          <w:numId w:val="1"/>
        </w:numPr>
        <w:spacing w:after="0" w:line="360" w:lineRule="auto"/>
      </w:pPr>
      <w:r>
        <w:rPr>
          <w:rFonts w:ascii="Times New Roman" w:hAnsi="Times New Roman" w:eastAsia="Times New Roman" w:cs="Times New Roman"/>
          <w:sz w:val="24"/>
          <w:szCs w:val="24"/>
        </w:rPr>
        <w:t>4. Before this interview, how familiar were you with mobile-plan comparisons or annual plan reviews?</w:t>
      </w:r>
    </w:p>
    <w:p w14:paraId="3B2EC9A1">
      <w:pPr>
        <w:pStyle w:val="3"/>
        <w:spacing w:before="240" w:after="140" w:line="360" w:lineRule="auto"/>
        <w:outlineLvl w:val="1"/>
      </w:pPr>
      <w:r>
        <w:rPr>
          <w:rFonts w:ascii="Times New Roman" w:hAnsi="Times New Roman" w:eastAsia="Times New Roman" w:cs="Times New Roman"/>
          <w:b/>
          <w:bCs/>
          <w:i/>
          <w:iCs/>
          <w:color w:val="000000"/>
          <w:sz w:val="28"/>
          <w:szCs w:val="28"/>
        </w:rPr>
        <w:t>Section 3 — Understanding the AS-IS journey</w:t>
      </w:r>
    </w:p>
    <w:p w14:paraId="41E8DFF7">
      <w:pPr>
        <w:spacing w:after="0" w:line="360" w:lineRule="auto"/>
        <w:jc w:val="both"/>
      </w:pPr>
      <w:r>
        <w:rPr>
          <w:rFonts w:ascii="Times New Roman" w:hAnsi="Times New Roman" w:eastAsia="Times New Roman" w:cs="Times New Roman"/>
          <w:b/>
          <w:bCs/>
          <w:sz w:val="24"/>
          <w:szCs w:val="24"/>
        </w:rPr>
        <w:t>Scenario:</w:t>
      </w:r>
      <w:r>
        <w:rPr>
          <w:rFonts w:ascii="Times New Roman" w:hAnsi="Times New Roman" w:eastAsia="Times New Roman" w:cs="Times New Roman"/>
          <w:sz w:val="24"/>
          <w:szCs w:val="24"/>
        </w:rPr>
        <w:t xml:space="preserve"> a customer receives an annual mobile-plan summary. Historical usage/spend and a personalised stay-or-switch recommendation are not shown in the summary. If the customer wants detail, they follow a link and compare plans themselves.</w:t>
      </w:r>
    </w:p>
    <w:p w14:paraId="0247A6FF">
      <w:pPr>
        <w:pStyle w:val="16"/>
        <w:numPr>
          <w:ilvl w:val="0"/>
          <w:numId w:val="1"/>
        </w:numPr>
        <w:spacing w:after="0" w:line="360" w:lineRule="auto"/>
      </w:pPr>
      <w:r>
        <w:rPr>
          <w:rFonts w:ascii="Times New Roman" w:hAnsi="Times New Roman" w:eastAsia="Times New Roman" w:cs="Times New Roman"/>
          <w:sz w:val="24"/>
          <w:szCs w:val="24"/>
        </w:rPr>
        <w:t>5. In your own words, what would the customer need to do from receiving this summary to making a stay-or-change decision?</w:t>
      </w:r>
    </w:p>
    <w:p w14:paraId="3765906F">
      <w:pPr>
        <w:pStyle w:val="16"/>
        <w:numPr>
          <w:ilvl w:val="0"/>
          <w:numId w:val="1"/>
        </w:numPr>
        <w:spacing w:after="0" w:line="360" w:lineRule="auto"/>
      </w:pPr>
      <w:r>
        <w:rPr>
          <w:rFonts w:ascii="Times New Roman" w:hAnsi="Times New Roman" w:eastAsia="Times New Roman" w:cs="Times New Roman"/>
          <w:sz w:val="24"/>
          <w:szCs w:val="24"/>
        </w:rPr>
        <w:t>6. Which step, if any, appears most difficult or uncertain? Why?</w:t>
      </w:r>
    </w:p>
    <w:p w14:paraId="3A0C1D21">
      <w:pPr>
        <w:pStyle w:val="3"/>
        <w:spacing w:before="240" w:after="140" w:line="360" w:lineRule="auto"/>
        <w:outlineLvl w:val="1"/>
      </w:pPr>
      <w:r>
        <w:rPr>
          <w:rFonts w:ascii="Times New Roman" w:hAnsi="Times New Roman" w:eastAsia="Times New Roman" w:cs="Times New Roman"/>
          <w:b/>
          <w:bCs/>
          <w:i/>
          <w:iCs/>
          <w:color w:val="000000"/>
          <w:sz w:val="28"/>
          <w:szCs w:val="28"/>
        </w:rPr>
        <w:t>Section 4 — Information needs</w:t>
      </w:r>
    </w:p>
    <w:p w14:paraId="054CEBCE">
      <w:pPr>
        <w:pStyle w:val="16"/>
        <w:numPr>
          <w:ilvl w:val="0"/>
          <w:numId w:val="1"/>
        </w:numPr>
        <w:spacing w:after="0" w:line="360" w:lineRule="auto"/>
      </w:pPr>
      <w:r>
        <w:rPr>
          <w:rFonts w:ascii="Times New Roman" w:hAnsi="Times New Roman" w:eastAsia="Times New Roman" w:cs="Times New Roman"/>
          <w:sz w:val="24"/>
          <w:szCs w:val="24"/>
        </w:rPr>
        <w:t>7. What information would you need to judge whether your current mobile plan still fits you?</w:t>
      </w:r>
    </w:p>
    <w:p w14:paraId="3E4A7835">
      <w:pPr>
        <w:pStyle w:val="16"/>
        <w:numPr>
          <w:ilvl w:val="0"/>
          <w:numId w:val="1"/>
        </w:numPr>
        <w:spacing w:after="0" w:line="360" w:lineRule="auto"/>
      </w:pPr>
      <w:r>
        <w:rPr>
          <w:rFonts w:ascii="Times New Roman" w:hAnsi="Times New Roman" w:eastAsia="Times New Roman" w:cs="Times New Roman"/>
          <w:sz w:val="24"/>
          <w:szCs w:val="24"/>
        </w:rPr>
        <w:t>8. Which information should appear directly in the summary, and which could reasonably sit behind a link? Why?</w:t>
      </w:r>
    </w:p>
    <w:p w14:paraId="6C3C5AB0">
      <w:pPr>
        <w:pStyle w:val="3"/>
        <w:spacing w:before="240" w:after="140" w:line="360" w:lineRule="auto"/>
        <w:outlineLvl w:val="1"/>
      </w:pPr>
      <w:r>
        <w:rPr>
          <w:rFonts w:ascii="Times New Roman" w:hAnsi="Times New Roman" w:eastAsia="Times New Roman" w:cs="Times New Roman"/>
          <w:b/>
          <w:bCs/>
          <w:i/>
          <w:iCs/>
          <w:color w:val="000000"/>
          <w:sz w:val="28"/>
          <w:szCs w:val="28"/>
        </w:rPr>
        <w:t>Section 5 — Decision effort and navigation</w:t>
      </w:r>
    </w:p>
    <w:p w14:paraId="732C5882">
      <w:pPr>
        <w:pStyle w:val="16"/>
        <w:numPr>
          <w:ilvl w:val="0"/>
          <w:numId w:val="1"/>
        </w:numPr>
        <w:spacing w:after="0" w:line="360" w:lineRule="auto"/>
      </w:pPr>
      <w:r>
        <w:rPr>
          <w:rFonts w:ascii="Times New Roman" w:hAnsi="Times New Roman" w:eastAsia="Times New Roman" w:cs="Times New Roman"/>
          <w:sz w:val="24"/>
          <w:szCs w:val="24"/>
        </w:rPr>
        <w:t>9. How, if at all, would following a separate link affect your willingness or ability to complete the review?</w:t>
      </w:r>
    </w:p>
    <w:p w14:paraId="44714A09">
      <w:pPr>
        <w:pStyle w:val="16"/>
        <w:numPr>
          <w:ilvl w:val="0"/>
          <w:numId w:val="1"/>
        </w:numPr>
        <w:spacing w:after="0" w:line="360" w:lineRule="auto"/>
      </w:pPr>
      <w:r>
        <w:rPr>
          <w:rFonts w:ascii="Times New Roman" w:hAnsi="Times New Roman" w:eastAsia="Times New Roman" w:cs="Times New Roman"/>
          <w:sz w:val="24"/>
          <w:szCs w:val="24"/>
        </w:rPr>
        <w:t>10. What other factors might matter more than the extra navigation?</w:t>
      </w:r>
    </w:p>
    <w:p w14:paraId="23C23E0B">
      <w:pPr>
        <w:pStyle w:val="3"/>
        <w:spacing w:before="240" w:after="140" w:line="360" w:lineRule="auto"/>
        <w:outlineLvl w:val="1"/>
      </w:pPr>
      <w:r>
        <w:rPr>
          <w:rFonts w:ascii="Times New Roman" w:hAnsi="Times New Roman" w:eastAsia="Times New Roman" w:cs="Times New Roman"/>
          <w:b/>
          <w:bCs/>
          <w:i/>
          <w:iCs/>
          <w:color w:val="000000"/>
          <w:sz w:val="28"/>
          <w:szCs w:val="28"/>
        </w:rPr>
        <w:t>Section 6 — Personalised guidance, confidence, and trust</w:t>
      </w:r>
    </w:p>
    <w:p w14:paraId="304FF3A2">
      <w:pPr>
        <w:pStyle w:val="16"/>
        <w:numPr>
          <w:ilvl w:val="0"/>
          <w:numId w:val="1"/>
        </w:numPr>
        <w:spacing w:after="0" w:line="360" w:lineRule="auto"/>
      </w:pPr>
      <w:r>
        <w:rPr>
          <w:rFonts w:ascii="Times New Roman" w:hAnsi="Times New Roman" w:eastAsia="Times New Roman" w:cs="Times New Roman"/>
          <w:sz w:val="24"/>
          <w:szCs w:val="24"/>
        </w:rPr>
        <w:t>11. How would a personalised stay/change recommendation affect your decision process, if at all?</w:t>
      </w:r>
    </w:p>
    <w:p w14:paraId="1F536561">
      <w:pPr>
        <w:pStyle w:val="16"/>
        <w:numPr>
          <w:ilvl w:val="0"/>
          <w:numId w:val="1"/>
        </w:numPr>
        <w:spacing w:after="0" w:line="360" w:lineRule="auto"/>
      </w:pPr>
      <w:r>
        <w:rPr>
          <w:rFonts w:ascii="Times New Roman" w:hAnsi="Times New Roman" w:eastAsia="Times New Roman" w:cs="Times New Roman"/>
          <w:sz w:val="24"/>
          <w:szCs w:val="24"/>
        </w:rPr>
        <w:t>12. What evidence or explanation would make such a recommendation trustworthy?</w:t>
      </w:r>
    </w:p>
    <w:p w14:paraId="0D8C4B5E">
      <w:pPr>
        <w:pStyle w:val="16"/>
        <w:numPr>
          <w:ilvl w:val="0"/>
          <w:numId w:val="1"/>
        </w:numPr>
        <w:spacing w:after="0" w:line="360" w:lineRule="auto"/>
      </w:pPr>
      <w:r>
        <w:rPr>
          <w:rFonts w:ascii="Times New Roman" w:hAnsi="Times New Roman" w:eastAsia="Times New Roman" w:cs="Times New Roman"/>
          <w:sz w:val="24"/>
          <w:szCs w:val="24"/>
        </w:rPr>
        <w:t>13. What could make personalised guidance feel unfair, intrusive, or commercially biased?</w:t>
      </w:r>
    </w:p>
    <w:p w14:paraId="30236B2D">
      <w:pPr>
        <w:pStyle w:val="3"/>
        <w:spacing w:before="240" w:after="140" w:line="360" w:lineRule="auto"/>
        <w:outlineLvl w:val="1"/>
      </w:pPr>
      <w:r>
        <w:rPr>
          <w:rFonts w:ascii="Times New Roman" w:hAnsi="Times New Roman" w:eastAsia="Times New Roman" w:cs="Times New Roman"/>
          <w:b/>
          <w:bCs/>
          <w:i/>
          <w:iCs/>
          <w:color w:val="000000"/>
          <w:sz w:val="28"/>
          <w:szCs w:val="28"/>
        </w:rPr>
        <w:t>Section 7 — Organisational feasibility and controls</w:t>
      </w:r>
    </w:p>
    <w:p w14:paraId="08B7E94C">
      <w:pPr>
        <w:pStyle w:val="16"/>
        <w:numPr>
          <w:ilvl w:val="0"/>
          <w:numId w:val="1"/>
        </w:numPr>
        <w:spacing w:after="0" w:line="360" w:lineRule="auto"/>
      </w:pPr>
      <w:r>
        <w:rPr>
          <w:rFonts w:ascii="Times New Roman" w:hAnsi="Times New Roman" w:eastAsia="Times New Roman" w:cs="Times New Roman"/>
          <w:sz w:val="24"/>
          <w:szCs w:val="24"/>
        </w:rPr>
        <w:t>14. From an organisational perspective, what capabilities or responsibilities would be needed to provide embedded history and personalised guidance reliably?</w:t>
      </w:r>
    </w:p>
    <w:p w14:paraId="2D4555BA">
      <w:pPr>
        <w:pStyle w:val="16"/>
        <w:numPr>
          <w:ilvl w:val="0"/>
          <w:numId w:val="1"/>
        </w:numPr>
        <w:spacing w:after="0" w:line="360" w:lineRule="auto"/>
      </w:pPr>
      <w:r>
        <w:rPr>
          <w:rFonts w:ascii="Times New Roman" w:hAnsi="Times New Roman" w:eastAsia="Times New Roman" w:cs="Times New Roman"/>
          <w:sz w:val="24"/>
          <w:szCs w:val="24"/>
        </w:rPr>
        <w:t>15. What implementation risks, ownership gaps, staff impacts, privacy concerns, or governance controls should be considered?</w:t>
      </w:r>
    </w:p>
    <w:p w14:paraId="61026CBD">
      <w:pPr>
        <w:pStyle w:val="3"/>
        <w:spacing w:before="240" w:after="140" w:line="360" w:lineRule="auto"/>
        <w:outlineLvl w:val="1"/>
      </w:pPr>
      <w:r>
        <w:rPr>
          <w:rFonts w:ascii="Times New Roman" w:hAnsi="Times New Roman" w:eastAsia="Times New Roman" w:cs="Times New Roman"/>
          <w:b/>
          <w:bCs/>
          <w:i/>
          <w:iCs/>
          <w:color w:val="000000"/>
          <w:sz w:val="28"/>
          <w:szCs w:val="28"/>
        </w:rPr>
        <w:t>Section 8 — Outcomes and measurement</w:t>
      </w:r>
    </w:p>
    <w:p w14:paraId="4DB1B4D8">
      <w:pPr>
        <w:pStyle w:val="16"/>
        <w:numPr>
          <w:ilvl w:val="0"/>
          <w:numId w:val="1"/>
        </w:numPr>
        <w:spacing w:after="0" w:line="360" w:lineRule="auto"/>
      </w:pPr>
      <w:r>
        <w:rPr>
          <w:rFonts w:ascii="Times New Roman" w:hAnsi="Times New Roman" w:eastAsia="Times New Roman" w:cs="Times New Roman"/>
          <w:sz w:val="24"/>
          <w:szCs w:val="24"/>
        </w:rPr>
        <w:t>16. What observable outcome would best show that the redesigned journey helped customers make a better decision?</w:t>
      </w:r>
    </w:p>
    <w:p w14:paraId="4CBF0BA9">
      <w:pPr>
        <w:pStyle w:val="16"/>
        <w:numPr>
          <w:ilvl w:val="0"/>
          <w:numId w:val="1"/>
        </w:numPr>
        <w:spacing w:after="0" w:line="360" w:lineRule="auto"/>
      </w:pPr>
      <w:r>
        <w:rPr>
          <w:rFonts w:ascii="Times New Roman" w:hAnsi="Times New Roman" w:eastAsia="Times New Roman" w:cs="Times New Roman"/>
          <w:sz w:val="24"/>
          <w:szCs w:val="24"/>
        </w:rPr>
        <w:t>17. Besides completion, what measure should prevent Spark from declaring success too early?</w:t>
      </w:r>
    </w:p>
    <w:p w14:paraId="72DF39A9">
      <w:pPr>
        <w:pStyle w:val="3"/>
        <w:spacing w:before="240" w:after="140" w:line="360" w:lineRule="auto"/>
        <w:outlineLvl w:val="1"/>
      </w:pPr>
      <w:r>
        <w:rPr>
          <w:rFonts w:ascii="Times New Roman" w:hAnsi="Times New Roman" w:eastAsia="Times New Roman" w:cs="Times New Roman"/>
          <w:b/>
          <w:bCs/>
          <w:i/>
          <w:iCs/>
          <w:color w:val="000000"/>
          <w:sz w:val="28"/>
          <w:szCs w:val="28"/>
        </w:rPr>
        <w:t>Section 9 — Hypothesis challenge and alternatives</w:t>
      </w:r>
    </w:p>
    <w:p w14:paraId="2173A688">
      <w:pPr>
        <w:pStyle w:val="16"/>
        <w:numPr>
          <w:ilvl w:val="0"/>
          <w:numId w:val="1"/>
        </w:numPr>
        <w:spacing w:after="0" w:line="360" w:lineRule="auto"/>
      </w:pPr>
      <w:r>
        <w:rPr>
          <w:rFonts w:ascii="Times New Roman" w:hAnsi="Times New Roman" w:eastAsia="Times New Roman" w:cs="Times New Roman"/>
          <w:sz w:val="24"/>
          <w:szCs w:val="24"/>
        </w:rPr>
        <w:t>18. The working hypothesis is that missing embedded history and personalised guidance materially increase plan-choice difficulty. What evidence supports this explanation?</w:t>
      </w:r>
    </w:p>
    <w:p w14:paraId="49281706">
      <w:pPr>
        <w:pStyle w:val="16"/>
        <w:numPr>
          <w:ilvl w:val="0"/>
          <w:numId w:val="1"/>
        </w:numPr>
        <w:spacing w:after="0" w:line="360" w:lineRule="auto"/>
      </w:pPr>
      <w:r>
        <w:rPr>
          <w:rFonts w:ascii="Times New Roman" w:hAnsi="Times New Roman" w:eastAsia="Times New Roman" w:cs="Times New Roman"/>
          <w:sz w:val="24"/>
          <w:szCs w:val="24"/>
        </w:rPr>
        <w:t>19. What evidence or alternative explanation could disprove it?</w:t>
      </w:r>
    </w:p>
    <w:p w14:paraId="7346EA4E">
      <w:pPr>
        <w:pStyle w:val="16"/>
        <w:numPr>
          <w:ilvl w:val="0"/>
          <w:numId w:val="1"/>
        </w:numPr>
        <w:spacing w:after="0" w:line="360" w:lineRule="auto"/>
      </w:pPr>
      <w:r>
        <w:rPr>
          <w:rFonts w:ascii="Times New Roman" w:hAnsi="Times New Roman" w:eastAsia="Times New Roman" w:cs="Times New Roman"/>
          <w:sz w:val="24"/>
          <w:szCs w:val="24"/>
        </w:rPr>
        <w:t>20. If only one change could be tested first, what should it be and why?</w:t>
      </w:r>
    </w:p>
    <w:p w14:paraId="67E5FAF1">
      <w:pPr>
        <w:pStyle w:val="3"/>
        <w:spacing w:before="240" w:after="140" w:line="360" w:lineRule="auto"/>
        <w:outlineLvl w:val="1"/>
      </w:pPr>
      <w:r>
        <w:rPr>
          <w:rFonts w:ascii="Times New Roman" w:hAnsi="Times New Roman" w:eastAsia="Times New Roman" w:cs="Times New Roman"/>
          <w:b/>
          <w:bCs/>
          <w:i/>
          <w:iCs/>
          <w:color w:val="000000"/>
          <w:sz w:val="28"/>
          <w:szCs w:val="28"/>
        </w:rPr>
        <w:t>Section 10 — Closing and prioritisation</w:t>
      </w:r>
    </w:p>
    <w:p w14:paraId="1F788699">
      <w:pPr>
        <w:pStyle w:val="16"/>
        <w:numPr>
          <w:ilvl w:val="0"/>
          <w:numId w:val="1"/>
        </w:numPr>
        <w:spacing w:after="0" w:line="360" w:lineRule="auto"/>
      </w:pPr>
      <w:r>
        <w:rPr>
          <w:rFonts w:ascii="Times New Roman" w:hAnsi="Times New Roman" w:eastAsia="Times New Roman" w:cs="Times New Roman"/>
          <w:sz w:val="24"/>
          <w:szCs w:val="24"/>
        </w:rPr>
        <w:t>21. On a scale from 1 (not material) to 5 (highly material), how material is the identified information/guidance gap? Please explain the rating.</w:t>
      </w:r>
    </w:p>
    <w:p w14:paraId="3B189E99">
      <w:pPr>
        <w:pStyle w:val="16"/>
        <w:numPr>
          <w:ilvl w:val="0"/>
          <w:numId w:val="1"/>
        </w:numPr>
        <w:spacing w:after="0" w:line="360" w:lineRule="auto"/>
      </w:pPr>
      <w:r>
        <w:rPr>
          <w:rFonts w:ascii="Times New Roman" w:hAnsi="Times New Roman" w:eastAsia="Times New Roman" w:cs="Times New Roman"/>
          <w:sz w:val="24"/>
          <w:szCs w:val="24"/>
        </w:rPr>
        <w:t>22. Is there anything important I did not ask?</w:t>
      </w:r>
    </w:p>
    <w:p w14:paraId="68E5BB33">
      <w:pPr>
        <w:spacing w:after="0" w:line="360" w:lineRule="auto"/>
        <w:jc w:val="both"/>
      </w:pPr>
      <w:r>
        <w:rPr>
          <w:rFonts w:ascii="Times New Roman" w:hAnsi="Times New Roman" w:eastAsia="Times New Roman" w:cs="Times New Roman"/>
          <w:b/>
          <w:bCs/>
          <w:sz w:val="24"/>
          <w:szCs w:val="24"/>
        </w:rPr>
        <w:t>Neutral probes used where clarification was needed:</w:t>
      </w:r>
      <w:r>
        <w:rPr>
          <w:rFonts w:ascii="Times New Roman" w:hAnsi="Times New Roman" w:eastAsia="Times New Roman" w:cs="Times New Roman"/>
          <w:sz w:val="24"/>
          <w:szCs w:val="24"/>
        </w:rPr>
        <w:t xml:space="preserve"> Could you give a concrete example? What leads you to that view? Under what circumstances would that not be true? Is that based on the scenario, your experience, or an assumption? What evidence would change your mind?</w:t>
      </w:r>
    </w:p>
    <w:p w14:paraId="4075F2F9">
      <w:pPr>
        <w:pStyle w:val="2"/>
        <w:spacing w:before="320" w:after="160" w:line="360" w:lineRule="auto"/>
        <w:outlineLvl w:val="0"/>
      </w:pPr>
      <w:r>
        <w:rPr>
          <w:rFonts w:ascii="Times New Roman" w:hAnsi="Times New Roman" w:eastAsia="Times New Roman" w:cs="Times New Roman"/>
          <w:b/>
          <w:bCs/>
          <w:color w:val="000000"/>
          <w:sz w:val="28"/>
          <w:szCs w:val="28"/>
        </w:rPr>
        <w:t>6. Interview Results and Interpretation</w:t>
      </w:r>
    </w:p>
    <w:p w14:paraId="6EA967DF">
      <w:pPr>
        <w:pStyle w:val="3"/>
        <w:spacing w:before="240" w:after="140" w:line="360" w:lineRule="auto"/>
        <w:outlineLvl w:val="1"/>
      </w:pPr>
      <w:r>
        <w:rPr>
          <w:rFonts w:ascii="Times New Roman" w:hAnsi="Times New Roman" w:eastAsia="Times New Roman" w:cs="Times New Roman"/>
          <w:b/>
          <w:bCs/>
          <w:i/>
          <w:iCs/>
          <w:color w:val="000000"/>
          <w:sz w:val="28"/>
          <w:szCs w:val="28"/>
        </w:rPr>
        <w:t>6.1 Evidence and method</w:t>
      </w:r>
    </w:p>
    <w:p w14:paraId="3FFCF623">
      <w:pPr>
        <w:spacing w:after="0" w:line="360" w:lineRule="auto"/>
        <w:jc w:val="both"/>
      </w:pPr>
      <w:r>
        <w:rPr>
          <w:rFonts w:ascii="Times New Roman" w:hAnsi="Times New Roman" w:eastAsia="Times New Roman" w:cs="Times New Roman"/>
          <w:sz w:val="24"/>
          <w:szCs w:val="24"/>
        </w:rPr>
        <w:t>The same 10-section, 22-question semi-structured guide was used for two interviews. Xuan Zeng responded as a group mate working in the Organisational domain (full transcript, Appendix B). A separate GenAI interview responded from a consumer-decision and service-analytics perspective in an isolated context that did not contain Xuan's transcript (full transcript, Appendix C). Both respondents were told that the scenario was not evidence of Spark's internal operations. The transcripts were coded against the pre-defined themes of information completeness, navigation effort, comparison difficulty, confidence, trust, organisational feasibility, counterevidence and KPI implications. Emergent themes were ownership, incentive alignment, future-usage uncertainty, plan comparability and segment variation.</w:t>
      </w:r>
    </w:p>
    <w:p w14:paraId="3F2D3154">
      <w:pPr>
        <w:pStyle w:val="3"/>
        <w:spacing w:before="240" w:after="140" w:line="360" w:lineRule="auto"/>
        <w:outlineLvl w:val="1"/>
      </w:pPr>
      <w:r>
        <w:rPr>
          <w:rFonts w:ascii="Times New Roman" w:hAnsi="Times New Roman" w:eastAsia="Times New Roman" w:cs="Times New Roman"/>
          <w:b/>
          <w:bCs/>
          <w:i/>
          <w:iCs/>
          <w:color w:val="000000"/>
          <w:sz w:val="28"/>
          <w:szCs w:val="28"/>
        </w:rPr>
        <w:t>6.2 Cross-interview findings</w:t>
      </w:r>
    </w:p>
    <w:p w14:paraId="37015FE9">
      <w:pPr>
        <w:keepNext/>
        <w:spacing w:after="80" w:line="240" w:lineRule="auto"/>
      </w:pPr>
      <w:r>
        <w:rPr>
          <w:rFonts w:ascii="Times New Roman" w:hAnsi="Times New Roman" w:eastAsia="Times New Roman"/>
          <w:sz w:val="22"/>
        </w:rPr>
        <w:t>Table 3 assesses convergence specifically against priority hypothesis H2. It separates agreement, qualification and rival explanations so that triangulation is not confused with the more detailed interview summary in Table 4.</w:t>
      </w:r>
    </w:p>
    <w:p w14:paraId="204FEBF2">
      <w:pPr>
        <w:keepNext/>
        <w:spacing w:before="80" w:after="80" w:line="240" w:lineRule="auto"/>
        <w:jc w:val="center"/>
      </w:pPr>
      <w:r>
        <w:rPr>
          <w:rFonts w:ascii="Times New Roman" w:hAnsi="Times New Roman" w:eastAsia="Times New Roman"/>
          <w:b/>
          <w:sz w:val="22"/>
        </w:rPr>
        <w:t>Table 3. Evidence-convergence matrix for priority hypothesis H2.</w:t>
      </w:r>
    </w:p>
    <w:tbl>
      <w:tblPr>
        <w:tblStyle w:val="11"/>
        <w:tblW w:w="0" w:type="auto"/>
        <w:jc w:val="center"/>
        <w:tblBorders>
          <w:top w:val="single" w:color="AAB4BF" w:sz="6" w:space="0"/>
          <w:left w:val="single" w:color="AAB4BF" w:sz="6" w:space="0"/>
          <w:bottom w:val="single" w:color="AAB4BF" w:sz="6" w:space="0"/>
          <w:right w:val="single" w:color="AAB4BF" w:sz="6" w:space="0"/>
          <w:insideH w:val="single" w:color="AAB4BF" w:sz="6" w:space="0"/>
          <w:insideV w:val="single" w:color="AAB4BF" w:sz="6" w:space="0"/>
        </w:tblBorders>
        <w:tblLayout w:type="fixed"/>
        <w:tblCellMar>
          <w:top w:w="0" w:type="dxa"/>
          <w:left w:w="108" w:type="dxa"/>
          <w:bottom w:w="0" w:type="dxa"/>
          <w:right w:w="108" w:type="dxa"/>
        </w:tblCellMar>
      </w:tblPr>
      <w:tblGrid>
        <w:gridCol w:w="1901"/>
        <w:gridCol w:w="1901"/>
        <w:gridCol w:w="1901"/>
        <w:gridCol w:w="1901"/>
        <w:gridCol w:w="1901"/>
      </w:tblGrid>
      <w:tr w14:paraId="0716694F">
        <w:trPr>
          <w:cantSplit/>
          <w:tblHeader/>
          <w:jc w:val="center"/>
        </w:trPr>
        <w:tc>
          <w:tcPr>
            <w:tcW w:w="1800" w:type="dxa"/>
            <w:shd w:val="clear" w:color="auto" w:fill="17365D"/>
            <w:tcMar>
              <w:top w:w="70" w:type="dxa"/>
              <w:left w:w="85" w:type="dxa"/>
              <w:bottom w:w="70" w:type="dxa"/>
              <w:right w:w="85" w:type="dxa"/>
            </w:tcMar>
            <w:vAlign w:val="center"/>
          </w:tcPr>
          <w:p w14:paraId="6F60FA0B">
            <w:pPr>
              <w:spacing w:before="0" w:after="0" w:line="240" w:lineRule="auto"/>
              <w:jc w:val="left"/>
            </w:pPr>
            <w:r>
              <w:rPr>
                <w:rFonts w:ascii="Times New Roman" w:hAnsi="Times New Roman" w:eastAsia="Times New Roman"/>
                <w:b/>
                <w:color w:val="FFFFFF"/>
                <w:sz w:val="20"/>
              </w:rPr>
              <w:t>H2 component</w:t>
            </w:r>
          </w:p>
        </w:tc>
        <w:tc>
          <w:tcPr>
            <w:tcW w:w="1296" w:type="dxa"/>
            <w:shd w:val="clear" w:color="auto" w:fill="17365D"/>
            <w:tcMar>
              <w:top w:w="70" w:type="dxa"/>
              <w:left w:w="85" w:type="dxa"/>
              <w:bottom w:w="70" w:type="dxa"/>
              <w:right w:w="85" w:type="dxa"/>
            </w:tcMar>
            <w:vAlign w:val="center"/>
          </w:tcPr>
          <w:p w14:paraId="43F340A4">
            <w:pPr>
              <w:spacing w:before="0" w:after="0" w:line="240" w:lineRule="auto"/>
              <w:jc w:val="left"/>
            </w:pPr>
            <w:r>
              <w:rPr>
                <w:rFonts w:ascii="Times New Roman" w:hAnsi="Times New Roman" w:eastAsia="Times New Roman"/>
                <w:b/>
                <w:color w:val="FFFFFF"/>
                <w:sz w:val="20"/>
              </w:rPr>
              <w:t>Xuan Zeng</w:t>
            </w:r>
          </w:p>
        </w:tc>
        <w:tc>
          <w:tcPr>
            <w:tcW w:w="1512" w:type="dxa"/>
            <w:shd w:val="clear" w:color="auto" w:fill="17365D"/>
            <w:tcMar>
              <w:top w:w="70" w:type="dxa"/>
              <w:left w:w="85" w:type="dxa"/>
              <w:bottom w:w="70" w:type="dxa"/>
              <w:right w:w="85" w:type="dxa"/>
            </w:tcMar>
            <w:vAlign w:val="center"/>
          </w:tcPr>
          <w:p w14:paraId="0E8A5434">
            <w:pPr>
              <w:spacing w:before="0" w:after="0" w:line="240" w:lineRule="auto"/>
              <w:jc w:val="left"/>
            </w:pPr>
            <w:r>
              <w:rPr>
                <w:rFonts w:ascii="Times New Roman" w:hAnsi="Times New Roman" w:eastAsia="Times New Roman"/>
                <w:b/>
                <w:color w:val="FFFFFF"/>
                <w:sz w:val="20"/>
              </w:rPr>
              <w:t>Independent GenAI</w:t>
            </w:r>
          </w:p>
        </w:tc>
        <w:tc>
          <w:tcPr>
            <w:tcW w:w="1655" w:type="dxa"/>
            <w:shd w:val="clear" w:color="auto" w:fill="17365D"/>
            <w:tcMar>
              <w:top w:w="70" w:type="dxa"/>
              <w:left w:w="85" w:type="dxa"/>
              <w:bottom w:w="70" w:type="dxa"/>
              <w:right w:w="85" w:type="dxa"/>
            </w:tcMar>
            <w:vAlign w:val="center"/>
          </w:tcPr>
          <w:p w14:paraId="50D9493A">
            <w:pPr>
              <w:spacing w:before="0" w:after="0" w:line="240" w:lineRule="auto"/>
              <w:jc w:val="left"/>
            </w:pPr>
            <w:r>
              <w:rPr>
                <w:rFonts w:ascii="Times New Roman" w:hAnsi="Times New Roman" w:eastAsia="Times New Roman"/>
                <w:b/>
                <w:color w:val="FFFFFF"/>
                <w:sz w:val="20"/>
              </w:rPr>
              <w:t>Convergence judgement</w:t>
            </w:r>
          </w:p>
        </w:tc>
        <w:tc>
          <w:tcPr>
            <w:tcW w:w="3096" w:type="dxa"/>
            <w:shd w:val="clear" w:color="auto" w:fill="17365D"/>
            <w:tcMar>
              <w:top w:w="70" w:type="dxa"/>
              <w:left w:w="85" w:type="dxa"/>
              <w:bottom w:w="70" w:type="dxa"/>
              <w:right w:w="85" w:type="dxa"/>
            </w:tcMar>
            <w:vAlign w:val="center"/>
          </w:tcPr>
          <w:p w14:paraId="51F24CF5">
            <w:pPr>
              <w:spacing w:before="0" w:after="0" w:line="240" w:lineRule="auto"/>
              <w:jc w:val="left"/>
            </w:pPr>
            <w:r>
              <w:rPr>
                <w:rFonts w:ascii="Times New Roman" w:hAnsi="Times New Roman" w:eastAsia="Times New Roman"/>
                <w:b/>
                <w:color w:val="FFFFFF"/>
                <w:sz w:val="20"/>
              </w:rPr>
              <w:t>Analytical implication</w:t>
            </w:r>
          </w:p>
        </w:tc>
      </w:tr>
      <w:tr w14:paraId="70B92BBE">
        <w:trPr>
          <w:cantSplit/>
          <w:jc w:val="center"/>
        </w:trPr>
        <w:tc>
          <w:tcPr>
            <w:tcW w:w="1800" w:type="dxa"/>
            <w:tcMar>
              <w:top w:w="70" w:type="dxa"/>
              <w:left w:w="85" w:type="dxa"/>
              <w:bottom w:w="70" w:type="dxa"/>
              <w:right w:w="85" w:type="dxa"/>
            </w:tcMar>
            <w:vAlign w:val="center"/>
          </w:tcPr>
          <w:p w14:paraId="064C1609">
            <w:pPr>
              <w:spacing w:before="0" w:after="0" w:line="240" w:lineRule="auto"/>
              <w:jc w:val="left"/>
            </w:pPr>
            <w:r>
              <w:rPr>
                <w:rFonts w:ascii="Times New Roman" w:hAnsi="Times New Roman" w:eastAsia="Times New Roman"/>
                <w:sz w:val="20"/>
              </w:rPr>
              <w:t>Decision burden is material</w:t>
            </w:r>
          </w:p>
        </w:tc>
        <w:tc>
          <w:tcPr>
            <w:tcW w:w="1296" w:type="dxa"/>
            <w:tcMar>
              <w:top w:w="70" w:type="dxa"/>
              <w:left w:w="85" w:type="dxa"/>
              <w:bottom w:w="70" w:type="dxa"/>
              <w:right w:w="85" w:type="dxa"/>
            </w:tcMar>
            <w:vAlign w:val="center"/>
          </w:tcPr>
          <w:p w14:paraId="4914C3DE">
            <w:pPr>
              <w:spacing w:before="0" w:after="0" w:line="240" w:lineRule="auto"/>
              <w:jc w:val="left"/>
            </w:pPr>
            <w:r>
              <w:rPr>
                <w:rFonts w:ascii="Times New Roman" w:hAnsi="Times New Roman" w:eastAsia="Times New Roman"/>
                <w:sz w:val="20"/>
              </w:rPr>
              <w:t>Supports</w:t>
            </w:r>
          </w:p>
        </w:tc>
        <w:tc>
          <w:tcPr>
            <w:tcW w:w="1512" w:type="dxa"/>
            <w:tcMar>
              <w:top w:w="70" w:type="dxa"/>
              <w:left w:w="85" w:type="dxa"/>
              <w:bottom w:w="70" w:type="dxa"/>
              <w:right w:w="85" w:type="dxa"/>
            </w:tcMar>
            <w:vAlign w:val="center"/>
          </w:tcPr>
          <w:p w14:paraId="58C1D207">
            <w:pPr>
              <w:spacing w:before="0" w:after="0" w:line="240" w:lineRule="auto"/>
              <w:jc w:val="left"/>
            </w:pPr>
            <w:r>
              <w:rPr>
                <w:rFonts w:ascii="Times New Roman" w:hAnsi="Times New Roman" w:eastAsia="Times New Roman"/>
                <w:sz w:val="20"/>
              </w:rPr>
              <w:t>Supports</w:t>
            </w:r>
          </w:p>
        </w:tc>
        <w:tc>
          <w:tcPr>
            <w:tcW w:w="1655" w:type="dxa"/>
            <w:tcMar>
              <w:top w:w="70" w:type="dxa"/>
              <w:left w:w="85" w:type="dxa"/>
              <w:bottom w:w="70" w:type="dxa"/>
              <w:right w:w="85" w:type="dxa"/>
            </w:tcMar>
            <w:vAlign w:val="center"/>
          </w:tcPr>
          <w:p w14:paraId="6E57EB02">
            <w:pPr>
              <w:spacing w:before="0" w:after="0" w:line="240" w:lineRule="auto"/>
              <w:jc w:val="left"/>
            </w:pPr>
            <w:r>
              <w:rPr>
                <w:rFonts w:ascii="Times New Roman" w:hAnsi="Times New Roman" w:eastAsia="Times New Roman"/>
                <w:sz w:val="20"/>
              </w:rPr>
              <w:t>Strong</w:t>
            </w:r>
          </w:p>
        </w:tc>
        <w:tc>
          <w:tcPr>
            <w:tcW w:w="3096" w:type="dxa"/>
            <w:tcMar>
              <w:top w:w="70" w:type="dxa"/>
              <w:left w:w="85" w:type="dxa"/>
              <w:bottom w:w="70" w:type="dxa"/>
              <w:right w:w="85" w:type="dxa"/>
            </w:tcMar>
            <w:vAlign w:val="center"/>
          </w:tcPr>
          <w:p w14:paraId="75F29F6B">
            <w:pPr>
              <w:spacing w:before="0" w:after="0" w:line="240" w:lineRule="auto"/>
              <w:jc w:val="left"/>
            </w:pPr>
            <w:r>
              <w:rPr>
                <w:rFonts w:ascii="Times New Roman" w:hAnsi="Times New Roman" w:eastAsia="Times New Roman"/>
                <w:sz w:val="20"/>
              </w:rPr>
              <w:t>Retain H2 as the priority hypothesis.</w:t>
            </w:r>
          </w:p>
        </w:tc>
      </w:tr>
      <w:tr w14:paraId="5D9B58E4">
        <w:trPr>
          <w:cantSplit/>
          <w:jc w:val="center"/>
        </w:trPr>
        <w:tc>
          <w:tcPr>
            <w:tcW w:w="1800" w:type="dxa"/>
            <w:shd w:val="clear" w:color="auto" w:fill="EAF2F8"/>
            <w:tcMar>
              <w:top w:w="70" w:type="dxa"/>
              <w:left w:w="85" w:type="dxa"/>
              <w:bottom w:w="70" w:type="dxa"/>
              <w:right w:w="85" w:type="dxa"/>
            </w:tcMar>
            <w:vAlign w:val="center"/>
          </w:tcPr>
          <w:p w14:paraId="58FBB05A">
            <w:pPr>
              <w:spacing w:before="0" w:after="0" w:line="240" w:lineRule="auto"/>
              <w:jc w:val="left"/>
            </w:pPr>
            <w:r>
              <w:rPr>
                <w:rFonts w:ascii="Times New Roman" w:hAnsi="Times New Roman" w:eastAsia="Times New Roman"/>
                <w:sz w:val="20"/>
              </w:rPr>
              <w:t>Separate link is the main cause</w:t>
            </w:r>
          </w:p>
        </w:tc>
        <w:tc>
          <w:tcPr>
            <w:tcW w:w="1296" w:type="dxa"/>
            <w:shd w:val="clear" w:color="auto" w:fill="EAF2F8"/>
            <w:tcMar>
              <w:top w:w="70" w:type="dxa"/>
              <w:left w:w="85" w:type="dxa"/>
              <w:bottom w:w="70" w:type="dxa"/>
              <w:right w:w="85" w:type="dxa"/>
            </w:tcMar>
            <w:vAlign w:val="center"/>
          </w:tcPr>
          <w:p w14:paraId="01011D9D">
            <w:pPr>
              <w:spacing w:before="0" w:after="0" w:line="240" w:lineRule="auto"/>
              <w:jc w:val="left"/>
            </w:pPr>
            <w:r>
              <w:rPr>
                <w:rFonts w:ascii="Times New Roman" w:hAnsi="Times New Roman" w:eastAsia="Times New Roman"/>
                <w:sz w:val="20"/>
              </w:rPr>
              <w:t>Qualified support</w:t>
            </w:r>
          </w:p>
        </w:tc>
        <w:tc>
          <w:tcPr>
            <w:tcW w:w="1512" w:type="dxa"/>
            <w:shd w:val="clear" w:color="auto" w:fill="EAF2F8"/>
            <w:tcMar>
              <w:top w:w="70" w:type="dxa"/>
              <w:left w:w="85" w:type="dxa"/>
              <w:bottom w:w="70" w:type="dxa"/>
              <w:right w:w="85" w:type="dxa"/>
            </w:tcMar>
            <w:vAlign w:val="center"/>
          </w:tcPr>
          <w:p w14:paraId="30292C2D">
            <w:pPr>
              <w:spacing w:before="0" w:after="0" w:line="240" w:lineRule="auto"/>
              <w:jc w:val="left"/>
            </w:pPr>
            <w:r>
              <w:rPr>
                <w:rFonts w:ascii="Times New Roman" w:hAnsi="Times New Roman" w:eastAsia="Times New Roman"/>
                <w:sz w:val="20"/>
              </w:rPr>
              <w:t>Qualified support</w:t>
            </w:r>
          </w:p>
        </w:tc>
        <w:tc>
          <w:tcPr>
            <w:tcW w:w="1655" w:type="dxa"/>
            <w:shd w:val="clear" w:color="auto" w:fill="EAF2F8"/>
            <w:tcMar>
              <w:top w:w="70" w:type="dxa"/>
              <w:left w:w="85" w:type="dxa"/>
              <w:bottom w:w="70" w:type="dxa"/>
              <w:right w:w="85" w:type="dxa"/>
            </w:tcMar>
            <w:vAlign w:val="center"/>
          </w:tcPr>
          <w:p w14:paraId="2FAECC73">
            <w:pPr>
              <w:spacing w:before="0" w:after="0" w:line="240" w:lineRule="auto"/>
              <w:jc w:val="left"/>
            </w:pPr>
            <w:r>
              <w:rPr>
                <w:rFonts w:ascii="Times New Roman" w:hAnsi="Times New Roman" w:eastAsia="Times New Roman"/>
                <w:sz w:val="20"/>
              </w:rPr>
              <w:t>Conditional</w:t>
            </w:r>
          </w:p>
        </w:tc>
        <w:tc>
          <w:tcPr>
            <w:tcW w:w="3096" w:type="dxa"/>
            <w:shd w:val="clear" w:color="auto" w:fill="EAF2F8"/>
            <w:tcMar>
              <w:top w:w="70" w:type="dxa"/>
              <w:left w:w="85" w:type="dxa"/>
              <w:bottom w:w="70" w:type="dxa"/>
              <w:right w:w="85" w:type="dxa"/>
            </w:tcMar>
            <w:vAlign w:val="center"/>
          </w:tcPr>
          <w:p w14:paraId="4452E2B7">
            <w:pPr>
              <w:spacing w:before="0" w:after="0" w:line="240" w:lineRule="auto"/>
              <w:jc w:val="left"/>
            </w:pPr>
            <w:r>
              <w:rPr>
                <w:rFonts w:ascii="Times New Roman" w:hAnsi="Times New Roman" w:eastAsia="Times New Roman"/>
                <w:sz w:val="20"/>
              </w:rPr>
              <w:t>Treat the link as a contributing mechanism, not the sole cause.</w:t>
            </w:r>
          </w:p>
        </w:tc>
      </w:tr>
      <w:tr w14:paraId="0F7ECEA1">
        <w:trPr>
          <w:cantSplit/>
          <w:jc w:val="center"/>
        </w:trPr>
        <w:tc>
          <w:tcPr>
            <w:tcW w:w="1800" w:type="dxa"/>
            <w:tcMar>
              <w:top w:w="70" w:type="dxa"/>
              <w:left w:w="85" w:type="dxa"/>
              <w:bottom w:w="70" w:type="dxa"/>
              <w:right w:w="85" w:type="dxa"/>
            </w:tcMar>
            <w:vAlign w:val="center"/>
          </w:tcPr>
          <w:p w14:paraId="6A29C37E">
            <w:pPr>
              <w:spacing w:before="0" w:after="0" w:line="240" w:lineRule="auto"/>
              <w:jc w:val="left"/>
            </w:pPr>
            <w:r>
              <w:rPr>
                <w:rFonts w:ascii="Times New Roman" w:hAnsi="Times New Roman" w:eastAsia="Times New Roman"/>
                <w:sz w:val="20"/>
              </w:rPr>
              <w:t>Embedded 12-month snapshot should be tested first</w:t>
            </w:r>
          </w:p>
        </w:tc>
        <w:tc>
          <w:tcPr>
            <w:tcW w:w="1296" w:type="dxa"/>
            <w:tcMar>
              <w:top w:w="70" w:type="dxa"/>
              <w:left w:w="85" w:type="dxa"/>
              <w:bottom w:w="70" w:type="dxa"/>
              <w:right w:w="85" w:type="dxa"/>
            </w:tcMar>
            <w:vAlign w:val="center"/>
          </w:tcPr>
          <w:p w14:paraId="5EC3CF2B">
            <w:pPr>
              <w:spacing w:before="0" w:after="0" w:line="240" w:lineRule="auto"/>
              <w:jc w:val="left"/>
            </w:pPr>
            <w:r>
              <w:rPr>
                <w:rFonts w:ascii="Times New Roman" w:hAnsi="Times New Roman" w:eastAsia="Times New Roman"/>
                <w:sz w:val="20"/>
              </w:rPr>
              <w:t>Supports</w:t>
            </w:r>
          </w:p>
        </w:tc>
        <w:tc>
          <w:tcPr>
            <w:tcW w:w="1512" w:type="dxa"/>
            <w:tcMar>
              <w:top w:w="70" w:type="dxa"/>
              <w:left w:w="85" w:type="dxa"/>
              <w:bottom w:w="70" w:type="dxa"/>
              <w:right w:w="85" w:type="dxa"/>
            </w:tcMar>
            <w:vAlign w:val="center"/>
          </w:tcPr>
          <w:p w14:paraId="749583B6">
            <w:pPr>
              <w:spacing w:before="0" w:after="0" w:line="240" w:lineRule="auto"/>
              <w:jc w:val="left"/>
            </w:pPr>
            <w:r>
              <w:rPr>
                <w:rFonts w:ascii="Times New Roman" w:hAnsi="Times New Roman" w:eastAsia="Times New Roman"/>
                <w:sz w:val="20"/>
              </w:rPr>
              <w:t>Supports</w:t>
            </w:r>
          </w:p>
        </w:tc>
        <w:tc>
          <w:tcPr>
            <w:tcW w:w="1655" w:type="dxa"/>
            <w:tcMar>
              <w:top w:w="70" w:type="dxa"/>
              <w:left w:w="85" w:type="dxa"/>
              <w:bottom w:w="70" w:type="dxa"/>
              <w:right w:w="85" w:type="dxa"/>
            </w:tcMar>
            <w:vAlign w:val="center"/>
          </w:tcPr>
          <w:p w14:paraId="16C70579">
            <w:pPr>
              <w:spacing w:before="0" w:after="0" w:line="240" w:lineRule="auto"/>
              <w:jc w:val="left"/>
            </w:pPr>
            <w:r>
              <w:rPr>
                <w:rFonts w:ascii="Times New Roman" w:hAnsi="Times New Roman" w:eastAsia="Times New Roman"/>
                <w:sz w:val="20"/>
              </w:rPr>
              <w:t>Strong</w:t>
            </w:r>
          </w:p>
        </w:tc>
        <w:tc>
          <w:tcPr>
            <w:tcW w:w="3096" w:type="dxa"/>
            <w:tcMar>
              <w:top w:w="70" w:type="dxa"/>
              <w:left w:w="85" w:type="dxa"/>
              <w:bottom w:w="70" w:type="dxa"/>
              <w:right w:w="85" w:type="dxa"/>
            </w:tcMar>
            <w:vAlign w:val="center"/>
          </w:tcPr>
          <w:p w14:paraId="4C083895">
            <w:pPr>
              <w:spacing w:before="0" w:after="0" w:line="240" w:lineRule="auto"/>
              <w:jc w:val="left"/>
            </w:pPr>
            <w:r>
              <w:rPr>
                <w:rFonts w:ascii="Times New Roman" w:hAnsi="Times New Roman" w:eastAsia="Times New Roman"/>
                <w:sz w:val="20"/>
              </w:rPr>
              <w:t>Proceed to an information-first controlled pilot.</w:t>
            </w:r>
          </w:p>
        </w:tc>
      </w:tr>
      <w:tr w14:paraId="19778B46">
        <w:trPr>
          <w:cantSplit/>
          <w:jc w:val="center"/>
        </w:trPr>
        <w:tc>
          <w:tcPr>
            <w:tcW w:w="1800" w:type="dxa"/>
            <w:shd w:val="clear" w:color="auto" w:fill="EAF2F8"/>
            <w:tcMar>
              <w:top w:w="70" w:type="dxa"/>
              <w:left w:w="85" w:type="dxa"/>
              <w:bottom w:w="70" w:type="dxa"/>
              <w:right w:w="85" w:type="dxa"/>
            </w:tcMar>
            <w:vAlign w:val="center"/>
          </w:tcPr>
          <w:p w14:paraId="62191A2B">
            <w:pPr>
              <w:spacing w:before="0" w:after="0" w:line="240" w:lineRule="auto"/>
              <w:jc w:val="left"/>
            </w:pPr>
            <w:r>
              <w:rPr>
                <w:rFonts w:ascii="Times New Roman" w:hAnsi="Times New Roman" w:eastAsia="Times New Roman"/>
                <w:sz w:val="20"/>
              </w:rPr>
              <w:t>Personalised guidance should be in the first release</w:t>
            </w:r>
          </w:p>
        </w:tc>
        <w:tc>
          <w:tcPr>
            <w:tcW w:w="1296" w:type="dxa"/>
            <w:shd w:val="clear" w:color="auto" w:fill="EAF2F8"/>
            <w:tcMar>
              <w:top w:w="70" w:type="dxa"/>
              <w:left w:w="85" w:type="dxa"/>
              <w:bottom w:w="70" w:type="dxa"/>
              <w:right w:w="85" w:type="dxa"/>
            </w:tcMar>
            <w:vAlign w:val="center"/>
          </w:tcPr>
          <w:p w14:paraId="044962B1">
            <w:pPr>
              <w:spacing w:before="0" w:after="0" w:line="240" w:lineRule="auto"/>
              <w:jc w:val="left"/>
            </w:pPr>
            <w:r>
              <w:rPr>
                <w:rFonts w:ascii="Times New Roman" w:hAnsi="Times New Roman" w:eastAsia="Times New Roman"/>
                <w:sz w:val="20"/>
              </w:rPr>
              <w:t>Qualified</w:t>
            </w:r>
          </w:p>
        </w:tc>
        <w:tc>
          <w:tcPr>
            <w:tcW w:w="1512" w:type="dxa"/>
            <w:shd w:val="clear" w:color="auto" w:fill="EAF2F8"/>
            <w:tcMar>
              <w:top w:w="70" w:type="dxa"/>
              <w:left w:w="85" w:type="dxa"/>
              <w:bottom w:w="70" w:type="dxa"/>
              <w:right w:w="85" w:type="dxa"/>
            </w:tcMar>
            <w:vAlign w:val="center"/>
          </w:tcPr>
          <w:p w14:paraId="5D6AEAA1">
            <w:pPr>
              <w:spacing w:before="0" w:after="0" w:line="240" w:lineRule="auto"/>
              <w:jc w:val="left"/>
            </w:pPr>
            <w:r>
              <w:rPr>
                <w:rFonts w:ascii="Times New Roman" w:hAnsi="Times New Roman" w:eastAsia="Times New Roman"/>
                <w:sz w:val="20"/>
              </w:rPr>
              <w:t>Qualified</w:t>
            </w:r>
          </w:p>
        </w:tc>
        <w:tc>
          <w:tcPr>
            <w:tcW w:w="1655" w:type="dxa"/>
            <w:shd w:val="clear" w:color="auto" w:fill="EAF2F8"/>
            <w:tcMar>
              <w:top w:w="70" w:type="dxa"/>
              <w:left w:w="85" w:type="dxa"/>
              <w:bottom w:w="70" w:type="dxa"/>
              <w:right w:w="85" w:type="dxa"/>
            </w:tcMar>
            <w:vAlign w:val="center"/>
          </w:tcPr>
          <w:p w14:paraId="0AB4349D">
            <w:pPr>
              <w:spacing w:before="0" w:after="0" w:line="240" w:lineRule="auto"/>
              <w:jc w:val="left"/>
            </w:pPr>
            <w:r>
              <w:rPr>
                <w:rFonts w:ascii="Times New Roman" w:hAnsi="Times New Roman" w:eastAsia="Times New Roman"/>
                <w:sz w:val="20"/>
              </w:rPr>
              <w:t>Strong caution</w:t>
            </w:r>
          </w:p>
        </w:tc>
        <w:tc>
          <w:tcPr>
            <w:tcW w:w="3096" w:type="dxa"/>
            <w:shd w:val="clear" w:color="auto" w:fill="EAF2F8"/>
            <w:tcMar>
              <w:top w:w="70" w:type="dxa"/>
              <w:left w:w="85" w:type="dxa"/>
              <w:bottom w:w="70" w:type="dxa"/>
              <w:right w:w="85" w:type="dxa"/>
            </w:tcMar>
            <w:vAlign w:val="center"/>
          </w:tcPr>
          <w:p w14:paraId="09EBD3C3">
            <w:pPr>
              <w:spacing w:before="0" w:after="0" w:line="240" w:lineRule="auto"/>
              <w:jc w:val="left"/>
            </w:pPr>
            <w:r>
              <w:rPr>
                <w:rFonts w:ascii="Times New Roman" w:hAnsi="Times New Roman" w:eastAsia="Times New Roman"/>
                <w:sz w:val="20"/>
              </w:rPr>
              <w:t>Stage guidance after snapshot quality and customer response are validated.</w:t>
            </w:r>
          </w:p>
        </w:tc>
      </w:tr>
      <w:tr w14:paraId="5F855268">
        <w:trPr>
          <w:cantSplit/>
          <w:jc w:val="center"/>
        </w:trPr>
        <w:tc>
          <w:tcPr>
            <w:tcW w:w="1800" w:type="dxa"/>
            <w:tcMar>
              <w:top w:w="70" w:type="dxa"/>
              <w:left w:w="85" w:type="dxa"/>
              <w:bottom w:w="70" w:type="dxa"/>
              <w:right w:w="85" w:type="dxa"/>
            </w:tcMar>
            <w:vAlign w:val="center"/>
          </w:tcPr>
          <w:p w14:paraId="75464F6F">
            <w:pPr>
              <w:spacing w:before="0" w:after="0" w:line="240" w:lineRule="auto"/>
              <w:jc w:val="left"/>
            </w:pPr>
            <w:r>
              <w:rPr>
                <w:rFonts w:ascii="Times New Roman" w:hAnsi="Times New Roman" w:eastAsia="Times New Roman"/>
                <w:sz w:val="20"/>
              </w:rPr>
              <w:t>Rival explanations and governance matter</w:t>
            </w:r>
          </w:p>
        </w:tc>
        <w:tc>
          <w:tcPr>
            <w:tcW w:w="1296" w:type="dxa"/>
            <w:tcMar>
              <w:top w:w="70" w:type="dxa"/>
              <w:left w:w="85" w:type="dxa"/>
              <w:bottom w:w="70" w:type="dxa"/>
              <w:right w:w="85" w:type="dxa"/>
            </w:tcMar>
            <w:vAlign w:val="center"/>
          </w:tcPr>
          <w:p w14:paraId="26399497">
            <w:pPr>
              <w:spacing w:before="0" w:after="0" w:line="240" w:lineRule="auto"/>
              <w:jc w:val="left"/>
            </w:pPr>
            <w:r>
              <w:rPr>
                <w:rFonts w:ascii="Times New Roman" w:hAnsi="Times New Roman" w:eastAsia="Times New Roman"/>
                <w:sz w:val="20"/>
              </w:rPr>
              <w:t>Challenges exclusivity</w:t>
            </w:r>
          </w:p>
        </w:tc>
        <w:tc>
          <w:tcPr>
            <w:tcW w:w="1512" w:type="dxa"/>
            <w:tcMar>
              <w:top w:w="70" w:type="dxa"/>
              <w:left w:w="85" w:type="dxa"/>
              <w:bottom w:w="70" w:type="dxa"/>
              <w:right w:w="85" w:type="dxa"/>
            </w:tcMar>
            <w:vAlign w:val="center"/>
          </w:tcPr>
          <w:p w14:paraId="1AFF1E40">
            <w:pPr>
              <w:spacing w:before="0" w:after="0" w:line="240" w:lineRule="auto"/>
              <w:jc w:val="left"/>
            </w:pPr>
            <w:r>
              <w:rPr>
                <w:rFonts w:ascii="Times New Roman" w:hAnsi="Times New Roman" w:eastAsia="Times New Roman"/>
                <w:sz w:val="20"/>
              </w:rPr>
              <w:t>Challenges exclusivity</w:t>
            </w:r>
          </w:p>
        </w:tc>
        <w:tc>
          <w:tcPr>
            <w:tcW w:w="1655" w:type="dxa"/>
            <w:tcMar>
              <w:top w:w="70" w:type="dxa"/>
              <w:left w:w="85" w:type="dxa"/>
              <w:bottom w:w="70" w:type="dxa"/>
              <w:right w:w="85" w:type="dxa"/>
            </w:tcMar>
            <w:vAlign w:val="center"/>
          </w:tcPr>
          <w:p w14:paraId="7D11FE29">
            <w:pPr>
              <w:spacing w:before="0" w:after="0" w:line="240" w:lineRule="auto"/>
              <w:jc w:val="left"/>
            </w:pPr>
            <w:r>
              <w:rPr>
                <w:rFonts w:ascii="Times New Roman" w:hAnsi="Times New Roman" w:eastAsia="Times New Roman"/>
                <w:sz w:val="20"/>
              </w:rPr>
              <w:t>Strong</w:t>
            </w:r>
          </w:p>
        </w:tc>
        <w:tc>
          <w:tcPr>
            <w:tcW w:w="3096" w:type="dxa"/>
            <w:tcMar>
              <w:top w:w="70" w:type="dxa"/>
              <w:left w:w="85" w:type="dxa"/>
              <w:bottom w:w="70" w:type="dxa"/>
              <w:right w:w="85" w:type="dxa"/>
            </w:tcMar>
            <w:vAlign w:val="center"/>
          </w:tcPr>
          <w:p w14:paraId="6D1958E5">
            <w:pPr>
              <w:spacing w:before="0" w:after="0" w:line="240" w:lineRule="auto"/>
              <w:jc w:val="left"/>
            </w:pPr>
            <w:r>
              <w:rPr>
                <w:rFonts w:ascii="Times New Roman" w:hAnsi="Times New Roman" w:eastAsia="Times New Roman"/>
                <w:sz w:val="20"/>
              </w:rPr>
              <w:t>Segment the test and monitor trust, plan complexity, accessibility and data quality.</w:t>
            </w:r>
          </w:p>
        </w:tc>
      </w:tr>
    </w:tbl>
    <w:p w14:paraId="12541EFD">
      <w:pPr>
        <w:keepNext/>
        <w:pageBreakBefore/>
        <w:spacing w:before="120" w:after="200" w:line="240" w:lineRule="auto"/>
        <w:jc w:val="center"/>
      </w:pPr>
      <w:r>
        <w:rPr>
          <w:rFonts w:ascii="Times New Roman" w:hAnsi="Times New Roman" w:eastAsia="Times New Roman"/>
          <w:b/>
          <w:sz w:val="22"/>
        </w:rPr>
        <w:t>Table 4. Detailed cross-interview findings by theme.</w:t>
      </w:r>
    </w:p>
    <w:tbl>
      <w:tblPr>
        <w:tblStyle w:val="11"/>
        <w:tblW w:w="128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4"/>
        <w:gridCol w:w="3919"/>
        <w:gridCol w:w="3720"/>
        <w:gridCol w:w="3308"/>
      </w:tblGrid>
      <w:tr w14:paraId="29EF8AB9">
        <w:trPr>
          <w:tblHeader/>
          <w:jc w:val="center"/>
        </w:trPr>
        <w:tc>
          <w:tcPr>
            <w:tcW w:w="1934" w:type="dxa"/>
            <w:shd w:val="clear" w:color="auto" w:fill="1F3864"/>
            <w:tcMar>
              <w:top w:w="60" w:type="dxa"/>
              <w:left w:w="100" w:type="dxa"/>
              <w:bottom w:w="60" w:type="dxa"/>
              <w:right w:w="100" w:type="dxa"/>
            </w:tcMar>
            <w:vAlign w:val="center"/>
          </w:tcPr>
          <w:p w14:paraId="6EFA767C">
            <w:pPr>
              <w:spacing w:after="0" w:line="240" w:lineRule="auto"/>
              <w:jc w:val="center"/>
            </w:pPr>
            <w:r>
              <w:rPr>
                <w:rFonts w:ascii="Times New Roman" w:hAnsi="Times New Roman" w:eastAsia="Times New Roman" w:cs="Times New Roman"/>
                <w:b/>
                <w:bCs/>
                <w:color w:val="FFFFFF"/>
                <w:sz w:val="20"/>
                <w:szCs w:val="20"/>
              </w:rPr>
              <w:t>Theme</w:t>
            </w:r>
          </w:p>
        </w:tc>
        <w:tc>
          <w:tcPr>
            <w:tcW w:w="3919" w:type="dxa"/>
            <w:shd w:val="clear" w:color="auto" w:fill="1F3864"/>
            <w:tcMar>
              <w:top w:w="60" w:type="dxa"/>
              <w:left w:w="100" w:type="dxa"/>
              <w:bottom w:w="60" w:type="dxa"/>
              <w:right w:w="100" w:type="dxa"/>
            </w:tcMar>
            <w:vAlign w:val="center"/>
          </w:tcPr>
          <w:p w14:paraId="28A13CA8">
            <w:pPr>
              <w:spacing w:after="0" w:line="240" w:lineRule="auto"/>
              <w:jc w:val="center"/>
            </w:pPr>
            <w:r>
              <w:rPr>
                <w:rFonts w:ascii="Times New Roman" w:hAnsi="Times New Roman" w:eastAsia="Times New Roman" w:cs="Times New Roman"/>
                <w:b/>
                <w:bCs/>
                <w:color w:val="FFFFFF"/>
                <w:sz w:val="20"/>
                <w:szCs w:val="20"/>
              </w:rPr>
              <w:t>Xuan Zeng</w:t>
            </w:r>
          </w:p>
        </w:tc>
        <w:tc>
          <w:tcPr>
            <w:tcW w:w="3720" w:type="dxa"/>
            <w:shd w:val="clear" w:color="auto" w:fill="1F3864"/>
            <w:tcMar>
              <w:top w:w="60" w:type="dxa"/>
              <w:left w:w="100" w:type="dxa"/>
              <w:bottom w:w="60" w:type="dxa"/>
              <w:right w:w="100" w:type="dxa"/>
            </w:tcMar>
            <w:vAlign w:val="center"/>
          </w:tcPr>
          <w:p w14:paraId="1C4D31FE">
            <w:pPr>
              <w:spacing w:after="0" w:line="240" w:lineRule="auto"/>
              <w:jc w:val="center"/>
            </w:pPr>
            <w:r>
              <w:rPr>
                <w:rFonts w:ascii="Times New Roman" w:hAnsi="Times New Roman" w:eastAsia="Times New Roman" w:cs="Times New Roman"/>
                <w:b/>
                <w:bCs/>
                <w:color w:val="FFFFFF"/>
                <w:sz w:val="20"/>
                <w:szCs w:val="20"/>
              </w:rPr>
              <w:t>Independent GenAI</w:t>
            </w:r>
          </w:p>
        </w:tc>
        <w:tc>
          <w:tcPr>
            <w:tcW w:w="3308" w:type="dxa"/>
            <w:shd w:val="clear" w:color="auto" w:fill="1F3864"/>
            <w:tcMar>
              <w:top w:w="60" w:type="dxa"/>
              <w:left w:w="100" w:type="dxa"/>
              <w:bottom w:w="60" w:type="dxa"/>
              <w:right w:w="100" w:type="dxa"/>
            </w:tcMar>
            <w:vAlign w:val="center"/>
          </w:tcPr>
          <w:p w14:paraId="60BD2B16">
            <w:pPr>
              <w:spacing w:after="0" w:line="240" w:lineRule="auto"/>
              <w:jc w:val="center"/>
            </w:pPr>
            <w:r>
              <w:rPr>
                <w:rFonts w:ascii="Times New Roman" w:hAnsi="Times New Roman" w:eastAsia="Times New Roman" w:cs="Times New Roman"/>
                <w:b/>
                <w:bCs/>
                <w:color w:val="FFFFFF"/>
                <w:sz w:val="20"/>
                <w:szCs w:val="20"/>
              </w:rPr>
              <w:t>Interpretation</w:t>
            </w:r>
          </w:p>
        </w:tc>
      </w:tr>
      <w:tr w14:paraId="6E5B0F66">
        <w:trPr>
          <w:jc w:val="center"/>
        </w:trPr>
        <w:tc>
          <w:tcPr>
            <w:tcW w:w="1934" w:type="dxa"/>
            <w:tcMar>
              <w:top w:w="60" w:type="dxa"/>
              <w:left w:w="100" w:type="dxa"/>
              <w:bottom w:w="60" w:type="dxa"/>
              <w:right w:w="100" w:type="dxa"/>
            </w:tcMar>
            <w:vAlign w:val="center"/>
          </w:tcPr>
          <w:p w14:paraId="5F2D91DC">
            <w:pPr>
              <w:spacing w:after="0" w:line="240" w:lineRule="auto"/>
              <w:jc w:val="center"/>
            </w:pPr>
            <w:r>
              <w:rPr>
                <w:rFonts w:ascii="Times New Roman" w:hAnsi="Times New Roman" w:eastAsia="Times New Roman" w:cs="Times New Roman"/>
                <w:b w:val="0"/>
                <w:bCs w:val="0"/>
                <w:sz w:val="20"/>
                <w:szCs w:val="20"/>
              </w:rPr>
              <w:t>Primary decision burden</w:t>
            </w:r>
          </w:p>
        </w:tc>
        <w:tc>
          <w:tcPr>
            <w:tcW w:w="3919" w:type="dxa"/>
            <w:tcMar>
              <w:top w:w="60" w:type="dxa"/>
              <w:left w:w="100" w:type="dxa"/>
              <w:bottom w:w="60" w:type="dxa"/>
              <w:right w:w="100" w:type="dxa"/>
            </w:tcMar>
            <w:vAlign w:val="center"/>
          </w:tcPr>
          <w:p w14:paraId="541B2E0A">
            <w:pPr>
              <w:spacing w:after="0" w:line="240" w:lineRule="auto"/>
              <w:jc w:val="center"/>
            </w:pPr>
            <w:r>
              <w:rPr>
                <w:rFonts w:ascii="Times New Roman" w:hAnsi="Times New Roman" w:eastAsia="Times New Roman" w:cs="Times New Roman"/>
                <w:b w:val="0"/>
                <w:bCs w:val="0"/>
                <w:sz w:val="20"/>
                <w:szCs w:val="20"/>
              </w:rPr>
              <w:t>Customers must reconstruct a typical requirement from variable history and compare unlike plans.</w:t>
            </w:r>
          </w:p>
        </w:tc>
        <w:tc>
          <w:tcPr>
            <w:tcW w:w="3720" w:type="dxa"/>
            <w:tcMar>
              <w:top w:w="60" w:type="dxa"/>
              <w:left w:w="100" w:type="dxa"/>
              <w:bottom w:w="60" w:type="dxa"/>
              <w:right w:w="100" w:type="dxa"/>
            </w:tcMar>
            <w:vAlign w:val="center"/>
          </w:tcPr>
          <w:p w14:paraId="4658451A">
            <w:pPr>
              <w:spacing w:after="0" w:line="240" w:lineRule="auto"/>
              <w:jc w:val="center"/>
            </w:pPr>
            <w:r>
              <w:rPr>
                <w:rFonts w:ascii="Times New Roman" w:hAnsi="Times New Roman" w:eastAsia="Times New Roman" w:cs="Times New Roman"/>
                <w:b w:val="0"/>
                <w:bCs w:val="0"/>
                <w:sz w:val="20"/>
                <w:szCs w:val="20"/>
              </w:rPr>
              <w:t>Customers must translate past usage into uncertain future need and evaluate trade-offs.</w:t>
            </w:r>
          </w:p>
        </w:tc>
        <w:tc>
          <w:tcPr>
            <w:tcW w:w="3308" w:type="dxa"/>
            <w:tcMar>
              <w:top w:w="60" w:type="dxa"/>
              <w:left w:w="100" w:type="dxa"/>
              <w:bottom w:w="60" w:type="dxa"/>
              <w:right w:w="100" w:type="dxa"/>
            </w:tcMar>
            <w:vAlign w:val="center"/>
          </w:tcPr>
          <w:p w14:paraId="36F24451">
            <w:pPr>
              <w:spacing w:after="0" w:line="240" w:lineRule="auto"/>
              <w:jc w:val="center"/>
            </w:pPr>
            <w:r>
              <w:rPr>
                <w:rFonts w:ascii="Times New Roman" w:hAnsi="Times New Roman" w:eastAsia="Times New Roman" w:cs="Times New Roman"/>
                <w:b w:val="0"/>
                <w:bCs w:val="0"/>
                <w:sz w:val="20"/>
                <w:szCs w:val="20"/>
              </w:rPr>
              <w:t>Strong convergence: interpretation and judgement create more difficulty than the click itself.</w:t>
            </w:r>
          </w:p>
        </w:tc>
      </w:tr>
      <w:tr w14:paraId="5B7A82F6">
        <w:trPr>
          <w:jc w:val="center"/>
        </w:trPr>
        <w:tc>
          <w:tcPr>
            <w:tcW w:w="1934" w:type="dxa"/>
            <w:shd w:val="clear" w:color="auto" w:fill="F2F2F2"/>
            <w:tcMar>
              <w:top w:w="60" w:type="dxa"/>
              <w:left w:w="100" w:type="dxa"/>
              <w:bottom w:w="60" w:type="dxa"/>
              <w:right w:w="100" w:type="dxa"/>
            </w:tcMar>
            <w:vAlign w:val="center"/>
          </w:tcPr>
          <w:p w14:paraId="049736E2">
            <w:pPr>
              <w:spacing w:after="0" w:line="240" w:lineRule="auto"/>
              <w:jc w:val="center"/>
            </w:pPr>
            <w:r>
              <w:rPr>
                <w:rFonts w:ascii="Times New Roman" w:hAnsi="Times New Roman" w:eastAsia="Times New Roman" w:cs="Times New Roman"/>
                <w:b w:val="0"/>
                <w:bCs w:val="0"/>
                <w:sz w:val="20"/>
                <w:szCs w:val="20"/>
              </w:rPr>
              <w:t>Effect of the separate link</w:t>
            </w:r>
          </w:p>
        </w:tc>
        <w:tc>
          <w:tcPr>
            <w:tcW w:w="3919" w:type="dxa"/>
            <w:shd w:val="clear" w:color="auto" w:fill="F2F2F2"/>
            <w:tcMar>
              <w:top w:w="60" w:type="dxa"/>
              <w:left w:w="100" w:type="dxa"/>
              <w:bottom w:w="60" w:type="dxa"/>
              <w:right w:w="100" w:type="dxa"/>
            </w:tcMar>
            <w:vAlign w:val="center"/>
          </w:tcPr>
          <w:p w14:paraId="3CA54C45">
            <w:pPr>
              <w:spacing w:after="0" w:line="240" w:lineRule="auto"/>
              <w:jc w:val="center"/>
            </w:pPr>
            <w:r>
              <w:rPr>
                <w:rFonts w:ascii="Times New Roman" w:hAnsi="Times New Roman" w:eastAsia="Times New Roman" w:cs="Times New Roman"/>
                <w:b w:val="0"/>
                <w:bCs w:val="0"/>
                <w:sz w:val="20"/>
                <w:szCs w:val="20"/>
              </w:rPr>
              <w:t>The link removes momentum when effort and benefit are unknown.</w:t>
            </w:r>
          </w:p>
        </w:tc>
        <w:tc>
          <w:tcPr>
            <w:tcW w:w="3720" w:type="dxa"/>
            <w:shd w:val="clear" w:color="auto" w:fill="F2F2F2"/>
            <w:tcMar>
              <w:top w:w="60" w:type="dxa"/>
              <w:left w:w="100" w:type="dxa"/>
              <w:bottom w:w="60" w:type="dxa"/>
              <w:right w:w="100" w:type="dxa"/>
            </w:tcMar>
            <w:vAlign w:val="center"/>
          </w:tcPr>
          <w:p w14:paraId="228869D2">
            <w:pPr>
              <w:spacing w:after="0" w:line="240" w:lineRule="auto"/>
              <w:jc w:val="center"/>
            </w:pPr>
            <w:r>
              <w:rPr>
                <w:rFonts w:ascii="Times New Roman" w:hAnsi="Times New Roman" w:eastAsia="Times New Roman" w:cs="Times New Roman"/>
                <w:b w:val="0"/>
                <w:bCs w:val="0"/>
                <w:sz w:val="20"/>
                <w:szCs w:val="20"/>
              </w:rPr>
              <w:t>The link adds interruption, authentication and accessibility costs, but may be acceptable if seamless.</w:t>
            </w:r>
          </w:p>
        </w:tc>
        <w:tc>
          <w:tcPr>
            <w:tcW w:w="3308" w:type="dxa"/>
            <w:shd w:val="clear" w:color="auto" w:fill="F2F2F2"/>
            <w:tcMar>
              <w:top w:w="60" w:type="dxa"/>
              <w:left w:w="100" w:type="dxa"/>
              <w:bottom w:w="60" w:type="dxa"/>
              <w:right w:w="100" w:type="dxa"/>
            </w:tcMar>
            <w:vAlign w:val="center"/>
          </w:tcPr>
          <w:p w14:paraId="473B03FD">
            <w:pPr>
              <w:spacing w:after="0" w:line="240" w:lineRule="auto"/>
              <w:jc w:val="center"/>
            </w:pPr>
            <w:r>
              <w:rPr>
                <w:rFonts w:ascii="Times New Roman" w:hAnsi="Times New Roman" w:eastAsia="Times New Roman" w:cs="Times New Roman"/>
                <w:b w:val="0"/>
                <w:bCs w:val="0"/>
                <w:sz w:val="20"/>
                <w:szCs w:val="20"/>
              </w:rPr>
              <w:t>The link is a contributing mechanism whose effect depends on destination quality.</w:t>
            </w:r>
          </w:p>
        </w:tc>
      </w:tr>
      <w:tr w14:paraId="35547220">
        <w:trPr>
          <w:jc w:val="center"/>
        </w:trPr>
        <w:tc>
          <w:tcPr>
            <w:tcW w:w="1934" w:type="dxa"/>
            <w:tcMar>
              <w:top w:w="60" w:type="dxa"/>
              <w:left w:w="100" w:type="dxa"/>
              <w:bottom w:w="60" w:type="dxa"/>
              <w:right w:w="100" w:type="dxa"/>
            </w:tcMar>
            <w:vAlign w:val="center"/>
          </w:tcPr>
          <w:p w14:paraId="127F7933">
            <w:pPr>
              <w:spacing w:after="0" w:line="240" w:lineRule="auto"/>
              <w:jc w:val="center"/>
            </w:pPr>
            <w:r>
              <w:rPr>
                <w:rFonts w:ascii="Times New Roman" w:hAnsi="Times New Roman" w:eastAsia="Times New Roman" w:cs="Times New Roman"/>
                <w:b w:val="0"/>
                <w:bCs w:val="0"/>
                <w:sz w:val="20"/>
                <w:szCs w:val="20"/>
              </w:rPr>
              <w:t>Information needed</w:t>
            </w:r>
          </w:p>
        </w:tc>
        <w:tc>
          <w:tcPr>
            <w:tcW w:w="3919" w:type="dxa"/>
            <w:tcMar>
              <w:top w:w="60" w:type="dxa"/>
              <w:left w:w="100" w:type="dxa"/>
              <w:bottom w:w="60" w:type="dxa"/>
              <w:right w:w="100" w:type="dxa"/>
            </w:tcMar>
            <w:vAlign w:val="center"/>
          </w:tcPr>
          <w:p w14:paraId="19DDDFAE">
            <w:pPr>
              <w:spacing w:after="0" w:line="240" w:lineRule="auto"/>
              <w:jc w:val="center"/>
            </w:pPr>
            <w:r>
              <w:rPr>
                <w:rFonts w:ascii="Times New Roman" w:hAnsi="Times New Roman" w:eastAsia="Times New Roman" w:cs="Times New Roman"/>
                <w:b w:val="0"/>
                <w:bCs w:val="0"/>
                <w:sz w:val="20"/>
                <w:szCs w:val="20"/>
              </w:rPr>
              <w:t>Twelve-month usage/spend, over/under-use, current terms, annual cost difference and switching constraints.</w:t>
            </w:r>
          </w:p>
        </w:tc>
        <w:tc>
          <w:tcPr>
            <w:tcW w:w="3720" w:type="dxa"/>
            <w:tcMar>
              <w:top w:w="60" w:type="dxa"/>
              <w:left w:w="100" w:type="dxa"/>
              <w:bottom w:w="60" w:type="dxa"/>
              <w:right w:w="100" w:type="dxa"/>
            </w:tcMar>
            <w:vAlign w:val="center"/>
          </w:tcPr>
          <w:p w14:paraId="33B7E597">
            <w:pPr>
              <w:spacing w:after="0" w:line="240" w:lineRule="auto"/>
              <w:jc w:val="center"/>
            </w:pPr>
            <w:r>
              <w:rPr>
                <w:rFonts w:ascii="Times New Roman" w:hAnsi="Times New Roman" w:eastAsia="Times New Roman" w:cs="Times New Roman"/>
                <w:b w:val="0"/>
                <w:bCs w:val="0"/>
                <w:sz w:val="20"/>
                <w:szCs w:val="20"/>
              </w:rPr>
              <w:t>Typical use, variation, exceptional months, total cost, contract status and comparable alternatives.</w:t>
            </w:r>
          </w:p>
        </w:tc>
        <w:tc>
          <w:tcPr>
            <w:tcW w:w="3308" w:type="dxa"/>
            <w:tcMar>
              <w:top w:w="60" w:type="dxa"/>
              <w:left w:w="100" w:type="dxa"/>
              <w:bottom w:w="60" w:type="dxa"/>
              <w:right w:w="100" w:type="dxa"/>
            </w:tcMar>
            <w:vAlign w:val="center"/>
          </w:tcPr>
          <w:p w14:paraId="50997600">
            <w:pPr>
              <w:spacing w:after="0" w:line="240" w:lineRule="auto"/>
              <w:jc w:val="center"/>
            </w:pPr>
            <w:r>
              <w:rPr>
                <w:rFonts w:ascii="Times New Roman" w:hAnsi="Times New Roman" w:eastAsia="Times New Roman" w:cs="Times New Roman"/>
                <w:b w:val="0"/>
                <w:bCs w:val="0"/>
                <w:sz w:val="20"/>
                <w:szCs w:val="20"/>
              </w:rPr>
              <w:t>Strong convergence on a concise embedded evidence snapshot.</w:t>
            </w:r>
          </w:p>
        </w:tc>
      </w:tr>
      <w:tr w14:paraId="4788E0B9">
        <w:trPr>
          <w:jc w:val="center"/>
        </w:trPr>
        <w:tc>
          <w:tcPr>
            <w:tcW w:w="1934" w:type="dxa"/>
            <w:shd w:val="clear" w:color="auto" w:fill="F2F2F2"/>
            <w:tcMar>
              <w:top w:w="60" w:type="dxa"/>
              <w:left w:w="100" w:type="dxa"/>
              <w:bottom w:w="60" w:type="dxa"/>
              <w:right w:w="100" w:type="dxa"/>
            </w:tcMar>
            <w:vAlign w:val="center"/>
          </w:tcPr>
          <w:p w14:paraId="2C149D05">
            <w:pPr>
              <w:spacing w:after="0" w:line="240" w:lineRule="auto"/>
              <w:jc w:val="center"/>
            </w:pPr>
            <w:r>
              <w:rPr>
                <w:rFonts w:ascii="Times New Roman" w:hAnsi="Times New Roman" w:eastAsia="Times New Roman" w:cs="Times New Roman"/>
                <w:b w:val="0"/>
                <w:bCs w:val="0"/>
                <w:sz w:val="20"/>
                <w:szCs w:val="20"/>
              </w:rPr>
              <w:t>Personalised guidance</w:t>
            </w:r>
          </w:p>
        </w:tc>
        <w:tc>
          <w:tcPr>
            <w:tcW w:w="3919" w:type="dxa"/>
            <w:shd w:val="clear" w:color="auto" w:fill="F2F2F2"/>
            <w:tcMar>
              <w:top w:w="60" w:type="dxa"/>
              <w:left w:w="100" w:type="dxa"/>
              <w:bottom w:w="60" w:type="dxa"/>
              <w:right w:w="100" w:type="dxa"/>
            </w:tcMar>
            <w:vAlign w:val="center"/>
          </w:tcPr>
          <w:p w14:paraId="2B26BB80">
            <w:pPr>
              <w:spacing w:after="0" w:line="240" w:lineRule="auto"/>
              <w:jc w:val="center"/>
            </w:pPr>
            <w:r>
              <w:rPr>
                <w:rFonts w:ascii="Times New Roman" w:hAnsi="Times New Roman" w:eastAsia="Times New Roman" w:cs="Times New Roman"/>
                <w:b w:val="0"/>
                <w:bCs w:val="0"/>
                <w:sz w:val="20"/>
                <w:szCs w:val="20"/>
              </w:rPr>
              <w:t>Converts analysis into checking, but must show the working and sometimes recommend staying or spending less.</w:t>
            </w:r>
          </w:p>
        </w:tc>
        <w:tc>
          <w:tcPr>
            <w:tcW w:w="3720" w:type="dxa"/>
            <w:shd w:val="clear" w:color="auto" w:fill="F2F2F2"/>
            <w:tcMar>
              <w:top w:w="60" w:type="dxa"/>
              <w:left w:w="100" w:type="dxa"/>
              <w:bottom w:w="60" w:type="dxa"/>
              <w:right w:w="100" w:type="dxa"/>
            </w:tcMar>
            <w:vAlign w:val="center"/>
          </w:tcPr>
          <w:p w14:paraId="65CA0E63">
            <w:pPr>
              <w:spacing w:after="0" w:line="240" w:lineRule="auto"/>
              <w:jc w:val="center"/>
            </w:pPr>
            <w:r>
              <w:rPr>
                <w:rFonts w:ascii="Times New Roman" w:hAnsi="Times New Roman" w:eastAsia="Times New Roman" w:cs="Times New Roman"/>
                <w:b w:val="0"/>
                <w:bCs w:val="0"/>
                <w:sz w:val="20"/>
                <w:szCs w:val="20"/>
              </w:rPr>
              <w:t>Can reduce effort but risks automation bias and commercial distrust.</w:t>
            </w:r>
          </w:p>
        </w:tc>
        <w:tc>
          <w:tcPr>
            <w:tcW w:w="3308" w:type="dxa"/>
            <w:shd w:val="clear" w:color="auto" w:fill="F2F2F2"/>
            <w:tcMar>
              <w:top w:w="60" w:type="dxa"/>
              <w:left w:w="100" w:type="dxa"/>
              <w:bottom w:w="60" w:type="dxa"/>
              <w:right w:w="100" w:type="dxa"/>
            </w:tcMar>
            <w:vAlign w:val="center"/>
          </w:tcPr>
          <w:p w14:paraId="5DD6DAD3">
            <w:pPr>
              <w:spacing w:after="0" w:line="240" w:lineRule="auto"/>
              <w:jc w:val="center"/>
            </w:pPr>
            <w:r>
              <w:rPr>
                <w:rFonts w:ascii="Times New Roman" w:hAnsi="Times New Roman" w:eastAsia="Times New Roman" w:cs="Times New Roman"/>
                <w:b w:val="0"/>
                <w:bCs w:val="0"/>
                <w:sz w:val="20"/>
                <w:szCs w:val="20"/>
              </w:rPr>
              <w:t>Guidance is a possible second-stage intervention, not the safest first release.</w:t>
            </w:r>
          </w:p>
        </w:tc>
      </w:tr>
      <w:tr w14:paraId="58CCD230">
        <w:trPr>
          <w:jc w:val="center"/>
        </w:trPr>
        <w:tc>
          <w:tcPr>
            <w:tcW w:w="1934" w:type="dxa"/>
            <w:tcMar>
              <w:top w:w="60" w:type="dxa"/>
              <w:left w:w="100" w:type="dxa"/>
              <w:bottom w:w="60" w:type="dxa"/>
              <w:right w:w="100" w:type="dxa"/>
            </w:tcMar>
            <w:vAlign w:val="center"/>
          </w:tcPr>
          <w:p w14:paraId="45A64EA4">
            <w:pPr>
              <w:spacing w:after="0" w:line="240" w:lineRule="auto"/>
              <w:jc w:val="center"/>
            </w:pPr>
            <w:r>
              <w:rPr>
                <w:rFonts w:ascii="Times New Roman" w:hAnsi="Times New Roman" w:eastAsia="Times New Roman" w:cs="Times New Roman"/>
                <w:b w:val="0"/>
                <w:bCs w:val="0"/>
                <w:sz w:val="20"/>
                <w:szCs w:val="20"/>
              </w:rPr>
              <w:t>Rival explanations</w:t>
            </w:r>
          </w:p>
        </w:tc>
        <w:tc>
          <w:tcPr>
            <w:tcW w:w="3919" w:type="dxa"/>
            <w:tcMar>
              <w:top w:w="60" w:type="dxa"/>
              <w:left w:w="100" w:type="dxa"/>
              <w:bottom w:w="60" w:type="dxa"/>
              <w:right w:w="100" w:type="dxa"/>
            </w:tcMar>
            <w:vAlign w:val="center"/>
          </w:tcPr>
          <w:p w14:paraId="353118D1">
            <w:pPr>
              <w:spacing w:after="0" w:line="240" w:lineRule="auto"/>
              <w:jc w:val="center"/>
            </w:pPr>
            <w:r>
              <w:rPr>
                <w:rFonts w:ascii="Times New Roman" w:hAnsi="Times New Roman" w:eastAsia="Times New Roman" w:cs="Times New Roman"/>
                <w:b w:val="0"/>
                <w:bCs w:val="0"/>
                <w:sz w:val="20"/>
                <w:szCs w:val="20"/>
              </w:rPr>
              <w:t>Plan comparability, trust, grandfathered plans and contractual effects.</w:t>
            </w:r>
          </w:p>
        </w:tc>
        <w:tc>
          <w:tcPr>
            <w:tcW w:w="3720" w:type="dxa"/>
            <w:tcMar>
              <w:top w:w="60" w:type="dxa"/>
              <w:left w:w="100" w:type="dxa"/>
              <w:bottom w:w="60" w:type="dxa"/>
              <w:right w:w="100" w:type="dxa"/>
            </w:tcMar>
            <w:vAlign w:val="center"/>
          </w:tcPr>
          <w:p w14:paraId="0502AC58">
            <w:pPr>
              <w:spacing w:after="0" w:line="240" w:lineRule="auto"/>
              <w:jc w:val="center"/>
            </w:pPr>
            <w:r>
              <w:rPr>
                <w:rFonts w:ascii="Times New Roman" w:hAnsi="Times New Roman" w:eastAsia="Times New Roman" w:cs="Times New Roman"/>
                <w:b w:val="0"/>
                <w:bCs w:val="0"/>
                <w:sz w:val="20"/>
                <w:szCs w:val="20"/>
              </w:rPr>
              <w:t>Plan complexity, benefit size, future uncertainty, status quo and accessibility.</w:t>
            </w:r>
          </w:p>
        </w:tc>
        <w:tc>
          <w:tcPr>
            <w:tcW w:w="3308" w:type="dxa"/>
            <w:tcMar>
              <w:top w:w="60" w:type="dxa"/>
              <w:left w:w="100" w:type="dxa"/>
              <w:bottom w:w="60" w:type="dxa"/>
              <w:right w:w="100" w:type="dxa"/>
            </w:tcMar>
            <w:vAlign w:val="center"/>
          </w:tcPr>
          <w:p w14:paraId="5A5FAA6C">
            <w:pPr>
              <w:spacing w:after="0" w:line="240" w:lineRule="auto"/>
              <w:jc w:val="center"/>
            </w:pPr>
            <w:r>
              <w:rPr>
                <w:rFonts w:ascii="Times New Roman" w:hAnsi="Times New Roman" w:eastAsia="Times New Roman" w:cs="Times New Roman"/>
                <w:b w:val="0"/>
                <w:bCs w:val="0"/>
                <w:sz w:val="20"/>
                <w:szCs w:val="20"/>
              </w:rPr>
              <w:t>H2 is material but not exclusive; the intervention must be tested by segment.</w:t>
            </w:r>
          </w:p>
        </w:tc>
      </w:tr>
      <w:tr w14:paraId="34BE3B1C">
        <w:trPr>
          <w:jc w:val="center"/>
        </w:trPr>
        <w:tc>
          <w:tcPr>
            <w:tcW w:w="1934" w:type="dxa"/>
            <w:shd w:val="clear" w:color="auto" w:fill="F2F2F2"/>
            <w:tcMar>
              <w:top w:w="60" w:type="dxa"/>
              <w:left w:w="100" w:type="dxa"/>
              <w:bottom w:w="60" w:type="dxa"/>
              <w:right w:w="100" w:type="dxa"/>
            </w:tcMar>
            <w:vAlign w:val="center"/>
          </w:tcPr>
          <w:p w14:paraId="5CF6847D">
            <w:pPr>
              <w:spacing w:after="0" w:line="240" w:lineRule="auto"/>
              <w:jc w:val="center"/>
            </w:pPr>
            <w:r>
              <w:rPr>
                <w:rFonts w:ascii="Times New Roman" w:hAnsi="Times New Roman" w:eastAsia="Times New Roman" w:cs="Times New Roman"/>
                <w:b w:val="0"/>
                <w:bCs w:val="0"/>
                <w:sz w:val="20"/>
                <w:szCs w:val="20"/>
              </w:rPr>
              <w:t>Governance</w:t>
            </w:r>
          </w:p>
        </w:tc>
        <w:tc>
          <w:tcPr>
            <w:tcW w:w="3919" w:type="dxa"/>
            <w:shd w:val="clear" w:color="auto" w:fill="F2F2F2"/>
            <w:tcMar>
              <w:top w:w="60" w:type="dxa"/>
              <w:left w:w="100" w:type="dxa"/>
              <w:bottom w:w="60" w:type="dxa"/>
              <w:right w:w="100" w:type="dxa"/>
            </w:tcMar>
            <w:vAlign w:val="center"/>
          </w:tcPr>
          <w:p w14:paraId="61440E63">
            <w:pPr>
              <w:spacing w:after="0" w:line="240" w:lineRule="auto"/>
              <w:jc w:val="center"/>
            </w:pPr>
            <w:r>
              <w:rPr>
                <w:rFonts w:ascii="Times New Roman" w:hAnsi="Times New Roman" w:eastAsia="Times New Roman" w:cs="Times New Roman"/>
                <w:b w:val="0"/>
                <w:bCs w:val="0"/>
                <w:sz w:val="20"/>
                <w:szCs w:val="20"/>
              </w:rPr>
              <w:t>Named owner, data standards, versioned rules, frontline visibility and incentive alignment.</w:t>
            </w:r>
          </w:p>
        </w:tc>
        <w:tc>
          <w:tcPr>
            <w:tcW w:w="3720" w:type="dxa"/>
            <w:shd w:val="clear" w:color="auto" w:fill="F2F2F2"/>
            <w:tcMar>
              <w:top w:w="60" w:type="dxa"/>
              <w:left w:w="100" w:type="dxa"/>
              <w:bottom w:w="60" w:type="dxa"/>
              <w:right w:w="100" w:type="dxa"/>
            </w:tcMar>
            <w:vAlign w:val="center"/>
          </w:tcPr>
          <w:p w14:paraId="3DF74241">
            <w:pPr>
              <w:spacing w:after="0" w:line="240" w:lineRule="auto"/>
              <w:jc w:val="center"/>
            </w:pPr>
            <w:r>
              <w:rPr>
                <w:rFonts w:ascii="Times New Roman" w:hAnsi="Times New Roman" w:eastAsia="Times New Roman" w:cs="Times New Roman"/>
                <w:b w:val="0"/>
                <w:bCs w:val="0"/>
                <w:sz w:val="20"/>
                <w:szCs w:val="20"/>
              </w:rPr>
              <w:t>Data validation, suitability rules, privacy/security, bias monitoring, human support and auditability.</w:t>
            </w:r>
          </w:p>
        </w:tc>
        <w:tc>
          <w:tcPr>
            <w:tcW w:w="3308" w:type="dxa"/>
            <w:shd w:val="clear" w:color="auto" w:fill="F2F2F2"/>
            <w:tcMar>
              <w:top w:w="60" w:type="dxa"/>
              <w:left w:w="100" w:type="dxa"/>
              <w:bottom w:w="60" w:type="dxa"/>
              <w:right w:w="100" w:type="dxa"/>
            </w:tcMar>
            <w:vAlign w:val="center"/>
          </w:tcPr>
          <w:p w14:paraId="0281879C">
            <w:pPr>
              <w:spacing w:after="0" w:line="240" w:lineRule="auto"/>
              <w:jc w:val="center"/>
            </w:pPr>
            <w:r>
              <w:rPr>
                <w:rFonts w:ascii="Times New Roman" w:hAnsi="Times New Roman" w:eastAsia="Times New Roman" w:cs="Times New Roman"/>
                <w:b w:val="0"/>
                <w:bCs w:val="0"/>
                <w:sz w:val="20"/>
                <w:szCs w:val="20"/>
              </w:rPr>
              <w:t>A sustainable solution needs process ownership and controls, not only a redesigned message.</w:t>
            </w:r>
          </w:p>
        </w:tc>
      </w:tr>
      <w:tr w14:paraId="0C10867D">
        <w:trPr>
          <w:jc w:val="center"/>
        </w:trPr>
        <w:tc>
          <w:tcPr>
            <w:tcW w:w="1934" w:type="dxa"/>
            <w:tcMar>
              <w:top w:w="60" w:type="dxa"/>
              <w:left w:w="100" w:type="dxa"/>
              <w:bottom w:w="60" w:type="dxa"/>
              <w:right w:w="100" w:type="dxa"/>
            </w:tcMar>
            <w:vAlign w:val="center"/>
          </w:tcPr>
          <w:p w14:paraId="7609C0EB">
            <w:pPr>
              <w:spacing w:after="0" w:line="240" w:lineRule="auto"/>
              <w:jc w:val="center"/>
            </w:pPr>
            <w:r>
              <w:rPr>
                <w:rFonts w:ascii="Times New Roman" w:hAnsi="Times New Roman" w:eastAsia="Times New Roman" w:cs="Times New Roman"/>
                <w:b w:val="0"/>
                <w:bCs w:val="0"/>
                <w:sz w:val="20"/>
                <w:szCs w:val="20"/>
              </w:rPr>
              <w:t>First test</w:t>
            </w:r>
          </w:p>
        </w:tc>
        <w:tc>
          <w:tcPr>
            <w:tcW w:w="3919" w:type="dxa"/>
            <w:tcMar>
              <w:top w:w="60" w:type="dxa"/>
              <w:left w:w="100" w:type="dxa"/>
              <w:bottom w:w="60" w:type="dxa"/>
              <w:right w:w="100" w:type="dxa"/>
            </w:tcMar>
            <w:vAlign w:val="center"/>
          </w:tcPr>
          <w:p w14:paraId="55CF9A3D">
            <w:pPr>
              <w:spacing w:after="0" w:line="240" w:lineRule="auto"/>
              <w:jc w:val="center"/>
            </w:pPr>
            <w:r>
              <w:rPr>
                <w:rFonts w:ascii="Times New Roman" w:hAnsi="Times New Roman" w:eastAsia="Times New Roman" w:cs="Times New Roman"/>
                <w:b w:val="0"/>
                <w:bCs w:val="0"/>
                <w:sz w:val="20"/>
                <w:szCs w:val="20"/>
              </w:rPr>
              <w:t>Embed usage/spend history before adding recommendations.</w:t>
            </w:r>
          </w:p>
        </w:tc>
        <w:tc>
          <w:tcPr>
            <w:tcW w:w="3720" w:type="dxa"/>
            <w:tcMar>
              <w:top w:w="60" w:type="dxa"/>
              <w:left w:w="100" w:type="dxa"/>
              <w:bottom w:w="60" w:type="dxa"/>
              <w:right w:w="100" w:type="dxa"/>
            </w:tcMar>
            <w:vAlign w:val="center"/>
          </w:tcPr>
          <w:p w14:paraId="1A357908">
            <w:pPr>
              <w:spacing w:after="0" w:line="240" w:lineRule="auto"/>
              <w:jc w:val="center"/>
            </w:pPr>
            <w:r>
              <w:rPr>
                <w:rFonts w:ascii="Times New Roman" w:hAnsi="Times New Roman" w:eastAsia="Times New Roman" w:cs="Times New Roman"/>
                <w:b w:val="0"/>
                <w:bCs w:val="0"/>
                <w:sz w:val="20"/>
                <w:szCs w:val="20"/>
              </w:rPr>
              <w:t>Embed a concise 12-month snapshot while holding other features constant.</w:t>
            </w:r>
          </w:p>
        </w:tc>
        <w:tc>
          <w:tcPr>
            <w:tcW w:w="3308" w:type="dxa"/>
            <w:tcMar>
              <w:top w:w="60" w:type="dxa"/>
              <w:left w:w="100" w:type="dxa"/>
              <w:bottom w:w="60" w:type="dxa"/>
              <w:right w:w="100" w:type="dxa"/>
            </w:tcMar>
            <w:vAlign w:val="center"/>
          </w:tcPr>
          <w:p w14:paraId="50D16D8F">
            <w:pPr>
              <w:spacing w:after="0" w:line="240" w:lineRule="auto"/>
              <w:jc w:val="center"/>
            </w:pPr>
            <w:r>
              <w:rPr>
                <w:rFonts w:ascii="Times New Roman" w:hAnsi="Times New Roman" w:eastAsia="Times New Roman" w:cs="Times New Roman"/>
                <w:b w:val="0"/>
                <w:bCs w:val="0"/>
                <w:sz w:val="20"/>
                <w:szCs w:val="20"/>
              </w:rPr>
              <w:t>Independent agreement supports a staged information-first pilot.</w:t>
            </w:r>
          </w:p>
        </w:tc>
      </w:tr>
    </w:tbl>
    <w:p w14:paraId="518AD21B">
      <w:pPr>
        <w:spacing w:line="360" w:lineRule="auto"/>
        <w:sectPr>
          <w:footerReference r:id="rId8" w:type="default"/>
          <w:pgSz w:w="16838" w:h="11906" w:orient="landscape"/>
          <w:pgMar w:top="1000" w:right="900" w:bottom="1000" w:left="900" w:header="708" w:footer="708" w:gutter="0"/>
          <w:cols w:space="720" w:num="1"/>
          <w:docGrid w:linePitch="360" w:charSpace="0"/>
        </w:sectPr>
      </w:pPr>
    </w:p>
    <w:p w14:paraId="6D247FDF">
      <w:pPr>
        <w:spacing w:after="0" w:line="360" w:lineRule="auto"/>
        <w:jc w:val="both"/>
      </w:pPr>
      <w:r>
        <w:rPr>
          <w:rFonts w:ascii="Times New Roman" w:hAnsi="Times New Roman" w:eastAsia="Times New Roman" w:cs="Times New Roman"/>
          <w:sz w:val="24"/>
          <w:szCs w:val="24"/>
        </w:rPr>
        <w:t>Both interviews rated the information/guidance gap 4/5. This agreement is analytically useful but is not a population estimate because the evidence consists of one group-mate perspective and one simulated GenAI perspective.</w:t>
      </w:r>
    </w:p>
    <w:p w14:paraId="2AF98F5B">
      <w:pPr>
        <w:pStyle w:val="3"/>
        <w:spacing w:before="240" w:after="140" w:line="360" w:lineRule="auto"/>
        <w:outlineLvl w:val="1"/>
      </w:pPr>
      <w:r>
        <w:rPr>
          <w:rFonts w:ascii="Times New Roman" w:hAnsi="Times New Roman" w:eastAsia="Times New Roman" w:cs="Times New Roman"/>
          <w:b/>
          <w:bCs/>
          <w:i/>
          <w:iCs/>
          <w:color w:val="000000"/>
          <w:sz w:val="28"/>
          <w:szCs w:val="28"/>
        </w:rPr>
        <w:t>6.3 Hypothesis decision</w:t>
      </w:r>
    </w:p>
    <w:p>
      <w:pPr>
        <w:spacing w:after="160" w:line="360" w:lineRule="auto"/>
        <w:jc w:val="both"/>
      </w:pPr>
      <w:r>
        <w:rPr>
          <w:rFonts w:ascii="Times New Roman" w:hAnsi="Times New Roman" w:eastAsia="Times New Roman"/>
          <w:b/>
          <w:sz w:val="24"/>
        </w:rPr>
        <w:t>Decision: H2 is provisionally proven; the workflow proceeds to solution development rather than iterating to another hypothesis.</w:t>
      </w:r>
    </w:p>
    <w:p w14:paraId="17215386">
      <w:pPr>
        <w:spacing w:after="0" w:line="360" w:lineRule="auto"/>
        <w:jc w:val="both"/>
      </w:pPr>
      <w:r>
        <w:rPr>
          <w:rFonts w:ascii="Times New Roman" w:hAnsi="Times New Roman" w:eastAsia="Times New Roman" w:cs="Times New Roman"/>
          <w:sz w:val="24"/>
          <w:szCs w:val="24"/>
        </w:rPr>
        <w:t xml:space="preserve">Against the pre-set qualitative decision rule, H2 is </w:t>
      </w:r>
      <w:r>
        <w:rPr>
          <w:rFonts w:ascii="Times New Roman" w:hAnsi="Times New Roman" w:eastAsia="Times New Roman" w:cs="Times New Roman"/>
          <w:b/>
          <w:bCs/>
          <w:sz w:val="24"/>
          <w:szCs w:val="24"/>
        </w:rPr>
        <w:t>provisionally proven for this assignment's next step</w:t>
      </w:r>
      <w:r>
        <w:rPr>
          <w:rFonts w:ascii="Times New Roman" w:hAnsi="Times New Roman" w:eastAsia="Times New Roman" w:cs="Times New Roman"/>
          <w:sz w:val="24"/>
          <w:szCs w:val="24"/>
        </w:rPr>
        <w:t>; in research terms, it is supported for solution development with material qualifications. Both interviews independently identified the absence of embedded evidence as a material contributor to decision difficulty and described the same mechanism: the customer must find historical data, decide what counts as normal, translate it into future need and compare plans expressed through different attributes. Neither interview identified a rival explanation that wholly displaced this mechanism. The workflow therefore proceeds to solution development rather than iterating to another hypothesis. However, trust, contractual restrictions, plan complexity and future uncertainty may dominate for some customers.</w:t>
      </w:r>
    </w:p>
    <w:p w14:paraId="57ECB841">
      <w:pPr>
        <w:spacing w:after="0" w:line="360" w:lineRule="auto"/>
        <w:jc w:val="both"/>
      </w:pPr>
      <w:r>
        <w:rPr>
          <w:rFonts w:ascii="Times New Roman" w:hAnsi="Times New Roman" w:eastAsia="Times New Roman" w:cs="Times New Roman"/>
          <w:sz w:val="24"/>
          <w:szCs w:val="24"/>
        </w:rPr>
        <w:t>Here, “provisionally proven” is the binary workflow decision required by the assignment; it is not causal or population-level proof. The evidence does not establish that the redesign will create a five-percentage-point uplift, improve retention or raise financial value. It supports designing and testing a solution. The refined testable hypothesis is:</w:t>
      </w:r>
    </w:p>
    <w:p w14:paraId="26DC1AB0">
      <w:pPr>
        <w:pBdr>
          <w:left w:val="single" w:color="999999" w:sz="6" w:space="8"/>
        </w:pBdr>
        <w:spacing w:after="0" w:line="360" w:lineRule="auto"/>
        <w:ind w:left="560" w:right="560"/>
      </w:pPr>
      <w:r>
        <w:rPr>
          <w:rFonts w:ascii="Times New Roman" w:hAnsi="Times New Roman" w:eastAsia="Times New Roman" w:cs="Times New Roman"/>
          <w:i/>
          <w:iCs/>
          <w:sz w:val="24"/>
          <w:szCs w:val="24"/>
        </w:rPr>
        <w:t>Providing an embedded 12-month usage-and-spend snapshot will reduce annual plan-review decision effort and improve appropriate plan choice compared with a link-only summary; explainable personalised guidance may provide additional benefit, conditional on trust, plan comparability and customer control.</w:t>
      </w:r>
    </w:p>
    <w:p w14:paraId="24F747D1">
      <w:pPr>
        <w:spacing w:after="0" w:line="360" w:lineRule="auto"/>
        <w:jc w:val="both"/>
      </w:pPr>
      <w:r>
        <w:rPr>
          <w:rFonts w:ascii="Times New Roman" w:hAnsi="Times New Roman" w:eastAsia="Times New Roman" w:cs="Times New Roman"/>
          <w:sz w:val="24"/>
          <w:szCs w:val="24"/>
        </w:rPr>
        <w:t>This refinement separates the lower-risk information intervention from the higher-governance recommendation intervention.</w:t>
      </w:r>
    </w:p>
    <w:p w14:paraId="6C7B07CE">
      <w:pPr>
        <w:pStyle w:val="2"/>
        <w:spacing w:before="320" w:after="160" w:line="360" w:lineRule="auto"/>
        <w:outlineLvl w:val="0"/>
      </w:pPr>
      <w:r>
        <w:rPr>
          <w:rFonts w:ascii="Times New Roman" w:hAnsi="Times New Roman" w:eastAsia="Times New Roman" w:cs="Times New Roman"/>
          <w:b/>
          <w:bCs/>
          <w:color w:val="000000"/>
          <w:sz w:val="28"/>
          <w:szCs w:val="28"/>
        </w:rPr>
        <w:t>7. Data Analysis, Interpretation and Probable Solutions</w:t>
      </w:r>
    </w:p>
    <w:p w14:paraId="5D603510">
      <w:pPr>
        <w:pStyle w:val="3"/>
        <w:spacing w:before="240" w:after="140" w:line="360" w:lineRule="auto"/>
        <w:outlineLvl w:val="1"/>
      </w:pPr>
      <w:r>
        <w:rPr>
          <w:rFonts w:ascii="Times New Roman" w:hAnsi="Times New Roman" w:eastAsia="Times New Roman" w:cs="Times New Roman"/>
          <w:b/>
          <w:bCs/>
          <w:i/>
          <w:iCs/>
          <w:color w:val="000000"/>
          <w:sz w:val="28"/>
          <w:szCs w:val="28"/>
        </w:rPr>
        <w:t>7.1 External evidence and evidential limits</w:t>
      </w:r>
    </w:p>
    <w:p w14:paraId="03836808">
      <w:pPr>
        <w:spacing w:after="0" w:line="360" w:lineRule="auto"/>
        <w:jc w:val="both"/>
      </w:pPr>
      <w:r>
        <w:rPr>
          <w:rFonts w:ascii="Times New Roman" w:hAnsi="Times New Roman" w:eastAsia="Times New Roman" w:cs="Times New Roman"/>
          <w:sz w:val="24"/>
          <w:szCs w:val="24"/>
        </w:rPr>
        <w:t>The interview mechanism is consistent with New Zealand market evidence but should not be presented as direct proof of Spark-specific customer behaviour. The Commerce Commission reported in March 2025 that 31% of mobile consumers had not switched because changing providers required too much effort, while 50% of mobile switchers encountered at least one problem (Commerce Commission, 2025a). The Commission also found that providers needed to improve the information available for customers to judge plan suitability. Spark's 2024 approach had included usage-based recommendations, but the Commission reported in 2025 that Spark had ended the initiative and that the three largest providers were not giving consumers sufficiently clear access to the information needed to make informed plan choices (Commerce Commission, 2024, 2025b).</w:t>
      </w:r>
    </w:p>
    <w:p w14:paraId="7FF7299C">
      <w:pPr>
        <w:spacing w:after="0" w:line="360" w:lineRule="auto"/>
        <w:jc w:val="both"/>
      </w:pPr>
      <w:r>
        <w:rPr>
          <w:rFonts w:ascii="Times New Roman" w:hAnsi="Times New Roman" w:eastAsia="Times New Roman" w:cs="Times New Roman"/>
          <w:sz w:val="24"/>
          <w:szCs w:val="24"/>
        </w:rPr>
        <w:t>These findings establish industry-level relevance and the reported design change. They do not reveal Spark's review completion, abandonment, plan-fit, churn, ARPU or complaint outcomes. Those variables remain proposed client-side measures.</w:t>
      </w:r>
    </w:p>
    <w:p w14:paraId="39E5CEDD">
      <w:pPr>
        <w:pStyle w:val="3"/>
        <w:spacing w:before="240" w:after="140" w:line="360" w:lineRule="auto"/>
        <w:outlineLvl w:val="1"/>
      </w:pPr>
      <w:r>
        <w:rPr>
          <w:rFonts w:ascii="Times New Roman" w:hAnsi="Times New Roman" w:eastAsia="Times New Roman" w:cs="Times New Roman"/>
          <w:b/>
          <w:bCs/>
          <w:i/>
          <w:iCs/>
          <w:color w:val="000000"/>
          <w:sz w:val="28"/>
          <w:szCs w:val="28"/>
        </w:rPr>
        <w:t>7.2 Solution Tree</w:t>
      </w:r>
    </w:p>
    <w:p w14:paraId="6A640EBB">
      <w:pPr>
        <w:spacing w:after="160" w:line="240" w:lineRule="auto"/>
        <w:jc w:val="both"/>
      </w:pPr>
      <w:r>
        <w:rPr>
          <w:rFonts w:ascii="Times New Roman" w:hAnsi="Times New Roman" w:eastAsia="Times New Roman"/>
          <w:sz w:val="22"/>
        </w:rPr>
        <w:t>Figure 3 traces each issue through a supported or testable root cause to a distinct solution pathway. Pathway A is prioritised; B and C are retained as staged or supporting alternatives, while D is a deliberately broad comparator that is rejected as the first implementation.</w:t>
      </w:r>
    </w:p>
    <w:p w14:paraId="35A8A3B6">
      <w:pPr>
        <w:keepNext/>
        <w:spacing w:before="100" w:after="60" w:line="360" w:lineRule="auto"/>
        <w:jc w:val="center"/>
      </w:pPr>
      <w:r>
        <w:rPr>
          <w:rFonts w:ascii="Times New Roman" w:hAnsi="Times New Roman" w:eastAsia="Times New Roman"/>
          <w:sz w:val="24"/>
        </w:rPr>
        <w:drawing>
          <wp:inline distT="0" distB="0" distL="114300" distR="114300">
            <wp:extent cx="6035040" cy="4318915"/>
            <wp:effectExtent l="0" t="0" r="1016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6035040" cy="4318915"/>
                    </a:xfrm>
                    <a:prstGeom prst="rect">
                      <a:avLst/>
                    </a:prstGeom>
                  </pic:spPr>
                </pic:pic>
              </a:graphicData>
            </a:graphic>
          </wp:inline>
        </w:drawing>
      </w:r>
    </w:p>
    <w:p w14:paraId="4C9DF33A">
      <w:pPr>
        <w:keepNext/>
        <w:spacing w:before="80" w:after="80" w:line="240" w:lineRule="auto"/>
        <w:jc w:val="center"/>
      </w:pPr>
      <w:r>
        <w:rPr>
          <w:rFonts w:ascii="Times New Roman" w:hAnsi="Times New Roman" w:eastAsia="Times New Roman"/>
          <w:b/>
          <w:sz w:val="22"/>
        </w:rPr>
        <w:t>Figure 3. Solution Tree from issues and root causes to four solution pathways.</w:t>
      </w:r>
    </w:p>
    <w:p w14:paraId="43112FD5">
      <w:pPr>
        <w:spacing w:after="0" w:line="360" w:lineRule="auto"/>
        <w:jc w:val="both"/>
      </w:pPr>
      <w:r>
        <w:rPr>
          <w:rFonts w:ascii="Times New Roman" w:hAnsi="Times New Roman" w:eastAsia="Times New Roman"/>
          <w:sz w:val="24"/>
        </w:rPr>
        <w:t>The first three branches isolate distinct intervention mechanisms: provide evidence, automate interpretation, and reduce navigation friction. Pathway D is retained as a deliberately broader scope comparator rather than a co-deployed component. Table 5 therefore evaluates the same four labelled pathways and shows why Pathway A should be implemented first. This structure follows the course definition of a Solution Tree and its prioritisation by feasibility, cost and impact (University of Auckland, 2026c, slides 39–41).</w:t>
      </w:r>
    </w:p>
    <w:p w14:paraId="0BFDB650">
      <w:pPr>
        <w:pStyle w:val="3"/>
        <w:spacing w:before="240" w:after="140" w:line="360" w:lineRule="auto"/>
        <w:outlineLvl w:val="1"/>
      </w:pPr>
      <w:r>
        <w:rPr>
          <w:rFonts w:ascii="Times New Roman" w:hAnsi="Times New Roman" w:eastAsia="Times New Roman" w:cs="Times New Roman"/>
          <w:b/>
          <w:bCs/>
          <w:i/>
          <w:iCs/>
          <w:color w:val="000000"/>
          <w:sz w:val="28"/>
          <w:szCs w:val="28"/>
        </w:rPr>
        <w:t>7.3 Evaluation of solution pathways</w:t>
      </w:r>
    </w:p>
    <w:p w14:paraId="1D1768DF">
      <w:pPr>
        <w:keepNext/>
        <w:spacing w:before="120" w:after="200" w:line="240" w:lineRule="auto"/>
        <w:jc w:val="center"/>
      </w:pPr>
      <w:r>
        <w:rPr>
          <w:rFonts w:ascii="Times New Roman" w:hAnsi="Times New Roman" w:eastAsia="Times New Roman" w:cs="Times New Roman"/>
          <w:b/>
          <w:bCs/>
          <w:sz w:val="22"/>
          <w:szCs w:val="22"/>
        </w:rPr>
        <w:t>Table 5. Evaluation of solution pathways.</w:t>
      </w:r>
    </w:p>
    <w:tbl>
      <w:tblPr>
        <w:tblStyle w:val="11"/>
        <w:tblpPr w:leftFromText="180" w:rightFromText="180" w:vertAnchor="text" w:horzAnchor="page" w:tblpX="1549" w:tblpY="886"/>
        <w:tblOverlap w:val="never"/>
        <w:tblW w:w="8456" w:type="dxa"/>
        <w:jc w:val="center"/>
        <w:tblBorders>
          <w:top w:val="single" w:color="AAB4BF" w:sz="6" w:space="0"/>
          <w:left w:val="single" w:color="AAB4BF" w:sz="6" w:space="0"/>
          <w:bottom w:val="single" w:color="AAB4BF" w:sz="6" w:space="0"/>
          <w:right w:val="single" w:color="AAB4BF" w:sz="6" w:space="0"/>
          <w:insideH w:val="single" w:color="AAB4BF" w:sz="6" w:space="0"/>
          <w:insideV w:val="single" w:color="AAB4BF" w:sz="6" w:space="0"/>
        </w:tblBorders>
        <w:tblLayout w:type="fixed"/>
        <w:tblCellMar>
          <w:top w:w="0" w:type="dxa"/>
          <w:left w:w="10" w:type="dxa"/>
          <w:bottom w:w="0" w:type="dxa"/>
          <w:right w:w="10" w:type="dxa"/>
        </w:tblCellMar>
      </w:tblPr>
      <w:tblGrid>
        <w:gridCol w:w="1545"/>
        <w:gridCol w:w="1345"/>
        <w:gridCol w:w="1383"/>
        <w:gridCol w:w="1622"/>
        <w:gridCol w:w="1211"/>
        <w:gridCol w:w="1456"/>
      </w:tblGrid>
      <w:tr w14:paraId="1BEC37EB">
        <w:trPr>
          <w:cantSplit/>
          <w:trHeight w:val="963" w:hRule="atLeast"/>
          <w:tblHeader/>
          <w:jc w:val="center"/>
        </w:trPr>
        <w:tc>
          <w:tcPr>
            <w:tcW w:w="1584" w:type="dxa"/>
            <w:shd w:val="clear" w:color="auto" w:fill="17365D"/>
            <w:tcMar>
              <w:top w:w="70" w:type="dxa"/>
              <w:left w:w="85" w:type="dxa"/>
              <w:bottom w:w="70" w:type="dxa"/>
              <w:right w:w="85" w:type="dxa"/>
            </w:tcMar>
            <w:vAlign w:val="center"/>
          </w:tcPr>
          <w:p w14:paraId="21C73254">
            <w:pPr>
              <w:spacing w:before="0" w:after="0" w:line="240" w:lineRule="auto"/>
              <w:jc w:val="center"/>
            </w:pPr>
            <w:r>
              <w:rPr>
                <w:rFonts w:ascii="Times New Roman" w:hAnsi="Times New Roman" w:eastAsia="Times New Roman" w:cs="Times New Roman"/>
                <w:b/>
                <w:bCs/>
                <w:color w:val="FFFFFF"/>
                <w:sz w:val="20"/>
                <w:szCs w:val="20"/>
              </w:rPr>
              <w:t>Pathway</w:t>
            </w:r>
          </w:p>
        </w:tc>
        <w:tc>
          <w:tcPr>
            <w:tcW w:w="1512" w:type="dxa"/>
            <w:shd w:val="clear" w:color="auto" w:fill="17365D"/>
            <w:tcMar>
              <w:top w:w="70" w:type="dxa"/>
              <w:left w:w="85" w:type="dxa"/>
              <w:bottom w:w="70" w:type="dxa"/>
              <w:right w:w="85" w:type="dxa"/>
            </w:tcMar>
            <w:vAlign w:val="center"/>
          </w:tcPr>
          <w:p w14:paraId="307C4F73">
            <w:pPr>
              <w:spacing w:before="0" w:after="0" w:line="240" w:lineRule="auto"/>
              <w:jc w:val="center"/>
            </w:pPr>
            <w:r>
              <w:rPr>
                <w:rFonts w:ascii="Times New Roman" w:hAnsi="Times New Roman" w:eastAsia="Times New Roman" w:cs="Times New Roman"/>
                <w:b/>
                <w:bCs/>
                <w:color w:val="FFFFFF"/>
                <w:sz w:val="20"/>
                <w:szCs w:val="20"/>
              </w:rPr>
              <w:t>Expected impact</w:t>
            </w:r>
          </w:p>
        </w:tc>
        <w:tc>
          <w:tcPr>
            <w:tcW w:w="1512" w:type="dxa"/>
            <w:shd w:val="clear" w:color="auto" w:fill="17365D"/>
            <w:tcMar>
              <w:top w:w="70" w:type="dxa"/>
              <w:left w:w="85" w:type="dxa"/>
              <w:bottom w:w="70" w:type="dxa"/>
              <w:right w:w="85" w:type="dxa"/>
            </w:tcMar>
            <w:vAlign w:val="center"/>
          </w:tcPr>
          <w:p w14:paraId="417CE0AB">
            <w:pPr>
              <w:spacing w:before="0" w:after="0" w:line="240" w:lineRule="auto"/>
              <w:jc w:val="center"/>
            </w:pPr>
            <w:r>
              <w:rPr>
                <w:rFonts w:ascii="Times New Roman" w:hAnsi="Times New Roman" w:eastAsia="Times New Roman" w:cs="Times New Roman"/>
                <w:b/>
                <w:bCs/>
                <w:color w:val="FFFFFF"/>
                <w:sz w:val="20"/>
                <w:szCs w:val="20"/>
              </w:rPr>
              <w:t>Feasibility</w:t>
            </w:r>
          </w:p>
        </w:tc>
        <w:tc>
          <w:tcPr>
            <w:tcW w:w="1655" w:type="dxa"/>
            <w:shd w:val="clear" w:color="auto" w:fill="17365D"/>
            <w:tcMar>
              <w:top w:w="70" w:type="dxa"/>
              <w:left w:w="85" w:type="dxa"/>
              <w:bottom w:w="70" w:type="dxa"/>
              <w:right w:w="85" w:type="dxa"/>
            </w:tcMar>
            <w:vAlign w:val="center"/>
          </w:tcPr>
          <w:p w14:paraId="7B6472C6">
            <w:pPr>
              <w:spacing w:before="0" w:after="0" w:line="240" w:lineRule="auto"/>
              <w:jc w:val="center"/>
            </w:pPr>
            <w:r>
              <w:rPr>
                <w:rFonts w:ascii="Times New Roman" w:hAnsi="Times New Roman" w:eastAsia="Times New Roman" w:cs="Times New Roman"/>
                <w:b/>
                <w:bCs/>
                <w:color w:val="FFFFFF"/>
                <w:sz w:val="20"/>
                <w:szCs w:val="20"/>
              </w:rPr>
              <w:t>Main risk</w:t>
            </w:r>
          </w:p>
        </w:tc>
        <w:tc>
          <w:tcPr>
            <w:tcW w:w="1728" w:type="dxa"/>
            <w:shd w:val="clear" w:color="auto" w:fill="17365D"/>
            <w:tcMar>
              <w:top w:w="70" w:type="dxa"/>
              <w:left w:w="85" w:type="dxa"/>
              <w:bottom w:w="70" w:type="dxa"/>
              <w:right w:w="85" w:type="dxa"/>
            </w:tcMar>
            <w:vAlign w:val="center"/>
          </w:tcPr>
          <w:p w14:paraId="2EEC1074">
            <w:pPr>
              <w:spacing w:before="0" w:after="0" w:line="240" w:lineRule="auto"/>
              <w:jc w:val="center"/>
            </w:pPr>
            <w:r>
              <w:rPr>
                <w:rFonts w:ascii="Times New Roman" w:hAnsi="Times New Roman" w:eastAsia="Times New Roman" w:cs="Times New Roman"/>
                <w:b/>
                <w:bCs/>
                <w:color w:val="FFFFFF"/>
                <w:sz w:val="20"/>
                <w:szCs w:val="20"/>
              </w:rPr>
              <w:t>Evidence position</w:t>
            </w:r>
          </w:p>
        </w:tc>
        <w:tc>
          <w:tcPr>
            <w:tcW w:w="1584" w:type="dxa"/>
            <w:shd w:val="clear" w:color="auto" w:fill="17365D"/>
            <w:tcMar>
              <w:top w:w="70" w:type="dxa"/>
              <w:left w:w="85" w:type="dxa"/>
              <w:bottom w:w="70" w:type="dxa"/>
              <w:right w:w="85" w:type="dxa"/>
            </w:tcMar>
            <w:vAlign w:val="center"/>
          </w:tcPr>
          <w:p w14:paraId="13F3E40D">
            <w:pPr>
              <w:spacing w:before="0" w:after="0" w:line="240" w:lineRule="auto"/>
              <w:jc w:val="center"/>
            </w:pPr>
            <w:r>
              <w:rPr>
                <w:rFonts w:ascii="Times New Roman" w:hAnsi="Times New Roman" w:eastAsia="Times New Roman" w:cs="Times New Roman"/>
                <w:b/>
                <w:bCs/>
                <w:color w:val="FFFFFF"/>
                <w:sz w:val="20"/>
                <w:szCs w:val="20"/>
              </w:rPr>
              <w:t>Decision</w:t>
            </w:r>
          </w:p>
        </w:tc>
      </w:tr>
      <w:tr w14:paraId="7F7F6C3E">
        <w:trPr>
          <w:cantSplit/>
          <w:trHeight w:val="2513" w:hRule="atLeast"/>
          <w:jc w:val="center"/>
        </w:trPr>
        <w:tc>
          <w:tcPr>
            <w:tcW w:w="1584" w:type="dxa"/>
            <w:tcMar>
              <w:top w:w="70" w:type="dxa"/>
              <w:left w:w="85" w:type="dxa"/>
              <w:bottom w:w="70" w:type="dxa"/>
              <w:right w:w="85" w:type="dxa"/>
            </w:tcMar>
            <w:vAlign w:val="center"/>
          </w:tcPr>
          <w:p w14:paraId="0D6E0E8C">
            <w:pPr>
              <w:spacing w:before="0" w:after="0" w:line="240" w:lineRule="auto"/>
              <w:jc w:val="center"/>
            </w:pPr>
            <w:r>
              <w:rPr>
                <w:rFonts w:ascii="Times New Roman" w:hAnsi="Times New Roman" w:eastAsia="Times New Roman" w:cs="Times New Roman"/>
                <w:b w:val="0"/>
                <w:bCs w:val="0"/>
                <w:sz w:val="20"/>
                <w:szCs w:val="20"/>
              </w:rPr>
              <w:t>A. Embedded 12-month snapshot</w:t>
            </w:r>
          </w:p>
        </w:tc>
        <w:tc>
          <w:tcPr>
            <w:tcW w:w="1512" w:type="dxa"/>
            <w:tcMar>
              <w:top w:w="70" w:type="dxa"/>
              <w:left w:w="85" w:type="dxa"/>
              <w:bottom w:w="70" w:type="dxa"/>
              <w:right w:w="85" w:type="dxa"/>
            </w:tcMar>
            <w:vAlign w:val="center"/>
          </w:tcPr>
          <w:p w14:paraId="27C0CA49">
            <w:pPr>
              <w:spacing w:before="0" w:after="0" w:line="240" w:lineRule="auto"/>
              <w:jc w:val="center"/>
            </w:pPr>
            <w:r>
              <w:rPr>
                <w:rFonts w:ascii="Times New Roman" w:hAnsi="Times New Roman" w:eastAsia="Times New Roman" w:cs="Times New Roman"/>
                <w:b w:val="0"/>
                <w:bCs w:val="0"/>
                <w:sz w:val="20"/>
                <w:szCs w:val="20"/>
              </w:rPr>
              <w:t>Directly reduces evidence-retrieval and reconstruction effort</w:t>
            </w:r>
          </w:p>
        </w:tc>
        <w:tc>
          <w:tcPr>
            <w:tcW w:w="1512" w:type="dxa"/>
            <w:tcMar>
              <w:top w:w="70" w:type="dxa"/>
              <w:left w:w="85" w:type="dxa"/>
              <w:bottom w:w="70" w:type="dxa"/>
              <w:right w:w="85" w:type="dxa"/>
            </w:tcMar>
            <w:vAlign w:val="center"/>
          </w:tcPr>
          <w:p w14:paraId="690C1128">
            <w:pPr>
              <w:spacing w:before="0" w:after="0" w:line="240" w:lineRule="auto"/>
              <w:jc w:val="center"/>
            </w:pPr>
            <w:r>
              <w:rPr>
                <w:rFonts w:ascii="Times New Roman" w:hAnsi="Times New Roman" w:eastAsia="Times New Roman" w:cs="Times New Roman"/>
                <w:b w:val="0"/>
                <w:bCs w:val="0"/>
                <w:sz w:val="20"/>
                <w:szCs w:val="20"/>
              </w:rPr>
              <w:t>Relatively high — uses information already needed for billing, subject to validation</w:t>
            </w:r>
          </w:p>
        </w:tc>
        <w:tc>
          <w:tcPr>
            <w:tcW w:w="1655" w:type="dxa"/>
            <w:tcMar>
              <w:top w:w="70" w:type="dxa"/>
              <w:left w:w="85" w:type="dxa"/>
              <w:bottom w:w="70" w:type="dxa"/>
              <w:right w:w="85" w:type="dxa"/>
            </w:tcMar>
            <w:vAlign w:val="center"/>
          </w:tcPr>
          <w:p w14:paraId="39B94554">
            <w:pPr>
              <w:spacing w:before="0" w:after="0" w:line="240" w:lineRule="auto"/>
              <w:jc w:val="center"/>
            </w:pPr>
            <w:r>
              <w:rPr>
                <w:rFonts w:ascii="Times New Roman" w:hAnsi="Times New Roman" w:eastAsia="Times New Roman" w:cs="Times New Roman"/>
                <w:b w:val="0"/>
                <w:bCs w:val="0"/>
                <w:sz w:val="20"/>
                <w:szCs w:val="20"/>
              </w:rPr>
              <w:t>Incorrect, stale or privacy-sensitive presentation</w:t>
            </w:r>
          </w:p>
        </w:tc>
        <w:tc>
          <w:tcPr>
            <w:tcW w:w="1728" w:type="dxa"/>
            <w:tcMar>
              <w:top w:w="70" w:type="dxa"/>
              <w:left w:w="85" w:type="dxa"/>
              <w:bottom w:w="70" w:type="dxa"/>
              <w:right w:w="85" w:type="dxa"/>
            </w:tcMar>
            <w:vAlign w:val="center"/>
          </w:tcPr>
          <w:p w14:paraId="0CAF0061">
            <w:pPr>
              <w:spacing w:before="0" w:after="0" w:line="240" w:lineRule="auto"/>
              <w:jc w:val="center"/>
            </w:pPr>
            <w:r>
              <w:rPr>
                <w:rFonts w:ascii="Times New Roman" w:hAnsi="Times New Roman" w:eastAsia="Times New Roman" w:cs="Times New Roman"/>
                <w:b w:val="0"/>
                <w:bCs w:val="0"/>
                <w:sz w:val="20"/>
                <w:szCs w:val="20"/>
              </w:rPr>
              <w:t>Strongest convergence across both interviews</w:t>
            </w:r>
          </w:p>
        </w:tc>
        <w:tc>
          <w:tcPr>
            <w:tcW w:w="1584" w:type="dxa"/>
            <w:tcMar>
              <w:top w:w="70" w:type="dxa"/>
              <w:left w:w="85" w:type="dxa"/>
              <w:bottom w:w="70" w:type="dxa"/>
              <w:right w:w="85" w:type="dxa"/>
            </w:tcMar>
            <w:vAlign w:val="center"/>
          </w:tcPr>
          <w:p w14:paraId="26C3C9AC">
            <w:pPr>
              <w:spacing w:before="0" w:after="0" w:line="240" w:lineRule="auto"/>
              <w:jc w:val="center"/>
            </w:pPr>
            <w:r>
              <w:rPr>
                <w:rFonts w:ascii="Times New Roman" w:hAnsi="Times New Roman" w:eastAsia="Times New Roman" w:cs="Times New Roman"/>
                <w:b w:val="0"/>
                <w:bCs w:val="0"/>
                <w:sz w:val="20"/>
                <w:szCs w:val="20"/>
              </w:rPr>
              <w:t>Implement first through a controlled pilot</w:t>
            </w:r>
          </w:p>
        </w:tc>
      </w:tr>
      <w:tr w14:paraId="604AFF9A">
        <w:trPr>
          <w:cantSplit/>
          <w:trHeight w:val="2187" w:hRule="atLeast"/>
          <w:jc w:val="center"/>
        </w:trPr>
        <w:tc>
          <w:tcPr>
            <w:tcW w:w="1584" w:type="dxa"/>
            <w:shd w:val="clear" w:color="auto" w:fill="EAF2F8"/>
            <w:tcMar>
              <w:top w:w="70" w:type="dxa"/>
              <w:left w:w="85" w:type="dxa"/>
              <w:bottom w:w="70" w:type="dxa"/>
              <w:right w:w="85" w:type="dxa"/>
            </w:tcMar>
            <w:vAlign w:val="center"/>
          </w:tcPr>
          <w:p w14:paraId="36740681">
            <w:pPr>
              <w:spacing w:before="0" w:after="0" w:line="240" w:lineRule="auto"/>
              <w:jc w:val="center"/>
            </w:pPr>
            <w:r>
              <w:rPr>
                <w:rFonts w:ascii="Times New Roman" w:hAnsi="Times New Roman" w:eastAsia="Times New Roman" w:cs="Times New Roman"/>
                <w:b w:val="0"/>
                <w:bCs w:val="0"/>
                <w:sz w:val="20"/>
                <w:szCs w:val="20"/>
              </w:rPr>
              <w:t>B. Immediate personalised recommendation</w:t>
            </w:r>
          </w:p>
        </w:tc>
        <w:tc>
          <w:tcPr>
            <w:tcW w:w="1512" w:type="dxa"/>
            <w:shd w:val="clear" w:color="auto" w:fill="EAF2F8"/>
            <w:tcMar>
              <w:top w:w="70" w:type="dxa"/>
              <w:left w:w="85" w:type="dxa"/>
              <w:bottom w:w="70" w:type="dxa"/>
              <w:right w:w="85" w:type="dxa"/>
            </w:tcMar>
            <w:vAlign w:val="center"/>
          </w:tcPr>
          <w:p w14:paraId="11895E7A">
            <w:pPr>
              <w:spacing w:before="0" w:after="0" w:line="240" w:lineRule="auto"/>
              <w:jc w:val="center"/>
            </w:pPr>
            <w:r>
              <w:rPr>
                <w:rFonts w:ascii="Times New Roman" w:hAnsi="Times New Roman" w:eastAsia="Times New Roman" w:cs="Times New Roman"/>
                <w:b w:val="0"/>
                <w:bCs w:val="0"/>
                <w:sz w:val="20"/>
                <w:szCs w:val="20"/>
              </w:rPr>
              <w:t>Potentially reduces comparison effort further</w:t>
            </w:r>
          </w:p>
        </w:tc>
        <w:tc>
          <w:tcPr>
            <w:tcW w:w="1512" w:type="dxa"/>
            <w:shd w:val="clear" w:color="auto" w:fill="EAF2F8"/>
            <w:tcMar>
              <w:top w:w="70" w:type="dxa"/>
              <w:left w:w="85" w:type="dxa"/>
              <w:bottom w:w="70" w:type="dxa"/>
              <w:right w:w="85" w:type="dxa"/>
            </w:tcMar>
            <w:vAlign w:val="center"/>
          </w:tcPr>
          <w:p w14:paraId="376E42C9">
            <w:pPr>
              <w:spacing w:before="0" w:after="0" w:line="240" w:lineRule="auto"/>
              <w:jc w:val="center"/>
            </w:pPr>
            <w:r>
              <w:rPr>
                <w:rFonts w:ascii="Times New Roman" w:hAnsi="Times New Roman" w:eastAsia="Times New Roman" w:cs="Times New Roman"/>
                <w:b w:val="0"/>
                <w:bCs w:val="0"/>
                <w:sz w:val="20"/>
                <w:szCs w:val="20"/>
              </w:rPr>
              <w:t>Medium/low — rules, accountability, explainability and channel support required</w:t>
            </w:r>
          </w:p>
        </w:tc>
        <w:tc>
          <w:tcPr>
            <w:tcW w:w="1655" w:type="dxa"/>
            <w:shd w:val="clear" w:color="auto" w:fill="EAF2F8"/>
            <w:tcMar>
              <w:top w:w="70" w:type="dxa"/>
              <w:left w:w="85" w:type="dxa"/>
              <w:bottom w:w="70" w:type="dxa"/>
              <w:right w:w="85" w:type="dxa"/>
            </w:tcMar>
            <w:vAlign w:val="center"/>
          </w:tcPr>
          <w:p w14:paraId="6A724D64">
            <w:pPr>
              <w:spacing w:before="0" w:after="0" w:line="240" w:lineRule="auto"/>
              <w:jc w:val="center"/>
            </w:pPr>
            <w:r>
              <w:rPr>
                <w:rFonts w:ascii="Times New Roman" w:hAnsi="Times New Roman" w:eastAsia="Times New Roman" w:cs="Times New Roman"/>
                <w:b w:val="0"/>
                <w:bCs w:val="0"/>
                <w:sz w:val="20"/>
                <w:szCs w:val="20"/>
              </w:rPr>
              <w:t>Bias, automation reliance, distrust and inappropriate recommendations</w:t>
            </w:r>
          </w:p>
        </w:tc>
        <w:tc>
          <w:tcPr>
            <w:tcW w:w="1728" w:type="dxa"/>
            <w:shd w:val="clear" w:color="auto" w:fill="EAF2F8"/>
            <w:tcMar>
              <w:top w:w="70" w:type="dxa"/>
              <w:left w:w="85" w:type="dxa"/>
              <w:bottom w:w="70" w:type="dxa"/>
              <w:right w:w="85" w:type="dxa"/>
            </w:tcMar>
            <w:vAlign w:val="center"/>
          </w:tcPr>
          <w:p w14:paraId="49443095">
            <w:pPr>
              <w:spacing w:before="0" w:after="0" w:line="240" w:lineRule="auto"/>
              <w:jc w:val="center"/>
            </w:pPr>
            <w:r>
              <w:rPr>
                <w:rFonts w:ascii="Times New Roman" w:hAnsi="Times New Roman" w:eastAsia="Times New Roman" w:cs="Times New Roman"/>
                <w:b w:val="0"/>
                <w:bCs w:val="0"/>
                <w:sz w:val="20"/>
                <w:szCs w:val="20"/>
              </w:rPr>
              <w:t>Promising but qualified</w:t>
            </w:r>
          </w:p>
        </w:tc>
        <w:tc>
          <w:tcPr>
            <w:tcW w:w="1584" w:type="dxa"/>
            <w:shd w:val="clear" w:color="auto" w:fill="EAF2F8"/>
            <w:tcMar>
              <w:top w:w="70" w:type="dxa"/>
              <w:left w:w="85" w:type="dxa"/>
              <w:bottom w:w="70" w:type="dxa"/>
              <w:right w:w="85" w:type="dxa"/>
            </w:tcMar>
            <w:vAlign w:val="center"/>
          </w:tcPr>
          <w:p w14:paraId="16A9DD8B">
            <w:pPr>
              <w:spacing w:before="0" w:after="0" w:line="240" w:lineRule="auto"/>
              <w:jc w:val="center"/>
            </w:pPr>
            <w:r>
              <w:rPr>
                <w:rFonts w:ascii="Times New Roman" w:hAnsi="Times New Roman" w:eastAsia="Times New Roman" w:cs="Times New Roman"/>
                <w:b w:val="0"/>
                <w:bCs w:val="0"/>
                <w:sz w:val="20"/>
                <w:szCs w:val="20"/>
              </w:rPr>
              <w:t>Defer until Pathway A is validated</w:t>
            </w:r>
          </w:p>
        </w:tc>
      </w:tr>
      <w:tr w14:paraId="390F82C8">
        <w:trPr>
          <w:cantSplit/>
          <w:trHeight w:val="1850" w:hRule="atLeast"/>
          <w:jc w:val="center"/>
        </w:trPr>
        <w:tc>
          <w:tcPr>
            <w:tcW w:w="1584" w:type="dxa"/>
            <w:tcMar>
              <w:top w:w="70" w:type="dxa"/>
              <w:left w:w="85" w:type="dxa"/>
              <w:bottom w:w="70" w:type="dxa"/>
              <w:right w:w="85" w:type="dxa"/>
            </w:tcMar>
            <w:vAlign w:val="center"/>
          </w:tcPr>
          <w:p w14:paraId="11798C6F">
            <w:pPr>
              <w:spacing w:before="0" w:after="0" w:line="240" w:lineRule="auto"/>
              <w:jc w:val="center"/>
            </w:pPr>
            <w:r>
              <w:rPr>
                <w:rFonts w:ascii="Times New Roman" w:hAnsi="Times New Roman" w:eastAsia="Times New Roman" w:cs="Times New Roman"/>
                <w:b w:val="0"/>
                <w:bCs w:val="0"/>
                <w:sz w:val="20"/>
                <w:szCs w:val="20"/>
              </w:rPr>
              <w:t>C. Navigation-only redesign</w:t>
            </w:r>
          </w:p>
        </w:tc>
        <w:tc>
          <w:tcPr>
            <w:tcW w:w="1512" w:type="dxa"/>
            <w:tcMar>
              <w:top w:w="70" w:type="dxa"/>
              <w:left w:w="85" w:type="dxa"/>
              <w:bottom w:w="70" w:type="dxa"/>
              <w:right w:w="85" w:type="dxa"/>
            </w:tcMar>
            <w:vAlign w:val="center"/>
          </w:tcPr>
          <w:p w14:paraId="32BC2DA5">
            <w:pPr>
              <w:spacing w:before="0" w:after="0" w:line="240" w:lineRule="auto"/>
              <w:jc w:val="center"/>
            </w:pPr>
            <w:r>
              <w:rPr>
                <w:rFonts w:ascii="Times New Roman" w:hAnsi="Times New Roman" w:eastAsia="Times New Roman" w:cs="Times New Roman"/>
                <w:b w:val="0"/>
                <w:bCs w:val="0"/>
                <w:sz w:val="20"/>
                <w:szCs w:val="20"/>
              </w:rPr>
              <w:t>May reduce interruption and authentication friction</w:t>
            </w:r>
          </w:p>
        </w:tc>
        <w:tc>
          <w:tcPr>
            <w:tcW w:w="1512" w:type="dxa"/>
            <w:tcMar>
              <w:top w:w="70" w:type="dxa"/>
              <w:left w:w="85" w:type="dxa"/>
              <w:bottom w:w="70" w:type="dxa"/>
              <w:right w:w="85" w:type="dxa"/>
            </w:tcMar>
            <w:vAlign w:val="center"/>
          </w:tcPr>
          <w:p w14:paraId="58B33F28">
            <w:pPr>
              <w:spacing w:before="0" w:after="0" w:line="240" w:lineRule="auto"/>
              <w:jc w:val="center"/>
            </w:pPr>
            <w:r>
              <w:rPr>
                <w:rFonts w:ascii="Times New Roman" w:hAnsi="Times New Roman" w:eastAsia="Times New Roman" w:cs="Times New Roman"/>
                <w:b w:val="0"/>
                <w:bCs w:val="0"/>
                <w:sz w:val="20"/>
                <w:szCs w:val="20"/>
              </w:rPr>
              <w:t>Medium/high</w:t>
            </w:r>
          </w:p>
        </w:tc>
        <w:tc>
          <w:tcPr>
            <w:tcW w:w="1655" w:type="dxa"/>
            <w:tcMar>
              <w:top w:w="70" w:type="dxa"/>
              <w:left w:w="85" w:type="dxa"/>
              <w:bottom w:w="70" w:type="dxa"/>
              <w:right w:w="85" w:type="dxa"/>
            </w:tcMar>
            <w:vAlign w:val="center"/>
          </w:tcPr>
          <w:p w14:paraId="125FF931">
            <w:pPr>
              <w:spacing w:before="0" w:after="0" w:line="240" w:lineRule="auto"/>
              <w:jc w:val="center"/>
            </w:pPr>
            <w:r>
              <w:rPr>
                <w:rFonts w:ascii="Times New Roman" w:hAnsi="Times New Roman" w:eastAsia="Times New Roman" w:cs="Times New Roman"/>
                <w:b w:val="0"/>
                <w:bCs w:val="0"/>
                <w:sz w:val="20"/>
                <w:szCs w:val="20"/>
              </w:rPr>
              <w:t>Treats a secondary friction as the root cause</w:t>
            </w:r>
          </w:p>
        </w:tc>
        <w:tc>
          <w:tcPr>
            <w:tcW w:w="1728" w:type="dxa"/>
            <w:tcMar>
              <w:top w:w="70" w:type="dxa"/>
              <w:left w:w="85" w:type="dxa"/>
              <w:bottom w:w="70" w:type="dxa"/>
              <w:right w:w="85" w:type="dxa"/>
            </w:tcMar>
            <w:vAlign w:val="center"/>
          </w:tcPr>
          <w:p w14:paraId="6B7AAF19">
            <w:pPr>
              <w:spacing w:before="0" w:after="0" w:line="240" w:lineRule="auto"/>
              <w:jc w:val="center"/>
            </w:pPr>
            <w:r>
              <w:rPr>
                <w:rFonts w:ascii="Times New Roman" w:hAnsi="Times New Roman" w:eastAsia="Times New Roman" w:cs="Times New Roman"/>
                <w:b w:val="0"/>
                <w:bCs w:val="0"/>
                <w:sz w:val="20"/>
                <w:szCs w:val="20"/>
              </w:rPr>
              <w:t>Both interviews said the click itself was not the main burden</w:t>
            </w:r>
          </w:p>
        </w:tc>
        <w:tc>
          <w:tcPr>
            <w:tcW w:w="1584" w:type="dxa"/>
            <w:tcMar>
              <w:top w:w="70" w:type="dxa"/>
              <w:left w:w="85" w:type="dxa"/>
              <w:bottom w:w="70" w:type="dxa"/>
              <w:right w:w="85" w:type="dxa"/>
            </w:tcMar>
            <w:vAlign w:val="center"/>
          </w:tcPr>
          <w:p w14:paraId="6BA71144">
            <w:pPr>
              <w:spacing w:before="0" w:after="0" w:line="240" w:lineRule="auto"/>
              <w:jc w:val="center"/>
            </w:pPr>
            <w:r>
              <w:rPr>
                <w:rFonts w:ascii="Times New Roman" w:hAnsi="Times New Roman" w:eastAsia="Times New Roman" w:cs="Times New Roman"/>
                <w:b w:val="0"/>
                <w:bCs w:val="0"/>
                <w:sz w:val="20"/>
                <w:szCs w:val="20"/>
              </w:rPr>
              <w:t>Include only as supporting design</w:t>
            </w:r>
          </w:p>
        </w:tc>
      </w:tr>
      <w:tr w14:paraId="3CC9DCAF">
        <w:trPr>
          <w:cantSplit/>
          <w:trHeight w:val="1755" w:hRule="atLeast"/>
          <w:jc w:val="center"/>
        </w:trPr>
        <w:tc>
          <w:tcPr>
            <w:tcW w:w="1584" w:type="dxa"/>
            <w:shd w:val="clear" w:color="auto" w:fill="EAF2F8"/>
            <w:tcMar>
              <w:top w:w="70" w:type="dxa"/>
              <w:left w:w="85" w:type="dxa"/>
              <w:bottom w:w="70" w:type="dxa"/>
              <w:right w:w="85" w:type="dxa"/>
            </w:tcMar>
            <w:vAlign w:val="center"/>
          </w:tcPr>
          <w:p w14:paraId="7A1168B0">
            <w:pPr>
              <w:spacing w:before="0" w:after="0" w:line="240" w:lineRule="auto"/>
              <w:jc w:val="center"/>
            </w:pPr>
            <w:r>
              <w:rPr>
                <w:rFonts w:ascii="Times New Roman" w:hAnsi="Times New Roman" w:eastAsia="Times New Roman" w:cs="Times New Roman"/>
                <w:b w:val="0"/>
                <w:bCs w:val="0"/>
                <w:sz w:val="20"/>
                <w:szCs w:val="20"/>
              </w:rPr>
              <w:t>D. Full platform/process transformation</w:t>
            </w:r>
          </w:p>
        </w:tc>
        <w:tc>
          <w:tcPr>
            <w:tcW w:w="1512" w:type="dxa"/>
            <w:shd w:val="clear" w:color="auto" w:fill="EAF2F8"/>
            <w:tcMar>
              <w:top w:w="70" w:type="dxa"/>
              <w:left w:w="85" w:type="dxa"/>
              <w:bottom w:w="70" w:type="dxa"/>
              <w:right w:w="85" w:type="dxa"/>
            </w:tcMar>
            <w:vAlign w:val="center"/>
          </w:tcPr>
          <w:p w14:paraId="46C7FE6B">
            <w:pPr>
              <w:spacing w:before="0" w:after="0" w:line="240" w:lineRule="auto"/>
              <w:jc w:val="center"/>
            </w:pPr>
            <w:r>
              <w:rPr>
                <w:rFonts w:ascii="Times New Roman" w:hAnsi="Times New Roman" w:eastAsia="Times New Roman" w:cs="Times New Roman"/>
                <w:b w:val="0"/>
                <w:bCs w:val="0"/>
                <w:sz w:val="20"/>
                <w:szCs w:val="20"/>
              </w:rPr>
              <w:t>Could address information, comparison and governance together</w:t>
            </w:r>
          </w:p>
        </w:tc>
        <w:tc>
          <w:tcPr>
            <w:tcW w:w="1512" w:type="dxa"/>
            <w:shd w:val="clear" w:color="auto" w:fill="EAF2F8"/>
            <w:tcMar>
              <w:top w:w="70" w:type="dxa"/>
              <w:left w:w="85" w:type="dxa"/>
              <w:bottom w:w="70" w:type="dxa"/>
              <w:right w:w="85" w:type="dxa"/>
            </w:tcMar>
            <w:vAlign w:val="center"/>
          </w:tcPr>
          <w:p w14:paraId="4D654ABC">
            <w:pPr>
              <w:spacing w:before="0" w:after="0" w:line="240" w:lineRule="auto"/>
              <w:jc w:val="center"/>
            </w:pPr>
            <w:r>
              <w:rPr>
                <w:rFonts w:ascii="Times New Roman" w:hAnsi="Times New Roman" w:eastAsia="Times New Roman" w:cs="Times New Roman"/>
                <w:b w:val="0"/>
                <w:bCs w:val="0"/>
                <w:sz w:val="20"/>
                <w:szCs w:val="20"/>
              </w:rPr>
              <w:t>Low for an initial engagement</w:t>
            </w:r>
          </w:p>
        </w:tc>
        <w:tc>
          <w:tcPr>
            <w:tcW w:w="1655" w:type="dxa"/>
            <w:shd w:val="clear" w:color="auto" w:fill="EAF2F8"/>
            <w:tcMar>
              <w:top w:w="70" w:type="dxa"/>
              <w:left w:w="85" w:type="dxa"/>
              <w:bottom w:w="70" w:type="dxa"/>
              <w:right w:w="85" w:type="dxa"/>
            </w:tcMar>
            <w:vAlign w:val="center"/>
          </w:tcPr>
          <w:p w14:paraId="37469847">
            <w:pPr>
              <w:spacing w:before="0" w:after="0" w:line="240" w:lineRule="auto"/>
              <w:jc w:val="center"/>
            </w:pPr>
            <w:r>
              <w:rPr>
                <w:rFonts w:ascii="Times New Roman" w:hAnsi="Times New Roman" w:eastAsia="Times New Roman" w:cs="Times New Roman"/>
                <w:b w:val="0"/>
                <w:bCs w:val="0"/>
                <w:sz w:val="20"/>
                <w:szCs w:val="20"/>
              </w:rPr>
              <w:t>Excessive scope, cost and rework before causal evidence</w:t>
            </w:r>
          </w:p>
        </w:tc>
        <w:tc>
          <w:tcPr>
            <w:tcW w:w="1728" w:type="dxa"/>
            <w:shd w:val="clear" w:color="auto" w:fill="EAF2F8"/>
            <w:tcMar>
              <w:top w:w="70" w:type="dxa"/>
              <w:left w:w="85" w:type="dxa"/>
              <w:bottom w:w="70" w:type="dxa"/>
              <w:right w:w="85" w:type="dxa"/>
            </w:tcMar>
            <w:vAlign w:val="center"/>
          </w:tcPr>
          <w:p w14:paraId="48C1573D">
            <w:pPr>
              <w:spacing w:before="0" w:after="0" w:line="240" w:lineRule="auto"/>
              <w:jc w:val="center"/>
            </w:pPr>
            <w:r>
              <w:rPr>
                <w:rFonts w:ascii="Times New Roman" w:hAnsi="Times New Roman" w:eastAsia="Times New Roman" w:cs="Times New Roman"/>
                <w:b w:val="0"/>
                <w:bCs w:val="0"/>
                <w:sz w:val="20"/>
                <w:szCs w:val="20"/>
              </w:rPr>
              <w:t>Not justified by two interviews</w:t>
            </w:r>
          </w:p>
        </w:tc>
        <w:tc>
          <w:tcPr>
            <w:tcW w:w="1584" w:type="dxa"/>
            <w:shd w:val="clear" w:color="auto" w:fill="EAF2F8"/>
            <w:tcMar>
              <w:top w:w="70" w:type="dxa"/>
              <w:left w:w="85" w:type="dxa"/>
              <w:bottom w:w="70" w:type="dxa"/>
              <w:right w:w="85" w:type="dxa"/>
            </w:tcMar>
            <w:vAlign w:val="center"/>
          </w:tcPr>
          <w:p w14:paraId="26FFFF0E">
            <w:pPr>
              <w:spacing w:before="0" w:after="0" w:line="240" w:lineRule="auto"/>
              <w:jc w:val="center"/>
            </w:pPr>
            <w:r>
              <w:rPr>
                <w:rFonts w:ascii="Times New Roman" w:hAnsi="Times New Roman" w:eastAsia="Times New Roman" w:cs="Times New Roman"/>
                <w:b w:val="0"/>
                <w:bCs w:val="0"/>
                <w:sz w:val="20"/>
                <w:szCs w:val="20"/>
              </w:rPr>
              <w:t>Reject as first implementation</w:t>
            </w:r>
          </w:p>
        </w:tc>
      </w:tr>
    </w:tbl>
    <w:p w14:paraId="17BCABF7">
      <w:pPr>
        <w:spacing w:line="360" w:lineRule="auto"/>
      </w:pPr>
    </w:p>
    <w:p w14:paraId="79A1D692">
      <w:pPr>
        <w:bidi w:val="0"/>
        <w:spacing w:line="360" w:lineRule="auto"/>
        <w:rPr>
          <w:rFonts w:ascii="Times New Roman" w:hAnsi="Times New Roman" w:eastAsia="Times New Roman" w:cs="Times New Roman"/>
          <w:sz w:val="24"/>
          <w:szCs w:val="24"/>
        </w:rPr>
      </w:pPr>
    </w:p>
    <w:p w14:paraId="4E7F19E7">
      <w:pPr>
        <w:bidi w:val="0"/>
        <w:spacing w:line="360" w:lineRule="auto"/>
      </w:pPr>
    </w:p>
    <w:p w14:paraId="02907CD3">
      <w:pPr>
        <w:bidi w:val="0"/>
        <w:spacing w:line="360" w:lineRule="auto"/>
      </w:pPr>
    </w:p>
    <w:p w14:paraId="04528EB3">
      <w:pPr>
        <w:bidi w:val="0"/>
        <w:spacing w:line="360" w:lineRule="auto"/>
      </w:pPr>
    </w:p>
    <w:p w14:paraId="4C6A9AF0">
      <w:pPr>
        <w:bidi w:val="0"/>
        <w:spacing w:line="360" w:lineRule="auto"/>
      </w:pPr>
    </w:p>
    <w:p w14:paraId="6C445243">
      <w:pPr>
        <w:bidi w:val="0"/>
        <w:spacing w:line="360" w:lineRule="auto"/>
      </w:pPr>
    </w:p>
    <w:p w14:paraId="100C7A80">
      <w:pPr>
        <w:bidi w:val="0"/>
        <w:spacing w:line="360" w:lineRule="auto"/>
      </w:pPr>
    </w:p>
    <w:p w14:paraId="17CFEDC7">
      <w:pPr>
        <w:bidi w:val="0"/>
        <w:spacing w:line="360" w:lineRule="auto"/>
      </w:pPr>
    </w:p>
    <w:p w14:paraId="0790C242">
      <w:pPr>
        <w:bidi w:val="0"/>
        <w:spacing w:line="360" w:lineRule="auto"/>
      </w:pPr>
    </w:p>
    <w:p w14:paraId="29E820B1">
      <w:pPr>
        <w:bidi w:val="0"/>
        <w:spacing w:line="360" w:lineRule="auto"/>
      </w:pPr>
    </w:p>
    <w:p w14:paraId="1F975582">
      <w:pPr>
        <w:bidi w:val="0"/>
        <w:spacing w:line="360" w:lineRule="auto"/>
      </w:pPr>
    </w:p>
    <w:p w14:paraId="15DA2CA0">
      <w:pPr>
        <w:bidi w:val="0"/>
        <w:spacing w:line="360" w:lineRule="auto"/>
      </w:pPr>
    </w:p>
    <w:p w14:paraId="3C526E37">
      <w:pPr>
        <w:bidi w:val="0"/>
        <w:spacing w:line="360" w:lineRule="auto"/>
      </w:pPr>
    </w:p>
    <w:p w14:paraId="3D5D7A08">
      <w:pPr>
        <w:bidi w:val="0"/>
        <w:spacing w:line="360" w:lineRule="auto"/>
      </w:pPr>
    </w:p>
    <w:p w14:paraId="07FC4D84">
      <w:pPr>
        <w:bidi w:val="0"/>
        <w:spacing w:line="360" w:lineRule="auto"/>
      </w:pPr>
    </w:p>
    <w:p w14:paraId="6D7D4235">
      <w:pPr>
        <w:bidi w:val="0"/>
        <w:spacing w:line="360" w:lineRule="auto"/>
      </w:pPr>
    </w:p>
    <w:p w14:paraId="1C2F8235">
      <w:pPr>
        <w:bidi w:val="0"/>
        <w:spacing w:line="360" w:lineRule="auto"/>
      </w:pPr>
    </w:p>
    <w:p w14:paraId="564ADF22">
      <w:pPr>
        <w:bidi w:val="0"/>
        <w:spacing w:line="360" w:lineRule="auto"/>
      </w:pPr>
    </w:p>
    <w:p w14:paraId="19DA7166">
      <w:pPr>
        <w:bidi w:val="0"/>
        <w:spacing w:line="360" w:lineRule="auto"/>
      </w:pPr>
    </w:p>
    <w:p w14:paraId="7039CEF1">
      <w:pPr>
        <w:bidi w:val="0"/>
        <w:spacing w:line="360" w:lineRule="auto"/>
      </w:pPr>
    </w:p>
    <w:p w14:paraId="77873303">
      <w:pPr>
        <w:bidi w:val="0"/>
        <w:spacing w:line="360" w:lineRule="auto"/>
      </w:pPr>
    </w:p>
    <w:p w14:paraId="4DC608EE">
      <w:pPr>
        <w:bidi w:val="0"/>
        <w:spacing w:line="360" w:lineRule="auto"/>
      </w:pPr>
    </w:p>
    <w:p w14:paraId="4A2C867A">
      <w:pPr>
        <w:bidi w:val="0"/>
        <w:spacing w:line="360" w:lineRule="auto"/>
      </w:pPr>
    </w:p>
    <w:p w14:paraId="665C2C00">
      <w:pPr>
        <w:bidi w:val="0"/>
        <w:spacing w:line="360" w:lineRule="auto"/>
      </w:pPr>
    </w:p>
    <w:p w14:paraId="14C18B60">
      <w:pPr>
        <w:bidi w:val="0"/>
        <w:spacing w:line="360" w:lineRule="auto"/>
      </w:pPr>
    </w:p>
    <w:p w14:paraId="002054E0">
      <w:pPr>
        <w:bidi w:val="0"/>
        <w:spacing w:line="360" w:lineRule="auto"/>
      </w:pPr>
    </w:p>
    <w:p w14:paraId="10A48BEB">
      <w:pPr>
        <w:bidi w:val="0"/>
        <w:spacing w:line="360" w:lineRule="auto"/>
      </w:pPr>
    </w:p>
    <w:p w14:paraId="1C023373">
      <w:pPr>
        <w:bidi w:val="0"/>
        <w:spacing w:line="360" w:lineRule="auto"/>
      </w:pPr>
    </w:p>
    <w:p w14:paraId="5962CA60">
      <w:pPr>
        <w:bidi w:val="0"/>
        <w:spacing w:line="360" w:lineRule="auto"/>
      </w:pPr>
    </w:p>
    <w:p w14:paraId="2ED9DE1B">
      <w:pPr>
        <w:tabs>
          <w:tab w:val="left" w:pos="3998"/>
        </w:tabs>
        <w:bidi w:val="0"/>
        <w:spacing w:line="360" w:lineRule="auto"/>
        <w:jc w:val="left"/>
        <w:rPr>
          <w:rFonts w:hint="eastAsia" w:eastAsia="宋体"/>
          <w:lang w:eastAsia="zh-CN"/>
        </w:rPr>
        <w:sectPr>
          <w:footerReference r:id="rId9" w:type="default"/>
          <w:pgSz w:w="11906" w:h="16838"/>
          <w:pgMar w:top="1080" w:right="1200" w:bottom="1080" w:left="1200" w:header="708" w:footer="708" w:gutter="0"/>
          <w:cols w:space="720" w:num="1"/>
          <w:docGrid w:linePitch="360" w:charSpace="0"/>
        </w:sectPr>
      </w:pPr>
    </w:p>
    <w:p w14:paraId="39F28BD4">
      <w:pPr>
        <w:pStyle w:val="3"/>
        <w:spacing w:before="240" w:after="140" w:line="360" w:lineRule="auto"/>
        <w:outlineLvl w:val="1"/>
      </w:pPr>
      <w:r>
        <w:rPr>
          <w:rFonts w:ascii="Times New Roman" w:hAnsi="Times New Roman" w:eastAsia="Times New Roman" w:cs="Times New Roman"/>
          <w:b/>
          <w:bCs/>
          <w:i/>
          <w:iCs/>
          <w:color w:val="000000"/>
          <w:sz w:val="28"/>
          <w:szCs w:val="28"/>
        </w:rPr>
        <w:t>7.4 Best solution and Rosemann justification</w:t>
      </w:r>
    </w:p>
    <w:p w14:paraId="0F8F7969">
      <w:pPr>
        <w:spacing w:after="0" w:line="360" w:lineRule="auto"/>
        <w:jc w:val="both"/>
      </w:pPr>
      <w:r>
        <w:rPr>
          <w:rFonts w:ascii="Times New Roman" w:hAnsi="Times New Roman" w:eastAsia="Times New Roman" w:cs="Times New Roman"/>
          <w:sz w:val="24"/>
          <w:szCs w:val="24"/>
        </w:rPr>
        <w:t>The best immediate solution is a controlled pilot that embeds a concise 12-month usage-and-spend snapshot in the annual plan-review summary, supported by data validation, a clear assistance route and outcome logging. Personalised recommendations remain outside the first release and are considered only after the information intervention satisfies decision-quality and harm guardrails.</w:t>
      </w:r>
    </w:p>
    <w:p w14:paraId="7D21CBCB">
      <w:pPr>
        <w:spacing w:after="0" w:line="360" w:lineRule="auto"/>
        <w:jc w:val="both"/>
      </w:pPr>
      <w:r>
        <w:rPr>
          <w:rFonts w:ascii="Times New Roman" w:hAnsi="Times New Roman" w:eastAsia="Times New Roman" w:cs="Times New Roman"/>
          <w:sz w:val="24"/>
          <w:szCs w:val="24"/>
        </w:rPr>
        <w:t xml:space="preserve">This choice follows Rosemann's (2001) process-improvement logic in four ways. First, it applies </w:t>
      </w:r>
      <w:r>
        <w:rPr>
          <w:rFonts w:ascii="Times New Roman" w:hAnsi="Times New Roman" w:eastAsia="Times New Roman" w:cs="Times New Roman"/>
          <w:b/>
          <w:bCs/>
          <w:sz w:val="24"/>
          <w:szCs w:val="24"/>
        </w:rPr>
        <w:t>process-oriented optimisation of the outcome</w:t>
      </w:r>
      <w:r>
        <w:rPr>
          <w:rFonts w:ascii="Times New Roman" w:hAnsi="Times New Roman" w:eastAsia="Times New Roman" w:cs="Times New Roman"/>
          <w:sz w:val="24"/>
          <w:szCs w:val="24"/>
        </w:rPr>
        <w:t xml:space="preserve">: the annual summary is redesigned around the next process decision rather than functioning as a generic notice (p. 20). Second, it applies </w:t>
      </w:r>
      <w:r>
        <w:rPr>
          <w:rFonts w:ascii="Times New Roman" w:hAnsi="Times New Roman" w:eastAsia="Times New Roman" w:cs="Times New Roman"/>
          <w:b/>
          <w:bCs/>
          <w:sz w:val="24"/>
          <w:szCs w:val="24"/>
        </w:rPr>
        <w:t>activity elimination</w:t>
      </w:r>
      <w:r>
        <w:rPr>
          <w:rFonts w:ascii="Times New Roman" w:hAnsi="Times New Roman" w:eastAsia="Times New Roman" w:cs="Times New Roman"/>
          <w:sz w:val="24"/>
          <w:szCs w:val="24"/>
        </w:rPr>
        <w:t xml:space="preserve"> by removing the customer's non-value work of locating, aggregating and reconstructing information that the provider already holds (p. 21). Third, it uses </w:t>
      </w:r>
      <w:r>
        <w:rPr>
          <w:rFonts w:ascii="Times New Roman" w:hAnsi="Times New Roman" w:eastAsia="Times New Roman" w:cs="Times New Roman"/>
          <w:b/>
          <w:bCs/>
          <w:sz w:val="24"/>
          <w:szCs w:val="24"/>
        </w:rPr>
        <w:t>automation of activities</w:t>
      </w:r>
      <w:r>
        <w:rPr>
          <w:rFonts w:ascii="Times New Roman" w:hAnsi="Times New Roman" w:eastAsia="Times New Roman" w:cs="Times New Roman"/>
          <w:sz w:val="24"/>
          <w:szCs w:val="24"/>
        </w:rPr>
        <w:t xml:space="preserve"> to retrieve validated data, calculate customer-facing indicators and generate the snapshot consistently (p. 24). Fourth, it applies </w:t>
      </w:r>
      <w:r>
        <w:rPr>
          <w:rFonts w:ascii="Times New Roman" w:hAnsi="Times New Roman" w:eastAsia="Times New Roman" w:cs="Times New Roman"/>
          <w:b/>
          <w:bCs/>
          <w:sz w:val="24"/>
          <w:szCs w:val="24"/>
        </w:rPr>
        <w:t>resource-related improvement</w:t>
      </w:r>
      <w:r>
        <w:rPr>
          <w:rFonts w:ascii="Times New Roman" w:hAnsi="Times New Roman" w:eastAsia="Times New Roman" w:cs="Times New Roman"/>
          <w:sz w:val="24"/>
          <w:szCs w:val="24"/>
        </w:rPr>
        <w:t xml:space="preserve"> through end-to-end ownership and a shared evidence view for customer care, reducing handoffs and inconsistent explanations (pp. 26–27). Rosemann also recommends distinguishing achievable short-term and ideal longer-term TO-BE models (p. 27). The information-first pilot is the short-term TO-BE; explainable personalised guidance is the longer-term option after validation.</w:t>
      </w:r>
    </w:p>
    <w:p w14:paraId="12FFC217">
      <w:pPr>
        <w:spacing w:after="0" w:line="360" w:lineRule="auto"/>
        <w:jc w:val="both"/>
      </w:pPr>
      <w:r>
        <w:rPr>
          <w:rFonts w:ascii="Times New Roman" w:hAnsi="Times New Roman" w:eastAsia="Times New Roman" w:cs="Times New Roman"/>
          <w:sz w:val="24"/>
          <w:szCs w:val="24"/>
        </w:rPr>
        <w:t>The selection also reflects Rosemann's process-selection criteria (p. 4). The annual plan review has customer importance, a documented information weakness, and a feasible first redesign. It is therefore more defensible than beginning with a high-risk recommendation engine or full platform rebuild.</w:t>
      </w:r>
    </w:p>
    <w:p w14:paraId="2B7766A8">
      <w:pPr>
        <w:pStyle w:val="2"/>
        <w:spacing w:before="320" w:after="160" w:line="360" w:lineRule="auto"/>
        <w:outlineLvl w:val="0"/>
      </w:pPr>
      <w:r>
        <w:rPr>
          <w:rFonts w:ascii="Times New Roman" w:hAnsi="Times New Roman" w:eastAsia="Times New Roman" w:cs="Times New Roman"/>
          <w:b/>
          <w:bCs/>
          <w:color w:val="000000"/>
          <w:sz w:val="28"/>
          <w:szCs w:val="28"/>
        </w:rPr>
        <w:t>8. Proposed TO-BE Process</w:t>
      </w:r>
    </w:p>
    <w:p w14:paraId="32722F70">
      <w:pPr>
        <w:pStyle w:val="3"/>
        <w:spacing w:before="240" w:after="140" w:line="360" w:lineRule="auto"/>
        <w:outlineLvl w:val="1"/>
      </w:pPr>
      <w:r>
        <w:rPr>
          <w:rFonts w:ascii="Times New Roman" w:hAnsi="Times New Roman" w:eastAsia="Times New Roman" w:cs="Times New Roman"/>
          <w:b/>
          <w:bCs/>
          <w:i/>
          <w:iCs/>
          <w:color w:val="000000"/>
          <w:sz w:val="28"/>
          <w:szCs w:val="28"/>
        </w:rPr>
        <w:t>8.1 GenAI-supported development</w:t>
      </w:r>
    </w:p>
    <w:p w14:paraId="0DA7C987">
      <w:pPr>
        <w:spacing w:after="0" w:line="360" w:lineRule="auto"/>
        <w:jc w:val="both"/>
      </w:pPr>
      <w:r>
        <w:rPr>
          <w:rFonts w:ascii="Times New Roman" w:hAnsi="Times New Roman" w:eastAsia="Times New Roman" w:cs="Times New Roman"/>
          <w:sz w:val="24"/>
          <w:szCs w:val="24"/>
        </w:rPr>
        <w:t>A separate GenAI design interview was conducted on 17 August 2026 to challenge the structure, sequence, exceptions, responsibilities, gateways and controls of the selected TO-BE process (full transcript, Appendix D). The interaction added an explicit data-validity gateway, a controlled fallback for incomplete data, consistent information across self-service and customer-care channels, and KPI logging. It also challenged scope creep and confirmed that personalised recommendations should be excluded from the first operational model.</w:t>
      </w:r>
    </w:p>
    <w:p w14:paraId="427DE3E1">
      <w:pPr>
        <w:pStyle w:val="3"/>
        <w:spacing w:before="240" w:after="140" w:line="360" w:lineRule="auto"/>
        <w:outlineLvl w:val="1"/>
      </w:pPr>
      <w:r>
        <w:rPr>
          <w:rFonts w:ascii="Times New Roman" w:hAnsi="Times New Roman" w:eastAsia="Times New Roman"/>
          <w:color w:val="000000"/>
          <w:sz w:val="28"/>
        </w:rPr>
        <w:t>8.2 TO-BE process specification (modelled in SAP Signavio BPMN 2.0, Figure 4)</w:t>
      </w:r>
    </w:p>
    <w:p w14:paraId="363B10C2">
      <w:pPr>
        <w:spacing w:after="0" w:line="360" w:lineRule="auto"/>
        <w:jc w:val="both"/>
      </w:pPr>
      <w:r>
        <w:rPr>
          <w:rFonts w:ascii="Times New Roman" w:hAnsi="Times New Roman" w:eastAsia="Times New Roman" w:cs="Times New Roman"/>
          <w:b/>
          <w:bCs/>
          <w:sz w:val="24"/>
          <w:szCs w:val="24"/>
        </w:rPr>
        <w:t>Process boundary:</w:t>
      </w:r>
      <w:r>
        <w:rPr>
          <w:rFonts w:ascii="Times New Roman" w:hAnsi="Times New Roman" w:eastAsia="Times New Roman" w:cs="Times New Roman"/>
          <w:sz w:val="24"/>
          <w:szCs w:val="24"/>
        </w:rPr>
        <w:t xml:space="preserve"> start when an eligible customer's annual mobile plan review becomes due; end when a stay, change, assisted-review or deferred/no-decision outcome is recorded. Both AS-IS and TO-BE models were built directly in SAP Signavio and passed its BPMN 2.0 Convention Check with no structural errors before being exported as Figures 2 and 4.</w:t>
      </w:r>
    </w:p>
    <w:p w14:paraId="3C3A165F">
      <w:pPr>
        <w:spacing w:after="0" w:line="360" w:lineRule="auto"/>
        <w:jc w:val="both"/>
      </w:pPr>
      <w:r>
        <w:rPr>
          <w:rFonts w:ascii="Times New Roman" w:hAnsi="Times New Roman" w:eastAsia="Times New Roman" w:cs="Times New Roman"/>
          <w:b/>
          <w:bCs/>
          <w:sz w:val="24"/>
          <w:szCs w:val="24"/>
        </w:rPr>
        <w:t>Participants:</w:t>
      </w:r>
      <w:r>
        <w:rPr>
          <w:rFonts w:ascii="Times New Roman" w:hAnsi="Times New Roman" w:eastAsia="Times New Roman" w:cs="Times New Roman"/>
          <w:sz w:val="24"/>
          <w:szCs w:val="24"/>
        </w:rPr>
        <w:t xml:space="preserve"> a Spark pool with three functional lanes — Data and plan information; Plan-review service; Customer care — and a separate Customer pool.</w:t>
      </w:r>
    </w:p>
    <w:p w14:paraId="42697F5E">
      <w:pPr>
        <w:spacing w:after="0" w:line="360" w:lineRule="auto"/>
        <w:jc w:val="both"/>
      </w:pPr>
      <w:r>
        <w:rPr>
          <w:rFonts w:ascii="Times New Roman" w:hAnsi="Times New Roman" w:eastAsia="Times New Roman" w:cs="Times New Roman"/>
          <w:b/>
          <w:bCs/>
          <w:sz w:val="24"/>
          <w:szCs w:val="24"/>
        </w:rPr>
        <w:t>Main flow:</w:t>
      </w:r>
    </w:p>
    <w:p w14:paraId="1068D6C1">
      <w:pPr>
        <w:pStyle w:val="16"/>
        <w:numPr>
          <w:ilvl w:val="0"/>
          <w:numId w:val="1"/>
        </w:numPr>
        <w:spacing w:after="0" w:line="360" w:lineRule="auto"/>
      </w:pPr>
      <w:r>
        <w:rPr>
          <w:rFonts w:ascii="Times New Roman" w:hAnsi="Times New Roman" w:eastAsia="Times New Roman" w:cs="Times New Roman"/>
          <w:sz w:val="24"/>
          <w:szCs w:val="24"/>
        </w:rPr>
        <w:t>1. A timer event triggers the annual review for an eligible customer.</w:t>
      </w:r>
    </w:p>
    <w:p w14:paraId="777B8DAF">
      <w:pPr>
        <w:pStyle w:val="16"/>
        <w:numPr>
          <w:ilvl w:val="0"/>
          <w:numId w:val="1"/>
        </w:numPr>
        <w:spacing w:after="0" w:line="360" w:lineRule="auto"/>
      </w:pPr>
      <w:r>
        <w:rPr>
          <w:rFonts w:ascii="Times New Roman" w:hAnsi="Times New Roman" w:eastAsia="Times New Roman" w:cs="Times New Roman"/>
          <w:sz w:val="24"/>
          <w:szCs w:val="24"/>
        </w:rPr>
        <w:t>2. The Data and plan information lane retrieves 12 months of usage, spending, current-plan and relevant contract data.</w:t>
      </w:r>
    </w:p>
    <w:p w14:paraId="7E9BEA7A">
      <w:pPr>
        <w:pStyle w:val="16"/>
        <w:numPr>
          <w:ilvl w:val="0"/>
          <w:numId w:val="1"/>
        </w:numPr>
        <w:spacing w:after="0" w:line="360" w:lineRule="auto"/>
      </w:pPr>
      <w:r>
        <w:rPr>
          <w:rFonts w:ascii="Times New Roman" w:hAnsi="Times New Roman" w:eastAsia="Times New Roman" w:cs="Times New Roman"/>
          <w:sz w:val="24"/>
          <w:szCs w:val="24"/>
        </w:rPr>
        <w:t>3. The process validates completeness and freshness.</w:t>
      </w:r>
    </w:p>
    <w:p w14:paraId="3A075E5C">
      <w:pPr>
        <w:pStyle w:val="16"/>
        <w:numPr>
          <w:ilvl w:val="0"/>
          <w:numId w:val="1"/>
        </w:numPr>
        <w:spacing w:after="0" w:line="360" w:lineRule="auto"/>
      </w:pPr>
      <w:r>
        <w:rPr>
          <w:rFonts w:ascii="Times New Roman" w:hAnsi="Times New Roman" w:eastAsia="Times New Roman" w:cs="Times New Roman"/>
          <w:sz w:val="24"/>
          <w:szCs w:val="24"/>
        </w:rPr>
        <w:t xml:space="preserve">4. An exclusive gateway asks: </w:t>
      </w:r>
      <w:r>
        <w:rPr>
          <w:rFonts w:ascii="Times New Roman" w:hAnsi="Times New Roman" w:eastAsia="Times New Roman" w:cs="Times New Roman"/>
          <w:b/>
          <w:bCs/>
          <w:sz w:val="24"/>
          <w:szCs w:val="24"/>
        </w:rPr>
        <w:t>Data valid for customer-facing snapshot?</w:t>
      </w:r>
    </w:p>
    <w:p w14:paraId="6CAF0BC1">
      <w:pPr>
        <w:pStyle w:val="16"/>
        <w:numPr>
          <w:ilvl w:val="0"/>
          <w:numId w:val="1"/>
        </w:numPr>
        <w:spacing w:after="0" w:line="360" w:lineRule="auto"/>
      </w:pPr>
      <w:r>
        <w:rPr>
          <w:rFonts w:ascii="Times New Roman" w:hAnsi="Times New Roman" w:eastAsia="Times New Roman" w:cs="Times New Roman"/>
          <w:sz w:val="24"/>
          <w:szCs w:val="24"/>
        </w:rPr>
        <w:t xml:space="preserve">5. If </w:t>
      </w:r>
      <w:r>
        <w:rPr>
          <w:rFonts w:ascii="Times New Roman" w:hAnsi="Times New Roman" w:eastAsia="Times New Roman" w:cs="Times New Roman"/>
          <w:b/>
          <w:bCs/>
          <w:sz w:val="24"/>
          <w:szCs w:val="24"/>
        </w:rPr>
        <w:t>No</w:t>
      </w:r>
      <w:r>
        <w:rPr>
          <w:rFonts w:ascii="Times New Roman" w:hAnsi="Times New Roman" w:eastAsia="Times New Roman" w:cs="Times New Roman"/>
          <w:sz w:val="24"/>
          <w:szCs w:val="24"/>
        </w:rPr>
        <w:t>, the process logs the failure reason, generates a clearly labelled basic summary, includes secure access to available details and offers assistance.</w:t>
      </w:r>
    </w:p>
    <w:p w14:paraId="479BD53F">
      <w:pPr>
        <w:pStyle w:val="16"/>
        <w:numPr>
          <w:ilvl w:val="0"/>
          <w:numId w:val="1"/>
        </w:numPr>
        <w:spacing w:after="0" w:line="360" w:lineRule="auto"/>
      </w:pPr>
      <w:r>
        <w:rPr>
          <w:rFonts w:ascii="Times New Roman" w:hAnsi="Times New Roman" w:eastAsia="Times New Roman" w:cs="Times New Roman"/>
          <w:sz w:val="24"/>
          <w:szCs w:val="24"/>
        </w:rPr>
        <w:t xml:space="preserve">6. If </w:t>
      </w:r>
      <w:r>
        <w:rPr>
          <w:rFonts w:ascii="Times New Roman" w:hAnsi="Times New Roman" w:eastAsia="Times New Roman" w:cs="Times New Roman"/>
          <w:b/>
          <w:bCs/>
          <w:sz w:val="24"/>
          <w:szCs w:val="24"/>
        </w:rPr>
        <w:t>Yes</w:t>
      </w:r>
      <w:r>
        <w:rPr>
          <w:rFonts w:ascii="Times New Roman" w:hAnsi="Times New Roman" w:eastAsia="Times New Roman" w:cs="Times New Roman"/>
          <w:sz w:val="24"/>
          <w:szCs w:val="24"/>
        </w:rPr>
        <w:t>, the process calculates customer-facing indicators: typical usage, variability, exceptional months, excess charges and persistent unused allowance.</w:t>
      </w:r>
    </w:p>
    <w:p w14:paraId="6F21FD42">
      <w:pPr>
        <w:pStyle w:val="16"/>
        <w:numPr>
          <w:ilvl w:val="0"/>
          <w:numId w:val="1"/>
        </w:numPr>
        <w:spacing w:after="0" w:line="360" w:lineRule="auto"/>
      </w:pPr>
      <w:r>
        <w:rPr>
          <w:rFonts w:ascii="Times New Roman" w:hAnsi="Times New Roman" w:eastAsia="Times New Roman" w:cs="Times New Roman"/>
          <w:sz w:val="24"/>
          <w:szCs w:val="24"/>
        </w:rPr>
        <w:t>7. The Plan-review service generates and quality-checks the concise snapshot.</w:t>
      </w:r>
    </w:p>
    <w:p w14:paraId="70823C21">
      <w:pPr>
        <w:pStyle w:val="16"/>
        <w:numPr>
          <w:ilvl w:val="0"/>
          <w:numId w:val="1"/>
        </w:numPr>
        <w:spacing w:after="0" w:line="360" w:lineRule="auto"/>
      </w:pPr>
      <w:r>
        <w:rPr>
          <w:rFonts w:ascii="Times New Roman" w:hAnsi="Times New Roman" w:eastAsia="Times New Roman" w:cs="Times New Roman"/>
          <w:sz w:val="24"/>
          <w:szCs w:val="24"/>
        </w:rPr>
        <w:t>8. Spark sends the annual summary to the customer by message flow.</w:t>
      </w:r>
    </w:p>
    <w:p w14:paraId="61C3FDF9">
      <w:pPr>
        <w:pStyle w:val="16"/>
        <w:numPr>
          <w:ilvl w:val="0"/>
          <w:numId w:val="1"/>
        </w:numPr>
        <w:spacing w:after="0" w:line="360" w:lineRule="auto"/>
      </w:pPr>
      <w:r>
        <w:rPr>
          <w:rFonts w:ascii="Times New Roman" w:hAnsi="Times New Roman" w:eastAsia="Times New Roman" w:cs="Times New Roman"/>
          <w:sz w:val="24"/>
          <w:szCs w:val="24"/>
        </w:rPr>
        <w:t xml:space="preserve">9. The customer reviews the snapshot; an exclusive gateway asks: </w:t>
      </w:r>
      <w:r>
        <w:rPr>
          <w:rFonts w:ascii="Times New Roman" w:hAnsi="Times New Roman" w:eastAsia="Times New Roman" w:cs="Times New Roman"/>
          <w:b/>
          <w:bCs/>
          <w:sz w:val="24"/>
          <w:szCs w:val="24"/>
        </w:rPr>
        <w:t>Current plan appears suitable?</w:t>
      </w:r>
    </w:p>
    <w:p w14:paraId="736A4DDF">
      <w:pPr>
        <w:pStyle w:val="16"/>
        <w:numPr>
          <w:ilvl w:val="0"/>
          <w:numId w:val="1"/>
        </w:numPr>
        <w:spacing w:after="0" w:line="360" w:lineRule="auto"/>
      </w:pPr>
      <w:r>
        <w:rPr>
          <w:rFonts w:ascii="Times New Roman" w:hAnsi="Times New Roman" w:eastAsia="Times New Roman" w:cs="Times New Roman"/>
          <w:sz w:val="24"/>
          <w:szCs w:val="24"/>
        </w:rPr>
        <w:t xml:space="preserve">10. If </w:t>
      </w:r>
      <w:r>
        <w:rPr>
          <w:rFonts w:ascii="Times New Roman" w:hAnsi="Times New Roman" w:eastAsia="Times New Roman" w:cs="Times New Roman"/>
          <w:b/>
          <w:bCs/>
          <w:sz w:val="24"/>
          <w:szCs w:val="24"/>
        </w:rPr>
        <w:t>Yes</w:t>
      </w:r>
      <w:r>
        <w:rPr>
          <w:rFonts w:ascii="Times New Roman" w:hAnsi="Times New Roman" w:eastAsia="Times New Roman" w:cs="Times New Roman"/>
          <w:sz w:val="24"/>
          <w:szCs w:val="24"/>
        </w:rPr>
        <w:t>, the customer confirms staying; Spark records the decision.</w:t>
      </w:r>
    </w:p>
    <w:p w14:paraId="69883B0F">
      <w:pPr>
        <w:pStyle w:val="16"/>
        <w:numPr>
          <w:ilvl w:val="0"/>
          <w:numId w:val="1"/>
        </w:numPr>
        <w:spacing w:after="0" w:line="360" w:lineRule="auto"/>
      </w:pPr>
      <w:r>
        <w:rPr>
          <w:rFonts w:ascii="Times New Roman" w:hAnsi="Times New Roman" w:eastAsia="Times New Roman" w:cs="Times New Roman"/>
          <w:sz w:val="24"/>
          <w:szCs w:val="24"/>
        </w:rPr>
        <w:t xml:space="preserve">11. If </w:t>
      </w:r>
      <w:r>
        <w:rPr>
          <w:rFonts w:ascii="Times New Roman" w:hAnsi="Times New Roman" w:eastAsia="Times New Roman" w:cs="Times New Roman"/>
          <w:b/>
          <w:bCs/>
          <w:sz w:val="24"/>
          <w:szCs w:val="24"/>
        </w:rPr>
        <w:t>No/unsure</w:t>
      </w:r>
      <w:r>
        <w:rPr>
          <w:rFonts w:ascii="Times New Roman" w:hAnsi="Times New Roman" w:eastAsia="Times New Roman" w:cs="Times New Roman"/>
          <w:sz w:val="24"/>
          <w:szCs w:val="24"/>
        </w:rPr>
        <w:t>, the customer opens a comparison view where alternatives use consistent units and total expected cost.</w:t>
      </w:r>
    </w:p>
    <w:p w14:paraId="495E42C1">
      <w:pPr>
        <w:pStyle w:val="16"/>
        <w:numPr>
          <w:ilvl w:val="0"/>
          <w:numId w:val="1"/>
        </w:numPr>
        <w:spacing w:after="0" w:line="360" w:lineRule="auto"/>
      </w:pPr>
      <w:r>
        <w:rPr>
          <w:rFonts w:ascii="Times New Roman" w:hAnsi="Times New Roman" w:eastAsia="Times New Roman" w:cs="Times New Roman"/>
          <w:sz w:val="24"/>
          <w:szCs w:val="24"/>
        </w:rPr>
        <w:t xml:space="preserve">12. An exclusive gateway asks the customer's </w:t>
      </w:r>
      <w:r>
        <w:rPr>
          <w:rFonts w:ascii="Times New Roman" w:hAnsi="Times New Roman" w:eastAsia="Times New Roman" w:cs="Times New Roman"/>
          <w:b/>
          <w:bCs/>
          <w:sz w:val="24"/>
          <w:szCs w:val="24"/>
        </w:rPr>
        <w:t>next action</w:t>
      </w:r>
      <w:r>
        <w:rPr>
          <w:rFonts w:ascii="Times New Roman" w:hAnsi="Times New Roman" w:eastAsia="Times New Roman" w:cs="Times New Roman"/>
          <w:sz w:val="24"/>
          <w:szCs w:val="24"/>
        </w:rPr>
        <w:t>: select another plan, request assistance, or defer.</w:t>
      </w:r>
    </w:p>
    <w:p w14:paraId="06089F64">
      <w:pPr>
        <w:pStyle w:val="16"/>
        <w:numPr>
          <w:ilvl w:val="0"/>
          <w:numId w:val="1"/>
        </w:numPr>
        <w:spacing w:after="0" w:line="360" w:lineRule="auto"/>
      </w:pPr>
      <w:r>
        <w:rPr>
          <w:rFonts w:ascii="Times New Roman" w:hAnsi="Times New Roman" w:eastAsia="Times New Roman" w:cs="Times New Roman"/>
          <w:sz w:val="24"/>
          <w:szCs w:val="24"/>
        </w:rPr>
        <w:t>13. If the customer selects a plan, Spark validates eligibility, completes the change and records the outcome. If the customer is not eligible, Spark sends an exception-and-assistance message; a further gateway routes the customer either to a closed “change not completed” outcome or back into plan-change processing once assistance is accepted.</w:t>
      </w:r>
    </w:p>
    <w:p w14:paraId="5A5CEB4E">
      <w:pPr>
        <w:pStyle w:val="16"/>
        <w:numPr>
          <w:ilvl w:val="0"/>
          <w:numId w:val="1"/>
        </w:numPr>
        <w:spacing w:after="0" w:line="360" w:lineRule="auto"/>
      </w:pPr>
      <w:r>
        <w:rPr>
          <w:rFonts w:ascii="Times New Roman" w:hAnsi="Times New Roman" w:eastAsia="Times New Roman" w:cs="Times New Roman"/>
          <w:sz w:val="24"/>
          <w:szCs w:val="24"/>
        </w:rPr>
        <w:t>14. If assistance is requested, Customer care receives the request, reviews the same snapshot and comparison basis, explains options, and returns the information by message flow. The customer then stays, changes or defers.</w:t>
      </w:r>
    </w:p>
    <w:p w14:paraId="4250B1EE">
      <w:pPr>
        <w:pStyle w:val="16"/>
        <w:numPr>
          <w:ilvl w:val="0"/>
          <w:numId w:val="1"/>
        </w:numPr>
        <w:spacing w:after="0" w:line="360" w:lineRule="auto"/>
      </w:pPr>
      <w:r>
        <w:rPr>
          <w:rFonts w:ascii="Times New Roman" w:hAnsi="Times New Roman" w:eastAsia="Times New Roman" w:cs="Times New Roman"/>
          <w:sz w:val="24"/>
          <w:szCs w:val="24"/>
        </w:rPr>
        <w:t>15. If deferred or if no decision occurs within 30 days, Spark records a deferred/no-decision outcome without forcing a change.</w:t>
      </w:r>
    </w:p>
    <w:p w14:paraId="369F7211">
      <w:pPr>
        <w:pStyle w:val="16"/>
        <w:numPr>
          <w:ilvl w:val="0"/>
          <w:numId w:val="1"/>
        </w:numPr>
        <w:spacing w:after="0" w:line="360" w:lineRule="auto"/>
      </w:pPr>
      <w:r>
        <w:rPr>
          <w:rFonts w:ascii="Times New Roman" w:hAnsi="Times New Roman" w:eastAsia="Times New Roman" w:cs="Times New Roman"/>
          <w:sz w:val="24"/>
          <w:szCs w:val="24"/>
        </w:rPr>
        <w:t>16. The process closes the review and records KPI events for completion, appropriate choice and later guardrails.</w:t>
      </w:r>
    </w:p>
    <w:p w14:paraId="05A93A0B">
      <w:pPr>
        <w:spacing w:after="0" w:line="360" w:lineRule="auto"/>
        <w:jc w:val="both"/>
      </w:pPr>
      <w:r>
        <w:rPr>
          <w:rFonts w:ascii="Times New Roman" w:hAnsi="Times New Roman" w:eastAsia="Times New Roman" w:cs="Times New Roman"/>
          <w:b/>
          <w:bCs/>
          <w:sz w:val="24"/>
          <w:szCs w:val="24"/>
        </w:rPr>
        <w:t>BPMN controls:</w:t>
      </w:r>
      <w:r>
        <w:rPr>
          <w:rFonts w:ascii="Times New Roman" w:hAnsi="Times New Roman" w:eastAsia="Times New Roman" w:cs="Times New Roman"/>
          <w:sz w:val="24"/>
          <w:szCs w:val="24"/>
        </w:rPr>
        <w:t xml:space="preserve"> sequence flows remain inside a pool; message flows connect Spark and Customer pools. Every task sits fully inside its responsible lane. Gateways and outgoing conditions are labelled. Connectors and labels do not overlap. The diagram shows a normal end event for every resolved outcome.</w:t>
      </w:r>
    </w:p>
    <w:p w14:paraId="571C61E6">
      <w:pPr>
        <w:spacing w:line="360" w:lineRule="auto"/>
        <w:sectPr>
          <w:footerReference r:id="rId10" w:type="default"/>
          <w:pgSz w:w="11906" w:h="16838"/>
          <w:pgMar w:top="1080" w:right="1200" w:bottom="1080" w:left="1200" w:header="708" w:footer="708" w:gutter="0"/>
          <w:cols w:space="720" w:num="1"/>
          <w:docGrid w:linePitch="360" w:charSpace="0"/>
        </w:sectPr>
      </w:pPr>
    </w:p>
    <w:p w14:paraId="0D4E1D86">
      <w:pPr>
        <w:spacing w:before="200" w:after="100" w:line="360" w:lineRule="auto"/>
        <w:jc w:val="center"/>
      </w:pPr>
      <w:r>
        <w:rPr>
          <w:rFonts w:ascii="Times New Roman" w:hAnsi="Times New Roman" w:eastAsia="Times New Roman"/>
          <w:sz w:val="24"/>
        </w:rPr>
        <w:drawing>
          <wp:inline distT="0" distB="0" distL="0" distR="0">
            <wp:extent cx="9552940" cy="3425825"/>
            <wp:effectExtent l="0" t="0" r="2286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8"/>
                    <a:srcRect t="12595"/>
                    <a:stretch>
                      <a:fillRect/>
                    </a:stretch>
                  </pic:blipFill>
                  <pic:spPr>
                    <a:xfrm>
                      <a:off x="0" y="0"/>
                      <a:ext cx="9552940" cy="3425825"/>
                    </a:xfrm>
                    <a:prstGeom prst="rect">
                      <a:avLst/>
                    </a:prstGeom>
                  </pic:spPr>
                </pic:pic>
              </a:graphicData>
            </a:graphic>
          </wp:inline>
        </w:drawing>
      </w:r>
    </w:p>
    <w:p w14:paraId="7CA20624">
      <w:pPr>
        <w:spacing w:before="120" w:after="200" w:line="240" w:lineRule="auto"/>
        <w:jc w:val="center"/>
      </w:pPr>
      <w:r>
        <w:rPr>
          <w:rFonts w:ascii="Times New Roman" w:hAnsi="Times New Roman" w:eastAsia="Times New Roman"/>
          <w:b/>
          <w:sz w:val="22"/>
        </w:rPr>
        <w:t>Figure 4a. Proposed TO-BE annual mobile plan-review process—overview (SAP Signavio BPMN 2.0).</w:t>
      </w:r>
    </w:p>
    <w:p>
      <w:pPr>
        <w:spacing w:line="360" w:lineRule="auto"/>
      </w:pPr>
      <w:r>
        <w:rPr>
          <w:rFonts w:ascii="Times New Roman" w:hAnsi="Times New Roman" w:eastAsia="Times New Roman"/>
          <w:sz w:val="24"/>
        </w:rPr>
        <w:br w:type="page"/>
      </w:r>
    </w:p>
    <w:p>
      <w:pPr>
        <w:spacing w:before="20" w:after="20" w:line="360" w:lineRule="auto"/>
        <w:jc w:val="center"/>
      </w:pPr>
      <w:r>
        <w:rPr>
          <w:rFonts w:ascii="Times New Roman" w:hAnsi="Times New Roman" w:eastAsia="Times New Roman"/>
          <w:sz w:val="24"/>
        </w:rPr>
        <w:drawing>
          <wp:inline xmlns:a="http://schemas.openxmlformats.org/drawingml/2006/main" xmlns:pic="http://schemas.openxmlformats.org/drawingml/2006/picture">
            <wp:extent cx="9281160" cy="3310844"/>
            <wp:docPr id="7" name="Picture 7"/>
            <wp:cNvGraphicFramePr>
              <a:graphicFrameLocks noChangeAspect="1"/>
            </wp:cNvGraphicFramePr>
            <a:graphic>
              <a:graphicData uri="http://schemas.openxmlformats.org/drawingml/2006/picture">
                <pic:pic>
                  <pic:nvPicPr>
                    <pic:cNvPr id="0" name="tobe_spark.png"/>
                    <pic:cNvPicPr/>
                  </pic:nvPicPr>
                  <pic:blipFill>
                    <a:blip r:embed="rId23"/>
                    <a:stretch>
                      <a:fillRect/>
                    </a:stretch>
                  </pic:blipFill>
                  <pic:spPr>
                    <a:xfrm>
                      <a:off x="0" y="0"/>
                      <a:ext cx="9281160" cy="3310844"/>
                    </a:xfrm>
                    <a:prstGeom prst="rect"/>
                  </pic:spPr>
                </pic:pic>
              </a:graphicData>
            </a:graphic>
          </wp:inline>
        </w:drawing>
      </w:r>
    </w:p>
    <w:p>
      <w:pPr>
        <w:spacing w:before="40" w:after="100" w:line="240" w:lineRule="auto"/>
        <w:jc w:val="center"/>
      </w:pPr>
      <w:r>
        <w:rPr>
          <w:rFonts w:ascii="Times New Roman" w:hAnsi="Times New Roman" w:eastAsia="Times New Roman"/>
          <w:b/>
          <w:sz w:val="22"/>
        </w:rPr>
        <w:t>Figure 4b. Enlarged TO-BE view—summary dispatch, KPI recording and change-exception handling.</w:t>
      </w:r>
    </w:p>
    <w:p>
      <w:pPr>
        <w:spacing w:before="20" w:after="20" w:line="360" w:lineRule="auto"/>
        <w:jc w:val="center"/>
      </w:pPr>
      <w:r>
        <w:rPr>
          <w:rFonts w:ascii="Times New Roman" w:hAnsi="Times New Roman" w:eastAsia="Times New Roman"/>
          <w:sz w:val="24"/>
        </w:rPr>
        <w:drawing>
          <wp:inline xmlns:a="http://schemas.openxmlformats.org/drawingml/2006/main" xmlns:pic="http://schemas.openxmlformats.org/drawingml/2006/picture">
            <wp:extent cx="9281160" cy="2924814"/>
            <wp:docPr id="8" name="Picture 8"/>
            <wp:cNvGraphicFramePr>
              <a:graphicFrameLocks noChangeAspect="1"/>
            </wp:cNvGraphicFramePr>
            <a:graphic>
              <a:graphicData uri="http://schemas.openxmlformats.org/drawingml/2006/picture">
                <pic:pic>
                  <pic:nvPicPr>
                    <pic:cNvPr id="0" name="tobe_customer.png"/>
                    <pic:cNvPicPr/>
                  </pic:nvPicPr>
                  <pic:blipFill>
                    <a:blip r:embed="rId24"/>
                    <a:stretch>
                      <a:fillRect/>
                    </a:stretch>
                  </pic:blipFill>
                  <pic:spPr>
                    <a:xfrm>
                      <a:off x="0" y="0"/>
                      <a:ext cx="9281160" cy="2924814"/>
                    </a:xfrm>
                    <a:prstGeom prst="rect"/>
                  </pic:spPr>
                </pic:pic>
              </a:graphicData>
            </a:graphic>
          </wp:inline>
        </w:drawing>
      </w:r>
    </w:p>
    <w:p>
      <w:pPr>
        <w:spacing w:before="40" w:after="100" w:line="240" w:lineRule="auto"/>
        <w:jc w:val="center"/>
      </w:pPr>
      <w:r>
        <w:rPr>
          <w:rFonts w:ascii="Times New Roman" w:hAnsi="Times New Roman" w:eastAsia="Times New Roman"/>
          <w:b/>
          <w:sz w:val="22"/>
        </w:rPr>
        <w:t>Figure 4c. Enlarged TO-BE view—customer choice, assistance and outcome pathways.</w:t>
      </w:r>
    </w:p>
    <w:p w14:paraId="0DF17F4C">
      <w:pPr>
        <w:spacing w:line="360" w:lineRule="auto"/>
        <w:sectPr>
          <w:footerReference r:id="rId11" w:type="default"/>
          <w:pgSz w:w="16838" w:h="11906" w:orient="landscape"/>
          <w:pgMar w:top="1000" w:right="900" w:bottom="1000" w:left="900" w:header="708" w:footer="708" w:gutter="0"/>
          <w:cols w:space="720" w:num="1"/>
          <w:docGrid w:linePitch="360" w:charSpace="0"/>
        </w:sectPr>
      </w:pPr>
    </w:p>
    <w:p w14:paraId="2D8BDCFD">
      <w:pPr>
        <w:pStyle w:val="3"/>
        <w:spacing w:before="240" w:after="140" w:line="360" w:lineRule="auto"/>
        <w:outlineLvl w:val="1"/>
      </w:pPr>
      <w:r>
        <w:rPr>
          <w:rFonts w:ascii="Times New Roman" w:hAnsi="Times New Roman" w:eastAsia="Times New Roman" w:cs="Times New Roman"/>
          <w:b/>
          <w:bCs/>
          <w:i/>
          <w:iCs/>
          <w:color w:val="000000"/>
          <w:sz w:val="28"/>
          <w:szCs w:val="28"/>
        </w:rPr>
        <w:t>8.3 How the TO-BE improves the dysfunctional process</w:t>
      </w:r>
    </w:p>
    <w:p w14:paraId="5719F30E">
      <w:pPr>
        <w:spacing w:after="0" w:line="360" w:lineRule="auto"/>
        <w:jc w:val="both"/>
      </w:pPr>
      <w:r>
        <w:rPr>
          <w:rFonts w:ascii="Times New Roman" w:hAnsi="Times New Roman" w:eastAsia="Times New Roman" w:cs="Times New Roman"/>
          <w:sz w:val="24"/>
          <w:szCs w:val="24"/>
        </w:rPr>
        <w:t>The TO-BE moves historical evidence from behind the link to the point where the decision starts. The customer no longer has to find and aggregate basic usage and spending data before determining relevance. Validation prevents low-quality data from being presented as dependable evidence, while the fallback path prevents the process from stopping. The comparison and customer-care paths use the same evidence basis, reducing inconsistent explanations. Outcome logging makes the process measurable rather than assuming that sending a summary creates value.</w:t>
      </w:r>
    </w:p>
    <w:p w14:paraId="705F8EDF">
      <w:pPr>
        <w:spacing w:after="0" w:line="360" w:lineRule="auto"/>
        <w:jc w:val="both"/>
      </w:pPr>
      <w:r>
        <w:rPr>
          <w:rFonts w:ascii="Times New Roman" w:hAnsi="Times New Roman" w:eastAsia="Times New Roman" w:cs="Times New Roman"/>
          <w:sz w:val="24"/>
          <w:szCs w:val="24"/>
        </w:rPr>
        <w:t>The redesign deliberately retains customer control and avoids interpreting every plan change as success. A customer can stay, switch, seek help or defer. This supports the major KPI because an effective completion requires a recorded and appropriate decision, not merely a click or conversion.</w:t>
      </w:r>
    </w:p>
    <w:p w14:paraId="74F852D4">
      <w:pPr>
        <w:pStyle w:val="2"/>
        <w:spacing w:before="320" w:after="160" w:line="360" w:lineRule="auto"/>
        <w:outlineLvl w:val="0"/>
      </w:pPr>
      <w:r>
        <w:rPr>
          <w:rFonts w:ascii="Times New Roman" w:hAnsi="Times New Roman" w:eastAsia="Times New Roman" w:cs="Times New Roman"/>
          <w:b/>
          <w:bCs/>
          <w:color w:val="000000"/>
          <w:sz w:val="28"/>
          <w:szCs w:val="28"/>
        </w:rPr>
        <w:t>9. Recommendation to Implement</w:t>
      </w:r>
    </w:p>
    <w:p w14:paraId="7DC83F02">
      <w:pPr>
        <w:pStyle w:val="3"/>
        <w:spacing w:before="240" w:after="140" w:line="360" w:lineRule="auto"/>
        <w:outlineLvl w:val="1"/>
      </w:pPr>
      <w:r>
        <w:rPr>
          <w:rFonts w:ascii="Times New Roman" w:hAnsi="Times New Roman" w:eastAsia="Times New Roman" w:cs="Times New Roman"/>
          <w:b/>
          <w:bCs/>
          <w:i/>
          <w:iCs/>
          <w:color w:val="000000"/>
          <w:sz w:val="28"/>
          <w:szCs w:val="28"/>
        </w:rPr>
        <w:t>9.1 Structured recommendation narrative</w:t>
      </w:r>
    </w:p>
    <w:p w14:paraId="4CAA8535">
      <w:pPr>
        <w:spacing w:after="0" w:line="360" w:lineRule="auto"/>
        <w:jc w:val="both"/>
      </w:pPr>
      <w:r>
        <w:rPr>
          <w:rFonts w:ascii="Times New Roman" w:hAnsi="Times New Roman" w:eastAsia="Times New Roman" w:cs="Times New Roman"/>
          <w:b/>
          <w:bCs/>
          <w:sz w:val="24"/>
          <w:szCs w:val="24"/>
        </w:rPr>
        <w:t>Problem.</w:t>
      </w:r>
      <w:r>
        <w:rPr>
          <w:rFonts w:ascii="Times New Roman" w:hAnsi="Times New Roman" w:eastAsia="Times New Roman" w:cs="Times New Roman"/>
          <w:sz w:val="24"/>
          <w:szCs w:val="24"/>
        </w:rPr>
        <w:t xml:space="preserve"> The link-only annual plan-review journey separates the decision trigger from the historical usage and spending evidence customers need to judge plan fit.</w:t>
      </w:r>
    </w:p>
    <w:p w14:paraId="216ECE28">
      <w:pPr>
        <w:spacing w:after="0" w:line="360" w:lineRule="auto"/>
        <w:jc w:val="both"/>
      </w:pPr>
      <w:r>
        <w:rPr>
          <w:rFonts w:ascii="Times New Roman" w:hAnsi="Times New Roman" w:eastAsia="Times New Roman" w:cs="Times New Roman"/>
          <w:b/>
          <w:bCs/>
          <w:sz w:val="24"/>
          <w:szCs w:val="24"/>
        </w:rPr>
        <w:t>Data.</w:t>
      </w:r>
      <w:r>
        <w:rPr>
          <w:rFonts w:ascii="Times New Roman" w:hAnsi="Times New Roman" w:eastAsia="Times New Roman" w:cs="Times New Roman"/>
          <w:sz w:val="24"/>
          <w:szCs w:val="24"/>
        </w:rPr>
        <w:t xml:space="preserve"> Public evidence documents the information gap and provides industry-level context. In the primary qualitative evidence, both interviews rated the information/guidance gap 4/5, independently identified interpretation and comparison as the main burden, and selected an embedded 12-month evidence snapshot as the first test. These data establish neither population prevalence nor causal effect size.</w:t>
      </w:r>
    </w:p>
    <w:p w14:paraId="693AC7A2">
      <w:pPr>
        <w:spacing w:after="0" w:line="360" w:lineRule="auto"/>
        <w:jc w:val="both"/>
      </w:pPr>
      <w:r>
        <w:rPr>
          <w:rFonts w:ascii="Times New Roman" w:hAnsi="Times New Roman" w:eastAsia="Times New Roman" w:cs="Times New Roman"/>
          <w:b/>
          <w:bCs/>
          <w:sz w:val="24"/>
          <w:szCs w:val="24"/>
        </w:rPr>
        <w:t>Insight.</w:t>
      </w:r>
      <w:r>
        <w:rPr>
          <w:rFonts w:ascii="Times New Roman" w:hAnsi="Times New Roman" w:eastAsia="Times New Roman" w:cs="Times New Roman"/>
          <w:sz w:val="24"/>
          <w:szCs w:val="24"/>
        </w:rPr>
        <w:t xml:space="preserve"> The highest-value first move is to reduce evidence-retrieval and reconstruction work without simultaneously introducing the greater trust, governance and attribution risks of automated recommendations. This follows the Lecture 5 storylining sequence and its 80/20 principle: focus the recommendation on the few variables most likely to change the decision (University of Auckland, 2026b, slides 32–35).</w:t>
      </w:r>
    </w:p>
    <w:p w14:paraId="3F539BF2">
      <w:pPr>
        <w:spacing w:after="0" w:line="360" w:lineRule="auto"/>
        <w:jc w:val="both"/>
      </w:pPr>
      <w:r>
        <w:rPr>
          <w:rFonts w:ascii="Times New Roman" w:hAnsi="Times New Roman" w:eastAsia="Times New Roman" w:cs="Times New Roman"/>
          <w:b/>
          <w:bCs/>
          <w:sz w:val="24"/>
          <w:szCs w:val="24"/>
        </w:rPr>
        <w:t>Recommendation.</w:t>
      </w:r>
      <w:r>
        <w:rPr>
          <w:rFonts w:ascii="Times New Roman" w:hAnsi="Times New Roman" w:eastAsia="Times New Roman" w:cs="Times New Roman"/>
          <w:sz w:val="24"/>
          <w:szCs w:val="24"/>
        </w:rPr>
        <w:t xml:space="preserve"> Spark should pilot an embedded 12-month usage-and-spend snapshot in the annual mobile plan-review summary before investing in personalised recommendations. The pilot should compare the enhanced summary with the link-only journey while holding recommendation logic and wider navigation changes constant. This isolates the information effect and directly tests the refined H2.</w:t>
      </w:r>
    </w:p>
    <w:p w14:paraId="3E0C467F">
      <w:pPr>
        <w:pStyle w:val="3"/>
        <w:spacing w:before="240" w:after="140" w:line="360" w:lineRule="auto"/>
        <w:outlineLvl w:val="1"/>
      </w:pPr>
      <w:r>
        <w:rPr>
          <w:rFonts w:ascii="Times New Roman" w:hAnsi="Times New Roman" w:eastAsia="Times New Roman" w:cs="Times New Roman"/>
          <w:b/>
          <w:bCs/>
          <w:i/>
          <w:iCs/>
          <w:color w:val="000000"/>
          <w:sz w:val="28"/>
          <w:szCs w:val="28"/>
        </w:rPr>
        <w:t>9.2 Key insights driving the recommendation</w:t>
      </w:r>
    </w:p>
    <w:p w14:paraId="00DE454B">
      <w:pPr>
        <w:pStyle w:val="16"/>
        <w:numPr>
          <w:ilvl w:val="0"/>
          <w:numId w:val="1"/>
        </w:numPr>
        <w:spacing w:after="0" w:line="360" w:lineRule="auto"/>
      </w:pPr>
      <w:r>
        <w:rPr>
          <w:rFonts w:ascii="Times New Roman" w:hAnsi="Times New Roman" w:eastAsia="Times New Roman" w:cs="Times New Roman"/>
          <w:b/>
          <w:bCs/>
          <w:sz w:val="24"/>
          <w:szCs w:val="24"/>
        </w:rPr>
        <w:t>The bottleneck is interpretation, not the physical click.</w:t>
      </w:r>
      <w:r>
        <w:rPr>
          <w:rFonts w:ascii="Times New Roman" w:hAnsi="Times New Roman" w:eastAsia="Times New Roman" w:cs="Times New Roman"/>
          <w:sz w:val="24"/>
          <w:szCs w:val="24"/>
        </w:rPr>
        <w:t xml:space="preserve"> Both interviews identified the customer's need to reconstruct a normal usage requirement and compare dissimilar plans as the largest burden.</w:t>
      </w:r>
    </w:p>
    <w:p w14:paraId="643483A1">
      <w:pPr>
        <w:pStyle w:val="16"/>
        <w:numPr>
          <w:ilvl w:val="0"/>
          <w:numId w:val="1"/>
        </w:numPr>
        <w:spacing w:after="0" w:line="360" w:lineRule="auto"/>
      </w:pPr>
      <w:r>
        <w:rPr>
          <w:rFonts w:ascii="Times New Roman" w:hAnsi="Times New Roman" w:eastAsia="Times New Roman" w:cs="Times New Roman"/>
          <w:b/>
          <w:bCs/>
          <w:sz w:val="24"/>
          <w:szCs w:val="24"/>
        </w:rPr>
        <w:t>Information and recommendation should not be bundled initially.</w:t>
      </w:r>
      <w:r>
        <w:rPr>
          <w:rFonts w:ascii="Times New Roman" w:hAnsi="Times New Roman" w:eastAsia="Times New Roman" w:cs="Times New Roman"/>
          <w:sz w:val="24"/>
          <w:szCs w:val="24"/>
        </w:rPr>
        <w:t xml:space="preserve"> Both interviews selected the snapshot as the first test. Separating the interventions shows whether information visibility creates value before Spark accepts the governance risk of personalised advice.</w:t>
      </w:r>
    </w:p>
    <w:p w14:paraId="0792DDF6">
      <w:pPr>
        <w:pStyle w:val="16"/>
        <w:numPr>
          <w:ilvl w:val="0"/>
          <w:numId w:val="1"/>
        </w:numPr>
        <w:spacing w:after="0" w:line="360" w:lineRule="auto"/>
      </w:pPr>
      <w:r>
        <w:rPr>
          <w:rFonts w:ascii="Times New Roman" w:hAnsi="Times New Roman" w:eastAsia="Times New Roman" w:cs="Times New Roman"/>
          <w:b/>
          <w:bCs/>
          <w:sz w:val="24"/>
          <w:szCs w:val="24"/>
        </w:rPr>
        <w:t>Completion alone can reward the wrong behaviour.</w:t>
      </w:r>
      <w:r>
        <w:rPr>
          <w:rFonts w:ascii="Times New Roman" w:hAnsi="Times New Roman" w:eastAsia="Times New Roman" w:cs="Times New Roman"/>
          <w:sz w:val="24"/>
          <w:szCs w:val="24"/>
        </w:rPr>
        <w:t xml:space="preserve"> A redesign may increase switching while producing worse plan fit, regret or complaints. Success therefore requires the combined effective-completion KPI and financial/customer guardrails.</w:t>
      </w:r>
    </w:p>
    <w:p w14:paraId="4A26AD39">
      <w:pPr>
        <w:pStyle w:val="16"/>
        <w:numPr>
          <w:ilvl w:val="0"/>
          <w:numId w:val="1"/>
        </w:numPr>
        <w:spacing w:after="0" w:line="360" w:lineRule="auto"/>
      </w:pPr>
      <w:r>
        <w:rPr>
          <w:rFonts w:ascii="Times New Roman" w:hAnsi="Times New Roman" w:eastAsia="Times New Roman" w:cs="Times New Roman"/>
          <w:b/>
          <w:bCs/>
          <w:sz w:val="24"/>
          <w:szCs w:val="24"/>
        </w:rPr>
        <w:t>A customer-facing change requires operating ownership.</w:t>
      </w:r>
      <w:r>
        <w:rPr>
          <w:rFonts w:ascii="Times New Roman" w:hAnsi="Times New Roman" w:eastAsia="Times New Roman" w:cs="Times New Roman"/>
          <w:sz w:val="24"/>
          <w:szCs w:val="24"/>
        </w:rPr>
        <w:t xml:space="preserve"> Data validation, versioned rules, customer-care visibility and accountable process ownership determine whether the improved summary remains reliable over repeated annual cycles.</w:t>
      </w:r>
    </w:p>
    <w:p w14:paraId="57C0F24D">
      <w:pPr>
        <w:pStyle w:val="3"/>
        <w:spacing w:before="240" w:after="140" w:line="360" w:lineRule="auto"/>
        <w:outlineLvl w:val="1"/>
      </w:pPr>
      <w:r>
        <w:rPr>
          <w:rFonts w:ascii="Times New Roman" w:hAnsi="Times New Roman" w:eastAsia="Times New Roman" w:cs="Times New Roman"/>
          <w:b/>
          <w:bCs/>
          <w:i/>
          <w:iCs/>
          <w:color w:val="000000"/>
          <w:sz w:val="28"/>
          <w:szCs w:val="28"/>
        </w:rPr>
        <w:t>9.3 Phased implementation</w:t>
      </w:r>
    </w:p>
    <w:tbl>
      <w:tblPr>
        <w:tblStyle w:val="11"/>
        <w:tblpPr w:leftFromText="180" w:rightFromText="180" w:vertAnchor="text" w:horzAnchor="page" w:tblpX="894" w:tblpY="571"/>
        <w:tblOverlap w:val="never"/>
        <w:tblW w:w="10319" w:type="dxa"/>
        <w:jc w:val="center"/>
        <w:tblBorders>
          <w:top w:val="single" w:color="AAB4BF" w:sz="6" w:space="0"/>
          <w:left w:val="single" w:color="AAB4BF" w:sz="6" w:space="0"/>
          <w:bottom w:val="single" w:color="AAB4BF" w:sz="6" w:space="0"/>
          <w:right w:val="single" w:color="AAB4BF" w:sz="6" w:space="0"/>
          <w:insideH w:val="single" w:color="AAB4BF" w:sz="6" w:space="0"/>
          <w:insideV w:val="single" w:color="AAB4BF" w:sz="6" w:space="0"/>
        </w:tblBorders>
        <w:tblLayout w:type="fixed"/>
        <w:tblCellMar>
          <w:top w:w="0" w:type="dxa"/>
          <w:left w:w="10" w:type="dxa"/>
          <w:bottom w:w="0" w:type="dxa"/>
          <w:right w:w="10" w:type="dxa"/>
        </w:tblCellMar>
      </w:tblPr>
      <w:tblGrid>
        <w:gridCol w:w="1892"/>
        <w:gridCol w:w="4713"/>
        <w:gridCol w:w="3714"/>
      </w:tblGrid>
      <w:tr w14:paraId="109B791C">
        <w:trPr>
          <w:cantSplit/>
          <w:trHeight w:val="425" w:hRule="atLeast"/>
          <w:tblHeader/>
          <w:jc w:val="center"/>
        </w:trPr>
        <w:tc>
          <w:tcPr>
            <w:tcW w:w="1655" w:type="dxa"/>
            <w:shd w:val="clear" w:color="auto" w:fill="17365D"/>
            <w:tcMar>
              <w:top w:w="70" w:type="dxa"/>
              <w:left w:w="85" w:type="dxa"/>
              <w:bottom w:w="70" w:type="dxa"/>
              <w:right w:w="85" w:type="dxa"/>
            </w:tcMar>
            <w:vAlign w:val="center"/>
          </w:tcPr>
          <w:p w14:paraId="4B319AF5">
            <w:pPr>
              <w:spacing w:before="0" w:after="0" w:line="240" w:lineRule="auto"/>
              <w:jc w:val="center"/>
            </w:pPr>
            <w:r>
              <w:rPr>
                <w:rFonts w:ascii="Times New Roman" w:hAnsi="Times New Roman" w:eastAsia="Times New Roman" w:cs="Times New Roman"/>
                <w:b/>
                <w:bCs/>
                <w:color w:val="FFFFFF"/>
                <w:sz w:val="20"/>
                <w:szCs w:val="20"/>
              </w:rPr>
              <w:t>Phase</w:t>
            </w:r>
          </w:p>
        </w:tc>
        <w:tc>
          <w:tcPr>
            <w:tcW w:w="5400" w:type="dxa"/>
            <w:shd w:val="clear" w:color="auto" w:fill="17365D"/>
            <w:tcMar>
              <w:top w:w="70" w:type="dxa"/>
              <w:left w:w="85" w:type="dxa"/>
              <w:bottom w:w="70" w:type="dxa"/>
              <w:right w:w="85" w:type="dxa"/>
            </w:tcMar>
            <w:vAlign w:val="center"/>
          </w:tcPr>
          <w:p w14:paraId="57B29EDA">
            <w:pPr>
              <w:spacing w:before="0" w:after="0" w:line="240" w:lineRule="auto"/>
              <w:jc w:val="center"/>
            </w:pPr>
            <w:r>
              <w:rPr>
                <w:rFonts w:ascii="Times New Roman" w:hAnsi="Times New Roman" w:eastAsia="Times New Roman" w:cs="Times New Roman"/>
                <w:b/>
                <w:bCs/>
                <w:color w:val="FFFFFF"/>
                <w:sz w:val="20"/>
                <w:szCs w:val="20"/>
              </w:rPr>
              <w:t>Main actions</w:t>
            </w:r>
          </w:p>
        </w:tc>
        <w:tc>
          <w:tcPr>
            <w:tcW w:w="2376" w:type="dxa"/>
            <w:shd w:val="clear" w:color="auto" w:fill="17365D"/>
            <w:tcMar>
              <w:top w:w="70" w:type="dxa"/>
              <w:left w:w="85" w:type="dxa"/>
              <w:bottom w:w="70" w:type="dxa"/>
              <w:right w:w="85" w:type="dxa"/>
            </w:tcMar>
            <w:vAlign w:val="center"/>
          </w:tcPr>
          <w:p w14:paraId="67E9E7C7">
            <w:pPr>
              <w:spacing w:before="0" w:after="0" w:line="240" w:lineRule="auto"/>
              <w:jc w:val="center"/>
            </w:pPr>
            <w:r>
              <w:rPr>
                <w:rFonts w:ascii="Times New Roman" w:hAnsi="Times New Roman" w:eastAsia="Times New Roman" w:cs="Times New Roman"/>
                <w:b/>
                <w:bCs/>
                <w:color w:val="FFFFFF"/>
                <w:sz w:val="20"/>
                <w:szCs w:val="20"/>
              </w:rPr>
              <w:t>Decision gate</w:t>
            </w:r>
          </w:p>
        </w:tc>
      </w:tr>
      <w:tr w14:paraId="6F7584DA">
        <w:trPr>
          <w:cantSplit/>
          <w:trHeight w:val="726" w:hRule="atLeast"/>
          <w:jc w:val="center"/>
        </w:trPr>
        <w:tc>
          <w:tcPr>
            <w:tcW w:w="1655" w:type="dxa"/>
            <w:tcMar>
              <w:top w:w="70" w:type="dxa"/>
              <w:left w:w="85" w:type="dxa"/>
              <w:bottom w:w="70" w:type="dxa"/>
              <w:right w:w="85" w:type="dxa"/>
            </w:tcMar>
            <w:vAlign w:val="center"/>
          </w:tcPr>
          <w:p w14:paraId="2788A684">
            <w:pPr>
              <w:spacing w:before="0" w:after="0" w:line="240" w:lineRule="auto"/>
              <w:jc w:val="center"/>
            </w:pPr>
            <w:r>
              <w:rPr>
                <w:rFonts w:ascii="Times New Roman" w:hAnsi="Times New Roman" w:eastAsia="Times New Roman" w:cs="Times New Roman"/>
                <w:b w:val="0"/>
                <w:bCs w:val="0"/>
                <w:sz w:val="20"/>
                <w:szCs w:val="20"/>
              </w:rPr>
              <w:t>1. Define and prepare</w:t>
            </w:r>
          </w:p>
        </w:tc>
        <w:tc>
          <w:tcPr>
            <w:tcW w:w="5400" w:type="dxa"/>
            <w:tcMar>
              <w:top w:w="70" w:type="dxa"/>
              <w:left w:w="85" w:type="dxa"/>
              <w:bottom w:w="70" w:type="dxa"/>
              <w:right w:w="85" w:type="dxa"/>
            </w:tcMar>
            <w:vAlign w:val="center"/>
          </w:tcPr>
          <w:p w14:paraId="31539C3B">
            <w:pPr>
              <w:spacing w:before="0" w:after="0" w:line="240" w:lineRule="auto"/>
              <w:jc w:val="center"/>
            </w:pPr>
            <w:r>
              <w:rPr>
                <w:rFonts w:ascii="Times New Roman" w:hAnsi="Times New Roman" w:eastAsia="Times New Roman" w:cs="Times New Roman"/>
                <w:b w:val="0"/>
                <w:bCs w:val="0"/>
                <w:sz w:val="20"/>
                <w:szCs w:val="20"/>
              </w:rPr>
              <w:t>Confirm process owner; define eligible cohort, snapshot fields, appropriate-choice rule, data-quality threshold, privacy/security requirements and KPI event definitions.</w:t>
            </w:r>
          </w:p>
        </w:tc>
        <w:tc>
          <w:tcPr>
            <w:tcW w:w="2376" w:type="dxa"/>
            <w:tcMar>
              <w:top w:w="70" w:type="dxa"/>
              <w:left w:w="85" w:type="dxa"/>
              <w:bottom w:w="70" w:type="dxa"/>
              <w:right w:w="85" w:type="dxa"/>
            </w:tcMar>
            <w:vAlign w:val="center"/>
          </w:tcPr>
          <w:p w14:paraId="7400D348">
            <w:pPr>
              <w:spacing w:before="0" w:after="0" w:line="240" w:lineRule="auto"/>
              <w:jc w:val="center"/>
            </w:pPr>
            <w:r>
              <w:rPr>
                <w:rFonts w:ascii="Times New Roman" w:hAnsi="Times New Roman" w:eastAsia="Times New Roman" w:cs="Times New Roman"/>
                <w:b w:val="0"/>
                <w:bCs w:val="0"/>
                <w:sz w:val="20"/>
                <w:szCs w:val="20"/>
              </w:rPr>
              <w:t>Proceed only when fields and rules can be reproduced and audited.</w:t>
            </w:r>
          </w:p>
        </w:tc>
      </w:tr>
      <w:tr w14:paraId="1AC3C500">
        <w:trPr>
          <w:cantSplit/>
          <w:trHeight w:val="677" w:hRule="atLeast"/>
          <w:jc w:val="center"/>
        </w:trPr>
        <w:tc>
          <w:tcPr>
            <w:tcW w:w="1655" w:type="dxa"/>
            <w:shd w:val="clear" w:color="auto" w:fill="EAF2F8"/>
            <w:tcMar>
              <w:top w:w="70" w:type="dxa"/>
              <w:left w:w="85" w:type="dxa"/>
              <w:bottom w:w="70" w:type="dxa"/>
              <w:right w:w="85" w:type="dxa"/>
            </w:tcMar>
            <w:vAlign w:val="center"/>
          </w:tcPr>
          <w:p w14:paraId="1613396B">
            <w:pPr>
              <w:spacing w:before="0" w:after="0" w:line="240" w:lineRule="auto"/>
              <w:jc w:val="center"/>
            </w:pPr>
            <w:r>
              <w:rPr>
                <w:rFonts w:ascii="Times New Roman" w:hAnsi="Times New Roman" w:eastAsia="Times New Roman" w:cs="Times New Roman"/>
                <w:b w:val="0"/>
                <w:bCs w:val="0"/>
                <w:sz w:val="20"/>
                <w:szCs w:val="20"/>
              </w:rPr>
              <w:t>2. Build and test</w:t>
            </w:r>
          </w:p>
        </w:tc>
        <w:tc>
          <w:tcPr>
            <w:tcW w:w="5400" w:type="dxa"/>
            <w:shd w:val="clear" w:color="auto" w:fill="EAF2F8"/>
            <w:tcMar>
              <w:top w:w="70" w:type="dxa"/>
              <w:left w:w="85" w:type="dxa"/>
              <w:bottom w:w="70" w:type="dxa"/>
              <w:right w:w="85" w:type="dxa"/>
            </w:tcMar>
            <w:vAlign w:val="center"/>
          </w:tcPr>
          <w:p w14:paraId="123880DE">
            <w:pPr>
              <w:spacing w:before="0" w:after="0" w:line="240" w:lineRule="auto"/>
              <w:jc w:val="center"/>
            </w:pPr>
            <w:r>
              <w:rPr>
                <w:rFonts w:ascii="Times New Roman" w:hAnsi="Times New Roman" w:eastAsia="Times New Roman" w:cs="Times New Roman"/>
                <w:b w:val="0"/>
                <w:bCs w:val="0"/>
                <w:sz w:val="20"/>
                <w:szCs w:val="20"/>
              </w:rPr>
              <w:t>Create the snapshot pipeline and template; test exceptional cases, accessibility, language, device display and customer-care visibility.</w:t>
            </w:r>
          </w:p>
        </w:tc>
        <w:tc>
          <w:tcPr>
            <w:tcW w:w="2376" w:type="dxa"/>
            <w:shd w:val="clear" w:color="auto" w:fill="EAF2F8"/>
            <w:tcMar>
              <w:top w:w="70" w:type="dxa"/>
              <w:left w:w="85" w:type="dxa"/>
              <w:bottom w:w="70" w:type="dxa"/>
              <w:right w:w="85" w:type="dxa"/>
            </w:tcMar>
            <w:vAlign w:val="center"/>
          </w:tcPr>
          <w:p w14:paraId="79C49B34">
            <w:pPr>
              <w:spacing w:before="0" w:after="0" w:line="240" w:lineRule="auto"/>
              <w:jc w:val="center"/>
            </w:pPr>
            <w:r>
              <w:rPr>
                <w:rFonts w:ascii="Times New Roman" w:hAnsi="Times New Roman" w:eastAsia="Times New Roman" w:cs="Times New Roman"/>
                <w:b w:val="0"/>
                <w:bCs w:val="0"/>
                <w:sz w:val="20"/>
                <w:szCs w:val="20"/>
              </w:rPr>
              <w:t>Proceed only if accuracy and usability thresholds are met.</w:t>
            </w:r>
          </w:p>
        </w:tc>
      </w:tr>
      <w:tr w14:paraId="4A9A6937">
        <w:trPr>
          <w:cantSplit/>
          <w:trHeight w:val="668" w:hRule="atLeast"/>
          <w:jc w:val="center"/>
        </w:trPr>
        <w:tc>
          <w:tcPr>
            <w:tcW w:w="1655" w:type="dxa"/>
            <w:tcMar>
              <w:top w:w="70" w:type="dxa"/>
              <w:left w:w="85" w:type="dxa"/>
              <w:bottom w:w="70" w:type="dxa"/>
              <w:right w:w="85" w:type="dxa"/>
            </w:tcMar>
            <w:vAlign w:val="center"/>
          </w:tcPr>
          <w:p w14:paraId="5E552284">
            <w:pPr>
              <w:spacing w:before="0" w:after="0" w:line="240" w:lineRule="auto"/>
              <w:jc w:val="center"/>
            </w:pPr>
            <w:r>
              <w:rPr>
                <w:rFonts w:ascii="Times New Roman" w:hAnsi="Times New Roman" w:eastAsia="Times New Roman" w:cs="Times New Roman"/>
                <w:b w:val="0"/>
                <w:bCs w:val="0"/>
                <w:sz w:val="20"/>
                <w:szCs w:val="20"/>
              </w:rPr>
              <w:t>3. Controlled pilot</w:t>
            </w:r>
          </w:p>
        </w:tc>
        <w:tc>
          <w:tcPr>
            <w:tcW w:w="5400" w:type="dxa"/>
            <w:tcMar>
              <w:top w:w="70" w:type="dxa"/>
              <w:left w:w="85" w:type="dxa"/>
              <w:bottom w:w="70" w:type="dxa"/>
              <w:right w:w="85" w:type="dxa"/>
            </w:tcMar>
            <w:vAlign w:val="center"/>
          </w:tcPr>
          <w:p w14:paraId="722CE133">
            <w:pPr>
              <w:spacing w:before="0" w:after="0" w:line="240" w:lineRule="auto"/>
              <w:jc w:val="center"/>
            </w:pPr>
            <w:r>
              <w:rPr>
                <w:rFonts w:ascii="Times New Roman" w:hAnsi="Times New Roman" w:eastAsia="Times New Roman" w:cs="Times New Roman"/>
                <w:b w:val="0"/>
                <w:bCs w:val="0"/>
                <w:sz w:val="20"/>
                <w:szCs w:val="20"/>
              </w:rPr>
              <w:t>Randomly compare link-only and embedded-snapshot journeys; pre-register the five-percentage-point target, sample size and guardrails.</w:t>
            </w:r>
          </w:p>
        </w:tc>
        <w:tc>
          <w:tcPr>
            <w:tcW w:w="2376" w:type="dxa"/>
            <w:tcMar>
              <w:top w:w="70" w:type="dxa"/>
              <w:left w:w="85" w:type="dxa"/>
              <w:bottom w:w="70" w:type="dxa"/>
              <w:right w:w="85" w:type="dxa"/>
            </w:tcMar>
            <w:vAlign w:val="center"/>
          </w:tcPr>
          <w:p w14:paraId="7BD831EA">
            <w:pPr>
              <w:spacing w:before="0" w:after="0" w:line="240" w:lineRule="auto"/>
              <w:jc w:val="center"/>
            </w:pPr>
            <w:r>
              <w:rPr>
                <w:rFonts w:ascii="Times New Roman" w:hAnsi="Times New Roman" w:eastAsia="Times New Roman" w:cs="Times New Roman"/>
                <w:b w:val="0"/>
                <w:bCs w:val="0"/>
                <w:sz w:val="20"/>
                <w:szCs w:val="20"/>
              </w:rPr>
              <w:t>Scale only if effective completion improves and guardrails are non-inferior.</w:t>
            </w:r>
          </w:p>
        </w:tc>
      </w:tr>
      <w:tr w14:paraId="43A48800">
        <w:trPr>
          <w:cantSplit/>
          <w:trHeight w:val="729" w:hRule="atLeast"/>
          <w:jc w:val="center"/>
        </w:trPr>
        <w:tc>
          <w:tcPr>
            <w:tcW w:w="1655" w:type="dxa"/>
            <w:shd w:val="clear" w:color="auto" w:fill="EAF2F8"/>
            <w:tcMar>
              <w:top w:w="70" w:type="dxa"/>
              <w:left w:w="85" w:type="dxa"/>
              <w:bottom w:w="70" w:type="dxa"/>
              <w:right w:w="85" w:type="dxa"/>
            </w:tcMar>
            <w:vAlign w:val="center"/>
          </w:tcPr>
          <w:p w14:paraId="584BFEB1">
            <w:pPr>
              <w:spacing w:before="0" w:after="0" w:line="240" w:lineRule="auto"/>
              <w:jc w:val="center"/>
            </w:pPr>
            <w:r>
              <w:rPr>
                <w:rFonts w:ascii="Times New Roman" w:hAnsi="Times New Roman" w:eastAsia="Times New Roman" w:cs="Times New Roman"/>
                <w:b w:val="0"/>
                <w:bCs w:val="0"/>
                <w:sz w:val="20"/>
                <w:szCs w:val="20"/>
              </w:rPr>
              <w:t>4. Monitor and refine</w:t>
            </w:r>
          </w:p>
        </w:tc>
        <w:tc>
          <w:tcPr>
            <w:tcW w:w="5400" w:type="dxa"/>
            <w:shd w:val="clear" w:color="auto" w:fill="EAF2F8"/>
            <w:tcMar>
              <w:top w:w="70" w:type="dxa"/>
              <w:left w:w="85" w:type="dxa"/>
              <w:bottom w:w="70" w:type="dxa"/>
              <w:right w:w="85" w:type="dxa"/>
            </w:tcMar>
            <w:vAlign w:val="center"/>
          </w:tcPr>
          <w:p w14:paraId="0D126D92">
            <w:pPr>
              <w:spacing w:before="0" w:after="0" w:line="240" w:lineRule="auto"/>
              <w:jc w:val="center"/>
            </w:pPr>
            <w:r>
              <w:rPr>
                <w:rFonts w:ascii="Times New Roman" w:hAnsi="Times New Roman" w:eastAsia="Times New Roman" w:cs="Times New Roman"/>
                <w:b w:val="0"/>
                <w:bCs w:val="0"/>
                <w:sz w:val="20"/>
                <w:szCs w:val="20"/>
              </w:rPr>
              <w:t>Review segment effects, data failures, assistance demand, reversals, complaints, ARPU and 90-day retention value.</w:t>
            </w:r>
          </w:p>
        </w:tc>
        <w:tc>
          <w:tcPr>
            <w:tcW w:w="2376" w:type="dxa"/>
            <w:shd w:val="clear" w:color="auto" w:fill="EAF2F8"/>
            <w:tcMar>
              <w:top w:w="70" w:type="dxa"/>
              <w:left w:w="85" w:type="dxa"/>
              <w:bottom w:w="70" w:type="dxa"/>
              <w:right w:w="85" w:type="dxa"/>
            </w:tcMar>
            <w:vAlign w:val="center"/>
          </w:tcPr>
          <w:p w14:paraId="75ADFA39">
            <w:pPr>
              <w:spacing w:before="0" w:after="0" w:line="240" w:lineRule="auto"/>
              <w:jc w:val="center"/>
            </w:pPr>
            <w:r>
              <w:rPr>
                <w:rFonts w:ascii="Times New Roman" w:hAnsi="Times New Roman" w:eastAsia="Times New Roman" w:cs="Times New Roman"/>
                <w:b w:val="0"/>
                <w:bCs w:val="0"/>
                <w:sz w:val="20"/>
                <w:szCs w:val="20"/>
              </w:rPr>
              <w:t>Stop or redesign where detriment or unequal outcomes appear.</w:t>
            </w:r>
          </w:p>
        </w:tc>
      </w:tr>
      <w:tr w14:paraId="7DDA4B8B">
        <w:trPr>
          <w:cantSplit/>
          <w:trHeight w:val="748" w:hRule="atLeast"/>
          <w:jc w:val="center"/>
        </w:trPr>
        <w:tc>
          <w:tcPr>
            <w:tcW w:w="1655" w:type="dxa"/>
            <w:tcMar>
              <w:top w:w="70" w:type="dxa"/>
              <w:left w:w="85" w:type="dxa"/>
              <w:bottom w:w="70" w:type="dxa"/>
              <w:right w:w="85" w:type="dxa"/>
            </w:tcMar>
            <w:vAlign w:val="center"/>
          </w:tcPr>
          <w:p w14:paraId="4523EA60">
            <w:pPr>
              <w:spacing w:before="0" w:after="0" w:line="240" w:lineRule="auto"/>
              <w:jc w:val="center"/>
            </w:pPr>
            <w:r>
              <w:rPr>
                <w:rFonts w:ascii="Times New Roman" w:hAnsi="Times New Roman" w:eastAsia="Times New Roman" w:cs="Times New Roman"/>
                <w:b w:val="0"/>
                <w:bCs w:val="0"/>
                <w:sz w:val="20"/>
                <w:szCs w:val="20"/>
              </w:rPr>
              <w:t>5. Consider explainable guidance</w:t>
            </w:r>
          </w:p>
        </w:tc>
        <w:tc>
          <w:tcPr>
            <w:tcW w:w="5400" w:type="dxa"/>
            <w:tcMar>
              <w:top w:w="70" w:type="dxa"/>
              <w:left w:w="85" w:type="dxa"/>
              <w:bottom w:w="70" w:type="dxa"/>
              <w:right w:w="85" w:type="dxa"/>
            </w:tcMar>
            <w:vAlign w:val="center"/>
          </w:tcPr>
          <w:p w14:paraId="4ACAFCBC">
            <w:pPr>
              <w:spacing w:before="0" w:after="0" w:line="240" w:lineRule="auto"/>
              <w:jc w:val="center"/>
            </w:pPr>
            <w:r>
              <w:rPr>
                <w:rFonts w:ascii="Times New Roman" w:hAnsi="Times New Roman" w:eastAsia="Times New Roman" w:cs="Times New Roman"/>
                <w:b w:val="0"/>
                <w:bCs w:val="0"/>
                <w:sz w:val="20"/>
                <w:szCs w:val="20"/>
              </w:rPr>
              <w:t>Test guidance separately, showing evidence, assumptions, alternatives and the ability to stay, override or defer.</w:t>
            </w:r>
          </w:p>
        </w:tc>
        <w:tc>
          <w:tcPr>
            <w:tcW w:w="2376" w:type="dxa"/>
            <w:tcMar>
              <w:top w:w="70" w:type="dxa"/>
              <w:left w:w="85" w:type="dxa"/>
              <w:bottom w:w="70" w:type="dxa"/>
              <w:right w:w="85" w:type="dxa"/>
            </w:tcMar>
            <w:vAlign w:val="center"/>
          </w:tcPr>
          <w:p w14:paraId="01B6AF59">
            <w:pPr>
              <w:spacing w:before="0" w:after="0" w:line="240" w:lineRule="auto"/>
              <w:jc w:val="center"/>
            </w:pPr>
            <w:r>
              <w:rPr>
                <w:rFonts w:ascii="Times New Roman" w:hAnsi="Times New Roman" w:eastAsia="Times New Roman" w:cs="Times New Roman"/>
                <w:b w:val="0"/>
                <w:bCs w:val="0"/>
                <w:sz w:val="20"/>
                <w:szCs w:val="20"/>
              </w:rPr>
              <w:t>Adopt only if it adds decision quality without trust, fairness or financial harm.</w:t>
            </w:r>
          </w:p>
        </w:tc>
      </w:tr>
    </w:tbl>
    <w:p w14:paraId="1C9C5851">
      <w:pPr>
        <w:keepNext/>
        <w:spacing w:before="120" w:after="200" w:line="240" w:lineRule="auto"/>
        <w:jc w:val="center"/>
      </w:pPr>
      <w:r>
        <w:rPr>
          <w:rFonts w:ascii="Times New Roman" w:hAnsi="Times New Roman" w:eastAsia="Times New Roman" w:cs="Times New Roman"/>
          <w:b/>
          <w:bCs/>
          <w:sz w:val="22"/>
          <w:szCs w:val="22"/>
        </w:rPr>
        <w:t>Table 6. Phased implementation plan and decision gates.</w:t>
      </w:r>
    </w:p>
    <w:p w14:paraId="2A45C926">
      <w:pPr>
        <w:pStyle w:val="3"/>
        <w:spacing w:before="240" w:after="140" w:line="360" w:lineRule="auto"/>
        <w:outlineLvl w:val="1"/>
      </w:pPr>
      <w:r>
        <w:rPr>
          <w:rFonts w:ascii="Times New Roman" w:hAnsi="Times New Roman" w:eastAsia="Times New Roman" w:cs="Times New Roman"/>
          <w:b/>
          <w:bCs/>
          <w:i/>
          <w:iCs/>
          <w:color w:val="000000"/>
          <w:sz w:val="28"/>
          <w:szCs w:val="28"/>
        </w:rPr>
        <w:t>9.4 Implementation controls</w:t>
      </w:r>
    </w:p>
    <w:p w14:paraId="2FA6D437">
      <w:pPr>
        <w:pStyle w:val="16"/>
        <w:numPr>
          <w:ilvl w:val="0"/>
          <w:numId w:val="1"/>
        </w:numPr>
        <w:spacing w:after="0" w:line="360" w:lineRule="auto"/>
      </w:pPr>
      <w:r>
        <w:rPr>
          <w:rFonts w:ascii="Times New Roman" w:hAnsi="Times New Roman" w:eastAsia="Times New Roman" w:cs="Times New Roman"/>
          <w:sz w:val="24"/>
          <w:szCs w:val="24"/>
        </w:rPr>
        <w:t>Assign one accountable process owner across the annual-review outcome.</w:t>
      </w:r>
    </w:p>
    <w:p w14:paraId="09182DA1">
      <w:pPr>
        <w:pStyle w:val="16"/>
        <w:numPr>
          <w:ilvl w:val="0"/>
          <w:numId w:val="1"/>
        </w:numPr>
        <w:spacing w:after="0" w:line="360" w:lineRule="auto"/>
      </w:pPr>
      <w:r>
        <w:rPr>
          <w:rFonts w:ascii="Times New Roman" w:hAnsi="Times New Roman" w:eastAsia="Times New Roman" w:cs="Times New Roman"/>
          <w:sz w:val="24"/>
          <w:szCs w:val="24"/>
        </w:rPr>
        <w:t>Use one authoritative definition for usage, spend, plan terms and review completion.</w:t>
      </w:r>
    </w:p>
    <w:p w14:paraId="3228FDA0">
      <w:pPr>
        <w:pStyle w:val="16"/>
        <w:numPr>
          <w:ilvl w:val="0"/>
          <w:numId w:val="1"/>
        </w:numPr>
        <w:spacing w:after="0" w:line="360" w:lineRule="auto"/>
      </w:pPr>
      <w:r>
        <w:rPr>
          <w:rFonts w:ascii="Times New Roman" w:hAnsi="Times New Roman" w:eastAsia="Times New Roman" w:cs="Times New Roman"/>
          <w:sz w:val="24"/>
          <w:szCs w:val="24"/>
        </w:rPr>
        <w:t>Version all calculation and presentation rules.</w:t>
      </w:r>
    </w:p>
    <w:p w14:paraId="1E2FC8A0">
      <w:pPr>
        <w:pStyle w:val="16"/>
        <w:numPr>
          <w:ilvl w:val="0"/>
          <w:numId w:val="1"/>
        </w:numPr>
        <w:spacing w:after="0" w:line="360" w:lineRule="auto"/>
      </w:pPr>
      <w:r>
        <w:rPr>
          <w:rFonts w:ascii="Times New Roman" w:hAnsi="Times New Roman" w:eastAsia="Times New Roman" w:cs="Times New Roman"/>
          <w:sz w:val="24"/>
          <w:szCs w:val="24"/>
        </w:rPr>
        <w:t>Expose only the minimum customer data needed in the summary and secure detailed information appropriately.</w:t>
      </w:r>
    </w:p>
    <w:p w14:paraId="431A4112">
      <w:pPr>
        <w:pStyle w:val="16"/>
        <w:numPr>
          <w:ilvl w:val="0"/>
          <w:numId w:val="1"/>
        </w:numPr>
        <w:spacing w:after="0" w:line="360" w:lineRule="auto"/>
      </w:pPr>
      <w:r>
        <w:rPr>
          <w:rFonts w:ascii="Times New Roman" w:hAnsi="Times New Roman" w:eastAsia="Times New Roman" w:cs="Times New Roman"/>
          <w:sz w:val="24"/>
          <w:szCs w:val="24"/>
        </w:rPr>
        <w:t>Give customer care access to the same snapshot and its calculation basis.</w:t>
      </w:r>
    </w:p>
    <w:p w14:paraId="46B860AF">
      <w:pPr>
        <w:pStyle w:val="16"/>
        <w:numPr>
          <w:ilvl w:val="0"/>
          <w:numId w:val="1"/>
        </w:numPr>
        <w:spacing w:after="0" w:line="360" w:lineRule="auto"/>
      </w:pPr>
      <w:r>
        <w:rPr>
          <w:rFonts w:ascii="Times New Roman" w:hAnsi="Times New Roman" w:eastAsia="Times New Roman" w:cs="Times New Roman"/>
          <w:sz w:val="24"/>
          <w:szCs w:val="24"/>
        </w:rPr>
        <w:t>Monitor data-quality failures, complaints, reversals, unexpected bill increases and segment-level outcomes.</w:t>
      </w:r>
    </w:p>
    <w:p w14:paraId="57147279">
      <w:pPr>
        <w:pStyle w:val="16"/>
        <w:numPr>
          <w:ilvl w:val="0"/>
          <w:numId w:val="1"/>
        </w:numPr>
        <w:spacing w:after="0" w:line="360" w:lineRule="auto"/>
      </w:pPr>
      <w:r>
        <w:rPr>
          <w:rFonts w:ascii="Times New Roman" w:hAnsi="Times New Roman" w:eastAsia="Times New Roman" w:cs="Times New Roman"/>
          <w:sz w:val="24"/>
          <w:szCs w:val="24"/>
        </w:rPr>
        <w:t>Maintain a customer route to verify, challenge, ignore or defer the review.</w:t>
      </w:r>
    </w:p>
    <w:p w14:paraId="60A2591F">
      <w:pPr>
        <w:pStyle w:val="3"/>
        <w:spacing w:before="240" w:after="140" w:line="360" w:lineRule="auto"/>
        <w:outlineLvl w:val="1"/>
      </w:pPr>
      <w:r>
        <w:rPr>
          <w:rFonts w:ascii="Times New Roman" w:hAnsi="Times New Roman" w:eastAsia="Times New Roman" w:cs="Times New Roman"/>
          <w:b/>
          <w:bCs/>
          <w:i/>
          <w:iCs/>
          <w:color w:val="000000"/>
          <w:sz w:val="28"/>
          <w:szCs w:val="28"/>
        </w:rPr>
        <w:t>9.5 Expected contribution and limitation</w:t>
      </w:r>
    </w:p>
    <w:p w14:paraId="2AFF2D44">
      <w:pPr>
        <w:spacing w:after="0" w:line="360" w:lineRule="auto"/>
        <w:jc w:val="both"/>
      </w:pPr>
      <w:r>
        <w:rPr>
          <w:rFonts w:ascii="Times New Roman" w:hAnsi="Times New Roman" w:eastAsia="Times New Roman" w:cs="Times New Roman"/>
          <w:sz w:val="24"/>
          <w:szCs w:val="24"/>
        </w:rPr>
        <w:t>The proposed solution is expected to reduce customer evidence-retrieval effort and make the annual review more actionable. Its financial value could arise from lower avoidable care demand, better retention and fewer persistent plan mismatches, but the direction and size of these effects are not established by the available evidence. Some customers may move to cheaper plans, creating a short-term ARPU trade-off. The business case should therefore be based on incremental 90-day retained contribution margin net of journey and contact cost, supported by sensitivity analysis rather than an assumed revenue uplift.</w:t>
      </w:r>
    </w:p>
    <w:p w14:paraId="326E9EA5">
      <w:pPr>
        <w:pStyle w:val="2"/>
        <w:spacing w:before="320" w:after="160" w:line="360" w:lineRule="auto"/>
        <w:outlineLvl w:val="0"/>
      </w:pPr>
      <w:r>
        <w:rPr>
          <w:rFonts w:ascii="Times New Roman" w:hAnsi="Times New Roman" w:eastAsia="Times New Roman" w:cs="Times New Roman"/>
          <w:b/>
          <w:bCs/>
          <w:color w:val="000000"/>
          <w:sz w:val="28"/>
          <w:szCs w:val="28"/>
        </w:rPr>
        <w:t>References</w:t>
      </w:r>
    </w:p>
    <w:p w14:paraId="60DA1196">
      <w:pPr>
        <w:spacing w:after="0" w:line="360" w:lineRule="auto"/>
        <w:ind w:left="720" w:hanging="720"/>
        <w:jc w:val="both"/>
      </w:pPr>
      <w:r>
        <w:rPr>
          <w:rFonts w:ascii="Times New Roman" w:hAnsi="Times New Roman" w:eastAsia="Times New Roman" w:cs="Times New Roman"/>
          <w:sz w:val="24"/>
          <w:szCs w:val="24"/>
        </w:rPr>
        <w:t xml:space="preserve">Commerce Commission. (2024, November 27). </w:t>
      </w:r>
      <w:r>
        <w:rPr>
          <w:rFonts w:ascii="Times New Roman" w:hAnsi="Times New Roman" w:eastAsia="Times New Roman" w:cs="Times New Roman"/>
          <w:i/>
          <w:iCs/>
          <w:sz w:val="24"/>
          <w:szCs w:val="24"/>
        </w:rPr>
        <w:t>Is your mobile plan right for you? Telcos could do more to tell you</w:t>
      </w:r>
      <w:r>
        <w:rPr>
          <w:rFonts w:ascii="Times New Roman" w:hAnsi="Times New Roman" w:eastAsia="Times New Roman" w:cs="Times New Roman"/>
          <w:sz w:val="24"/>
          <w:szCs w:val="24"/>
        </w:rPr>
        <w:t>. https://www.comcom.govt.nz/news-and-media/news-and-events/2024/is-your-mobile-plan-right-for-you-telcos-could-do-more-to-tell-you/</w:t>
      </w:r>
    </w:p>
    <w:p w14:paraId="6177970D">
      <w:pPr>
        <w:spacing w:after="0" w:line="360" w:lineRule="auto"/>
        <w:ind w:left="720" w:hanging="720"/>
        <w:jc w:val="both"/>
      </w:pPr>
      <w:r>
        <w:rPr>
          <w:rFonts w:ascii="Times New Roman" w:hAnsi="Times New Roman" w:eastAsia="Times New Roman" w:cs="Times New Roman"/>
          <w:sz w:val="24"/>
          <w:szCs w:val="24"/>
        </w:rPr>
        <w:t xml:space="preserve">Commerce Commission. (2025a, March 20). </w:t>
      </w:r>
      <w:r>
        <w:rPr>
          <w:rFonts w:ascii="Times New Roman" w:hAnsi="Times New Roman" w:eastAsia="Times New Roman" w:cs="Times New Roman"/>
          <w:i/>
          <w:iCs/>
          <w:sz w:val="24"/>
          <w:szCs w:val="24"/>
        </w:rPr>
        <w:t>ComCom calls for better switching for consumers</w:t>
      </w:r>
      <w:r>
        <w:rPr>
          <w:rFonts w:ascii="Times New Roman" w:hAnsi="Times New Roman" w:eastAsia="Times New Roman" w:cs="Times New Roman"/>
          <w:sz w:val="24"/>
          <w:szCs w:val="24"/>
        </w:rPr>
        <w:t>. https://www.comcom.govt.nz/news-and-media/news-and-events/2025/comcom-calls-for-better-switching-for-consumers/</w:t>
      </w:r>
    </w:p>
    <w:p w14:paraId="551B9FCC">
      <w:pPr>
        <w:spacing w:after="0" w:line="360" w:lineRule="auto"/>
        <w:ind w:left="720" w:hanging="720"/>
        <w:jc w:val="both"/>
      </w:pPr>
      <w:r>
        <w:rPr>
          <w:rFonts w:ascii="Times New Roman" w:hAnsi="Times New Roman" w:eastAsia="Times New Roman" w:cs="Times New Roman"/>
          <w:sz w:val="24"/>
          <w:szCs w:val="24"/>
        </w:rPr>
        <w:t xml:space="preserve">Commerce Commission. (2025b, October 2). </w:t>
      </w:r>
      <w:r>
        <w:rPr>
          <w:rFonts w:ascii="Times New Roman" w:hAnsi="Times New Roman" w:eastAsia="Times New Roman" w:cs="Times New Roman"/>
          <w:i/>
          <w:iCs/>
          <w:sz w:val="24"/>
          <w:szCs w:val="24"/>
        </w:rPr>
        <w:t>Spark, 2degrees and One NZ stall on billing transparency</w:t>
      </w:r>
      <w:r>
        <w:rPr>
          <w:rFonts w:ascii="Times New Roman" w:hAnsi="Times New Roman" w:eastAsia="Times New Roman" w:cs="Times New Roman"/>
          <w:sz w:val="24"/>
          <w:szCs w:val="24"/>
        </w:rPr>
        <w:t>. https://www.comcom.govt.nz/news-and-media/news-and-events/2025/spark-2degrees-and-one-nz-stall-on-billing-transparency/</w:t>
      </w:r>
    </w:p>
    <w:p w14:paraId="19191072">
      <w:pPr>
        <w:spacing w:after="0" w:line="360" w:lineRule="auto"/>
        <w:ind w:left="720" w:hanging="720"/>
        <w:jc w:val="both"/>
      </w:pPr>
      <w:r>
        <w:rPr>
          <w:rFonts w:ascii="Times New Roman" w:hAnsi="Times New Roman" w:eastAsia="Times New Roman" w:cs="Times New Roman"/>
          <w:sz w:val="24"/>
          <w:szCs w:val="24"/>
        </w:rPr>
        <w:t xml:space="preserve">Rasiel, E. M., &amp; Friga, P. N. (2001). </w:t>
      </w:r>
      <w:r>
        <w:rPr>
          <w:rFonts w:ascii="Times New Roman" w:hAnsi="Times New Roman" w:eastAsia="Times New Roman" w:cs="Times New Roman"/>
          <w:i/>
          <w:iCs/>
          <w:sz w:val="24"/>
          <w:szCs w:val="24"/>
        </w:rPr>
        <w:t>The McKinsey mind: Understanding and implementing the problem-solving tools and management techniques of the world's top strategic consulting firm</w:t>
      </w:r>
      <w:r>
        <w:rPr>
          <w:rFonts w:ascii="Times New Roman" w:hAnsi="Times New Roman" w:eastAsia="Times New Roman" w:cs="Times New Roman"/>
          <w:sz w:val="24"/>
          <w:szCs w:val="24"/>
        </w:rPr>
        <w:t>. McGraw-Hill.</w:t>
      </w:r>
    </w:p>
    <w:p w14:paraId="629DF0C3">
      <w:pPr>
        <w:spacing w:after="0" w:line="360" w:lineRule="auto"/>
        <w:ind w:left="720" w:hanging="720"/>
        <w:jc w:val="both"/>
      </w:pPr>
      <w:r>
        <w:rPr>
          <w:rFonts w:ascii="Times New Roman" w:hAnsi="Times New Roman" w:eastAsia="Times New Roman" w:cs="Times New Roman"/>
          <w:sz w:val="24"/>
          <w:szCs w:val="24"/>
        </w:rPr>
        <w:t xml:space="preserve">Rosemann, M. (2001). </w:t>
      </w:r>
      <w:r>
        <w:rPr>
          <w:rFonts w:ascii="Times New Roman" w:hAnsi="Times New Roman" w:eastAsia="Times New Roman" w:cs="Times New Roman"/>
          <w:i/>
          <w:iCs/>
          <w:sz w:val="24"/>
          <w:szCs w:val="24"/>
        </w:rPr>
        <w:t>Business process lifecycle management</w:t>
      </w:r>
      <w:r>
        <w:rPr>
          <w:rFonts w:ascii="Times New Roman" w:hAnsi="Times New Roman" w:eastAsia="Times New Roman" w:cs="Times New Roman"/>
          <w:sz w:val="24"/>
          <w:szCs w:val="24"/>
        </w:rPr>
        <w:t xml:space="preserve"> [White paper]. Queensland University of Technology.</w:t>
      </w:r>
    </w:p>
    <w:p w14:paraId="771AD6CE">
      <w:pPr>
        <w:spacing w:after="0" w:line="360" w:lineRule="auto"/>
        <w:ind w:left="720" w:hanging="720"/>
        <w:jc w:val="both"/>
      </w:pPr>
      <w:r>
        <w:rPr>
          <w:rFonts w:ascii="Times New Roman" w:hAnsi="Times New Roman" w:eastAsia="Times New Roman" w:cs="Times New Roman"/>
          <w:sz w:val="24"/>
          <w:szCs w:val="24"/>
        </w:rPr>
        <w:t xml:space="preserve">University of Auckland. (2026a). </w:t>
      </w:r>
      <w:r>
        <w:rPr>
          <w:rFonts w:ascii="Times New Roman" w:hAnsi="Times New Roman" w:eastAsia="Times New Roman" w:cs="Times New Roman"/>
          <w:i/>
          <w:iCs/>
          <w:sz w:val="24"/>
          <w:szCs w:val="24"/>
        </w:rPr>
        <w:t>INFOSYS 704 IT consultancy: Lecture 4 — Framing the problem, AS-IS modelling, designing the analyses</w:t>
      </w:r>
      <w:r>
        <w:rPr>
          <w:rFonts w:ascii="Times New Roman" w:hAnsi="Times New Roman" w:eastAsia="Times New Roman" w:cs="Times New Roman"/>
          <w:sz w:val="24"/>
          <w:szCs w:val="24"/>
        </w:rPr>
        <w:t xml:space="preserve"> [PowerPoint slides].</w:t>
      </w:r>
    </w:p>
    <w:p w14:paraId="022A5311">
      <w:pPr>
        <w:spacing w:after="0" w:line="360" w:lineRule="auto"/>
        <w:ind w:left="720" w:hanging="720"/>
        <w:jc w:val="both"/>
      </w:pPr>
      <w:r>
        <w:rPr>
          <w:rFonts w:ascii="Times New Roman" w:hAnsi="Times New Roman" w:eastAsia="Times New Roman" w:cs="Times New Roman"/>
          <w:sz w:val="24"/>
          <w:szCs w:val="24"/>
        </w:rPr>
        <w:t xml:space="preserve">University of Auckland. (2026b). </w:t>
      </w:r>
      <w:r>
        <w:rPr>
          <w:rFonts w:ascii="Times New Roman" w:hAnsi="Times New Roman" w:eastAsia="Times New Roman" w:cs="Times New Roman"/>
          <w:i/>
          <w:iCs/>
          <w:sz w:val="24"/>
          <w:szCs w:val="24"/>
        </w:rPr>
        <w:t>INFOSYS 704 IT consultancy: Lecture 5 — Gathering the data, analysing the data, interpreting the results</w:t>
      </w:r>
      <w:r>
        <w:rPr>
          <w:rFonts w:ascii="Times New Roman" w:hAnsi="Times New Roman" w:eastAsia="Times New Roman" w:cs="Times New Roman"/>
          <w:sz w:val="24"/>
          <w:szCs w:val="24"/>
        </w:rPr>
        <w:t xml:space="preserve"> [PowerPoint slides].</w:t>
      </w:r>
    </w:p>
    <w:p w14:paraId="3AF550D3">
      <w:pPr>
        <w:spacing w:after="0" w:line="360" w:lineRule="auto"/>
        <w:ind w:left="720" w:hanging="720"/>
        <w:jc w:val="both"/>
      </w:pPr>
      <w:r>
        <w:rPr>
          <w:rFonts w:ascii="Times New Roman" w:hAnsi="Times New Roman" w:eastAsia="Times New Roman" w:cs="Times New Roman"/>
          <w:sz w:val="24"/>
          <w:szCs w:val="24"/>
        </w:rPr>
        <w:t xml:space="preserve">University of Auckland. (2026c). </w:t>
      </w:r>
      <w:r>
        <w:rPr>
          <w:rFonts w:ascii="Times New Roman" w:hAnsi="Times New Roman" w:eastAsia="Times New Roman" w:cs="Times New Roman"/>
          <w:i/>
          <w:iCs/>
          <w:sz w:val="24"/>
          <w:szCs w:val="24"/>
        </w:rPr>
        <w:t>INFOSYS 704 IT consultancy: Lecture 6 — Process lifecycle</w:t>
      </w:r>
      <w:r>
        <w:rPr>
          <w:rFonts w:ascii="Times New Roman" w:hAnsi="Times New Roman" w:eastAsia="Times New Roman" w:cs="Times New Roman"/>
          <w:sz w:val="24"/>
          <w:szCs w:val="24"/>
        </w:rPr>
        <w:t xml:space="preserve"> [PowerPoint slides].</w:t>
      </w:r>
    </w:p>
    <w:p w14:paraId="716C025E">
      <w:pPr>
        <w:spacing w:line="360" w:lineRule="auto"/>
        <w:sectPr>
          <w:footerReference r:id="rId12" w:type="default"/>
          <w:pgSz w:w="11906" w:h="16838"/>
          <w:pgMar w:top="1080" w:right="1200" w:bottom="1080" w:left="1200" w:header="708" w:footer="708" w:gutter="0"/>
          <w:cols w:space="720" w:num="1"/>
          <w:docGrid w:linePitch="360" w:charSpace="0"/>
        </w:sectPr>
      </w:pPr>
    </w:p>
    <w:p w14:paraId="769D8A87">
      <w:pPr>
        <w:pStyle w:val="2"/>
        <w:spacing w:before="320" w:after="160" w:line="360" w:lineRule="auto"/>
        <w:outlineLvl w:val="0"/>
      </w:pPr>
      <w:r>
        <w:rPr>
          <w:rFonts w:ascii="Times New Roman" w:hAnsi="Times New Roman" w:eastAsia="Times New Roman" w:cs="Times New Roman"/>
          <w:b/>
          <w:bCs/>
          <w:color w:val="000000"/>
          <w:sz w:val="28"/>
          <w:szCs w:val="28"/>
        </w:rPr>
        <w:t>Appendix A — Semi-Structured Interview Guide</w:t>
      </w:r>
    </w:p>
    <w:p w14:paraId="3AEE4673">
      <w:pPr>
        <w:spacing w:after="0" w:line="360" w:lineRule="auto"/>
        <w:jc w:val="both"/>
      </w:pPr>
      <w:r>
        <w:rPr>
          <w:rFonts w:ascii="Times New Roman" w:hAnsi="Times New Roman" w:eastAsia="Times New Roman" w:cs="Times New Roman"/>
          <w:sz w:val="24"/>
          <w:szCs w:val="24"/>
        </w:rPr>
        <w:t>The full ten-section, twenty-two-question guide used identically for both interviewees is reproduced in Section 5 of the main report. It is not duplicated here to avoid redundancy; question numbers in Appendices B and C map directly onto that guide.</w:t>
      </w:r>
    </w:p>
    <w:p w14:paraId="67310FAB">
      <w:pPr>
        <w:pStyle w:val="2"/>
        <w:spacing w:before="320" w:after="160" w:line="360" w:lineRule="auto"/>
        <w:outlineLvl w:val="0"/>
      </w:pPr>
      <w:r>
        <w:rPr>
          <w:rFonts w:ascii="Times New Roman" w:hAnsi="Times New Roman" w:eastAsia="Times New Roman" w:cs="Times New Roman"/>
          <w:b/>
          <w:bCs/>
          <w:color w:val="000000"/>
          <w:sz w:val="28"/>
          <w:szCs w:val="28"/>
        </w:rPr>
        <w:t>Appendix B — Xuan Zeng Interview Transcript (Authentic Group-Mate Evidence)</w:t>
      </w:r>
    </w:p>
    <w:p w14:paraId="59B96D01">
      <w:pPr>
        <w:pStyle w:val="3"/>
        <w:spacing w:before="240" w:after="140" w:line="360" w:lineRule="auto"/>
        <w:outlineLvl w:val="1"/>
      </w:pPr>
      <w:r>
        <w:rPr>
          <w:rFonts w:ascii="Times New Roman" w:hAnsi="Times New Roman" w:eastAsia="Times New Roman" w:cs="Times New Roman"/>
          <w:b/>
          <w:bCs/>
          <w:i/>
          <w:iCs/>
          <w:color w:val="000000"/>
          <w:sz w:val="28"/>
          <w:szCs w:val="28"/>
        </w:rPr>
        <w:t>Header</w:t>
      </w:r>
    </w:p>
    <w:p w14:paraId="59D3B30B">
      <w:pPr>
        <w:spacing w:after="0" w:line="360" w:lineRule="auto"/>
        <w:jc w:val="both"/>
      </w:pPr>
      <w:r>
        <w:rPr>
          <w:rFonts w:ascii="Times New Roman" w:hAnsi="Times New Roman" w:eastAsia="Times New Roman" w:cs="Times New Roman"/>
          <w:b/>
          <w:bCs/>
          <w:sz w:val="24"/>
          <w:szCs w:val="24"/>
        </w:rPr>
        <w:t>Assignment:</w:t>
      </w:r>
      <w:r>
        <w:rPr>
          <w:rFonts w:ascii="Times New Roman" w:hAnsi="Times New Roman" w:eastAsia="Times New Roman" w:cs="Times New Roman"/>
          <w:sz w:val="24"/>
          <w:szCs w:val="24"/>
        </w:rPr>
        <w:t xml:space="preserve"> A1-D2. </w:t>
      </w:r>
      <w:r>
        <w:rPr>
          <w:rFonts w:ascii="Times New Roman" w:hAnsi="Times New Roman" w:eastAsia="Times New Roman" w:cs="Times New Roman"/>
          <w:b/>
          <w:bCs/>
          <w:sz w:val="24"/>
          <w:szCs w:val="24"/>
        </w:rPr>
        <w:t>Respondent:</w:t>
      </w:r>
      <w:r>
        <w:rPr>
          <w:rFonts w:ascii="Times New Roman" w:hAnsi="Times New Roman" w:eastAsia="Times New Roman" w:cs="Times New Roman"/>
          <w:sz w:val="24"/>
          <w:szCs w:val="24"/>
        </w:rPr>
        <w:t xml:space="preserve"> Xuan Zeng (Organisational problem domain). </w:t>
      </w:r>
      <w:r>
        <w:rPr>
          <w:rFonts w:ascii="Times New Roman" w:hAnsi="Times New Roman" w:eastAsia="Times New Roman" w:cs="Times New Roman"/>
          <w:b/>
          <w:bCs/>
          <w:sz w:val="24"/>
          <w:szCs w:val="24"/>
        </w:rPr>
        <w:t>Interviewer:</w:t>
      </w:r>
      <w:r>
        <w:rPr>
          <w:rFonts w:ascii="Times New Roman" w:hAnsi="Times New Roman" w:eastAsia="Times New Roman" w:cs="Times New Roman"/>
          <w:sz w:val="24"/>
          <w:szCs w:val="24"/>
        </w:rPr>
        <w:t xml:space="preserve"> Rae Huang — Financial problem domain. </w:t>
      </w:r>
      <w:r>
        <w:rPr>
          <w:rFonts w:ascii="Times New Roman" w:hAnsi="Times New Roman" w:eastAsia="Times New Roman" w:cs="Times New Roman"/>
          <w:b/>
          <w:bCs/>
          <w:sz w:val="24"/>
          <w:szCs w:val="24"/>
        </w:rPr>
        <w:t>Date:</w:t>
      </w:r>
      <w:r>
        <w:rPr>
          <w:rFonts w:ascii="Times New Roman" w:hAnsi="Times New Roman" w:eastAsia="Times New Roman" w:cs="Times New Roman"/>
          <w:sz w:val="24"/>
          <w:szCs w:val="24"/>
        </w:rPr>
        <w:t xml:space="preserve"> 24 August 2026. </w:t>
      </w:r>
      <w:r>
        <w:rPr>
          <w:rFonts w:ascii="Times New Roman" w:hAnsi="Times New Roman" w:eastAsia="Times New Roman" w:cs="Times New Roman"/>
          <w:b/>
          <w:bCs/>
          <w:sz w:val="24"/>
          <w:szCs w:val="24"/>
        </w:rPr>
        <w:t>Format:</w:t>
      </w:r>
      <w:r>
        <w:rPr>
          <w:rFonts w:ascii="Times New Roman" w:hAnsi="Times New Roman" w:eastAsia="Times New Roman" w:cs="Times New Roman"/>
          <w:sz w:val="24"/>
          <w:szCs w:val="24"/>
        </w:rPr>
        <w:t xml:space="preserve"> Written response to the interview guide circulated in advance.</w:t>
      </w:r>
    </w:p>
    <w:p w14:paraId="7B7B79ED">
      <w:pPr>
        <w:spacing w:after="0" w:line="360" w:lineRule="auto"/>
        <w:jc w:val="both"/>
      </w:pPr>
      <w:r>
        <w:rPr>
          <w:rFonts w:ascii="Times New Roman" w:hAnsi="Times New Roman" w:eastAsia="Times New Roman" w:cs="Times New Roman"/>
          <w:b/>
          <w:bCs/>
          <w:sz w:val="24"/>
          <w:szCs w:val="24"/>
        </w:rPr>
        <w:t>Hypothesis being tested:</w:t>
      </w:r>
      <w:r>
        <w:rPr>
          <w:rFonts w:ascii="Times New Roman" w:hAnsi="Times New Roman" w:eastAsia="Times New Roman" w:cs="Times New Roman"/>
          <w:sz w:val="24"/>
          <w:szCs w:val="24"/>
        </w:rPr>
        <w:t xml:space="preserve"> "Compared with a link-only annual plan summary, the absence of embedded usage and spending history and personalised right-plan guidance materially increases customers' difficulty in choosing a suitable plan."</w:t>
      </w:r>
    </w:p>
    <w:p w14:paraId="48E60DA5">
      <w:pPr>
        <w:pStyle w:val="3"/>
        <w:spacing w:before="240" w:after="140" w:line="360" w:lineRule="auto"/>
        <w:outlineLvl w:val="1"/>
      </w:pPr>
      <w:r>
        <w:rPr>
          <w:rFonts w:ascii="Times New Roman" w:hAnsi="Times New Roman" w:eastAsia="Times New Roman" w:cs="Times New Roman"/>
          <w:b/>
          <w:bCs/>
          <w:i/>
          <w:iCs/>
          <w:color w:val="000000"/>
          <w:sz w:val="28"/>
          <w:szCs w:val="28"/>
        </w:rPr>
        <w:t>Section 1 — Consent</w:t>
      </w:r>
    </w:p>
    <w:p w14:paraId="53ACFE50">
      <w:pPr>
        <w:spacing w:after="0" w:line="360" w:lineRule="auto"/>
        <w:jc w:val="both"/>
      </w:pPr>
      <w:r>
        <w:rPr>
          <w:rFonts w:ascii="Times New Roman" w:hAnsi="Times New Roman" w:eastAsia="Times New Roman" w:cs="Times New Roman"/>
          <w:b/>
          <w:bCs/>
          <w:sz w:val="24"/>
          <w:szCs w:val="24"/>
        </w:rPr>
        <w:t>Q1.</w:t>
      </w:r>
      <w:r>
        <w:rPr>
          <w:rFonts w:ascii="Times New Roman" w:hAnsi="Times New Roman" w:eastAsia="Times New Roman" w:cs="Times New Roman"/>
          <w:sz w:val="24"/>
          <w:szCs w:val="24"/>
        </w:rPr>
        <w:t xml:space="preserve"> Yes, I'm happy for my answers to be quoted or summarised in your assignment, and for you to identify me as "Xuan Zeng — Organisational problem domain". One small request: if you shorten an answer, please keep the qualifier with it, because a few of my answers are conditional rather than definite.</w:t>
      </w:r>
    </w:p>
    <w:p w14:paraId="3257597B">
      <w:pPr>
        <w:spacing w:after="0" w:line="360" w:lineRule="auto"/>
        <w:jc w:val="both"/>
      </w:pPr>
      <w:r>
        <w:rPr>
          <w:rFonts w:ascii="Times New Roman" w:hAnsi="Times New Roman" w:eastAsia="Times New Roman" w:cs="Times New Roman"/>
          <w:b/>
          <w:bCs/>
          <w:sz w:val="24"/>
          <w:szCs w:val="24"/>
        </w:rPr>
        <w:t>Q2.</w:t>
      </w:r>
      <w:r>
        <w:rPr>
          <w:rFonts w:ascii="Times New Roman" w:hAnsi="Times New Roman" w:eastAsia="Times New Roman" w:cs="Times New Roman"/>
          <w:sz w:val="24"/>
          <w:szCs w:val="24"/>
        </w:rPr>
        <w:t xml:space="preserve"> Yes, I can confirm that. Everything below is based on the scenario you sent me, publicly available information about the New Zealand telco market, and my own experience as a customer. I don't have any access to Spark's internal systems or data, so nothing here is confidential.</w:t>
      </w:r>
    </w:p>
    <w:p w14:paraId="46DA3F64">
      <w:pPr>
        <w:pStyle w:val="3"/>
        <w:spacing w:before="240" w:after="140" w:line="360" w:lineRule="auto"/>
        <w:outlineLvl w:val="1"/>
      </w:pPr>
      <w:r>
        <w:rPr>
          <w:rFonts w:ascii="Times New Roman" w:hAnsi="Times New Roman" w:eastAsia="Times New Roman" w:cs="Times New Roman"/>
          <w:b/>
          <w:bCs/>
          <w:i/>
          <w:iCs/>
          <w:color w:val="000000"/>
          <w:sz w:val="28"/>
          <w:szCs w:val="28"/>
        </w:rPr>
        <w:t>Section 2 — Your perspective</w:t>
      </w:r>
    </w:p>
    <w:p w14:paraId="451B5050">
      <w:pPr>
        <w:spacing w:after="0" w:line="360" w:lineRule="auto"/>
        <w:jc w:val="both"/>
      </w:pPr>
      <w:r>
        <w:rPr>
          <w:rFonts w:ascii="Times New Roman" w:hAnsi="Times New Roman" w:eastAsia="Times New Roman" w:cs="Times New Roman"/>
          <w:b/>
          <w:bCs/>
          <w:sz w:val="24"/>
          <w:szCs w:val="24"/>
        </w:rPr>
        <w:t>Q3.</w:t>
      </w:r>
      <w:r>
        <w:rPr>
          <w:rFonts w:ascii="Times New Roman" w:hAnsi="Times New Roman" w:eastAsia="Times New Roman" w:cs="Times New Roman"/>
          <w:sz w:val="24"/>
          <w:szCs w:val="24"/>
        </w:rPr>
        <w:t xml:space="preserve"> My problem domain is organisational, so I'm not really looking at this as a design or user-interface issue. My question is whether Spark is set up internally to produce the thing the summary is supposed to deliver. A personalised plan recommendation isn't just a page — someone has to own the rules behind it, someone has to be responsible for the usage data being accurate, and someone has to answer for it when the recommendation is wrong.</w:t>
      </w:r>
    </w:p>
    <w:p w14:paraId="3951A6FC">
      <w:pPr>
        <w:spacing w:after="0" w:line="360" w:lineRule="auto"/>
        <w:jc w:val="both"/>
      </w:pPr>
      <w:r>
        <w:rPr>
          <w:rFonts w:ascii="Times New Roman" w:hAnsi="Times New Roman" w:eastAsia="Times New Roman" w:cs="Times New Roman"/>
          <w:sz w:val="24"/>
          <w:szCs w:val="24"/>
        </w:rPr>
        <w:t>My guess is that the summary is link-only not because nobody thought of embedding the data, but because no single team owns the output end to end. When that happens the process tends to default to the easiest version of itself, which is to send a link and let the customer do the work.</w:t>
      </w:r>
    </w:p>
    <w:p w14:paraId="250855A4">
      <w:pPr>
        <w:spacing w:after="0" w:line="360" w:lineRule="auto"/>
        <w:jc w:val="both"/>
      </w:pPr>
      <w:r>
        <w:rPr>
          <w:rFonts w:ascii="Times New Roman" w:hAnsi="Times New Roman" w:eastAsia="Times New Roman" w:cs="Times New Roman"/>
          <w:sz w:val="24"/>
          <w:szCs w:val="24"/>
        </w:rPr>
        <w:t>That matters for your hypothesis because it changes what "difficulty" is. The customer's difficulty is the symptom. The organisational cause is a handoff nobody owns. If you fix the page but not the ownership, I'd expect it to slide back within a couple of cycles.</w:t>
      </w:r>
    </w:p>
    <w:p w14:paraId="71512D8A">
      <w:pPr>
        <w:spacing w:after="0" w:line="360" w:lineRule="auto"/>
        <w:jc w:val="both"/>
      </w:pPr>
      <w:r>
        <w:rPr>
          <w:rFonts w:ascii="Times New Roman" w:hAnsi="Times New Roman" w:eastAsia="Times New Roman" w:cs="Times New Roman"/>
          <w:b/>
          <w:bCs/>
          <w:sz w:val="24"/>
          <w:szCs w:val="24"/>
        </w:rPr>
        <w:t>Q4.</w:t>
      </w:r>
      <w:r>
        <w:rPr>
          <w:rFonts w:ascii="Times New Roman" w:hAnsi="Times New Roman" w:eastAsia="Times New Roman" w:cs="Times New Roman"/>
          <w:sz w:val="24"/>
          <w:szCs w:val="24"/>
        </w:rPr>
        <w:t xml:space="preserve"> Fairly familiar as a customer, not as someone who works in the industry. I've compared mobile plans for myself and looked across providers when switching. I haven't worked in a telco billing or customer communications team, so anything I say about how these summaries are actually produced is inference rather than observation. I'd treat my answers in Sections 3 to 6 as reasonably grounded, and my answers in Section 7 as reasoning about what would be needed rather than a description of what Spark has.</w:t>
      </w:r>
    </w:p>
    <w:p w14:paraId="714DB88A">
      <w:pPr>
        <w:pStyle w:val="3"/>
        <w:spacing w:before="240" w:after="140" w:line="360" w:lineRule="auto"/>
        <w:outlineLvl w:val="1"/>
      </w:pPr>
      <w:r>
        <w:rPr>
          <w:rFonts w:ascii="Times New Roman" w:hAnsi="Times New Roman" w:eastAsia="Times New Roman" w:cs="Times New Roman"/>
          <w:b/>
          <w:bCs/>
          <w:i/>
          <w:iCs/>
          <w:color w:val="000000"/>
          <w:sz w:val="28"/>
          <w:szCs w:val="28"/>
        </w:rPr>
        <w:t>Section 3 — Current process</w:t>
      </w:r>
    </w:p>
    <w:p w14:paraId="40033A76">
      <w:pPr>
        <w:spacing w:after="0" w:line="360" w:lineRule="auto"/>
        <w:jc w:val="both"/>
      </w:pPr>
      <w:r>
        <w:rPr>
          <w:rFonts w:ascii="Times New Roman" w:hAnsi="Times New Roman" w:eastAsia="Times New Roman" w:cs="Times New Roman"/>
          <w:b/>
          <w:bCs/>
          <w:sz w:val="24"/>
          <w:szCs w:val="24"/>
        </w:rPr>
        <w:t>Q5.</w:t>
      </w:r>
      <w:r>
        <w:rPr>
          <w:rFonts w:ascii="Times New Roman" w:hAnsi="Times New Roman" w:eastAsia="Times New Roman" w:cs="Times New Roman"/>
          <w:sz w:val="24"/>
          <w:szCs w:val="24"/>
        </w:rPr>
        <w:t xml:space="preserve"> Based on your scenario, I think the customer has to get through roughly eight steps:</w:t>
      </w:r>
    </w:p>
    <w:p w14:paraId="4066C3DA">
      <w:pPr>
        <w:pStyle w:val="16"/>
        <w:numPr>
          <w:ilvl w:val="0"/>
          <w:numId w:val="1"/>
        </w:numPr>
        <w:spacing w:after="0" w:line="360" w:lineRule="auto"/>
      </w:pPr>
      <w:r>
        <w:rPr>
          <w:rFonts w:ascii="Times New Roman" w:hAnsi="Times New Roman" w:eastAsia="Times New Roman" w:cs="Times New Roman"/>
          <w:sz w:val="24"/>
          <w:szCs w:val="24"/>
        </w:rPr>
        <w:t>Notice the summary at all, when it's competing with other billing emails they've learned to ignore.</w:t>
      </w:r>
    </w:p>
    <w:p w14:paraId="0E367E42">
      <w:pPr>
        <w:pStyle w:val="16"/>
        <w:numPr>
          <w:ilvl w:val="0"/>
          <w:numId w:val="1"/>
        </w:numPr>
        <w:spacing w:after="0" w:line="360" w:lineRule="auto"/>
      </w:pPr>
      <w:r>
        <w:rPr>
          <w:rFonts w:ascii="Times New Roman" w:hAnsi="Times New Roman" w:eastAsia="Times New Roman" w:cs="Times New Roman"/>
          <w:sz w:val="24"/>
          <w:szCs w:val="24"/>
        </w:rPr>
        <w:t>Open it and work out what it's actually telling them.</w:t>
      </w:r>
    </w:p>
    <w:p w14:paraId="7D6C9C9F">
      <w:pPr>
        <w:pStyle w:val="16"/>
        <w:numPr>
          <w:ilvl w:val="0"/>
          <w:numId w:val="1"/>
        </w:numPr>
        <w:spacing w:after="0" w:line="360" w:lineRule="auto"/>
      </w:pPr>
      <w:r>
        <w:rPr>
          <w:rFonts w:ascii="Times New Roman" w:hAnsi="Times New Roman" w:eastAsia="Times New Roman" w:cs="Times New Roman"/>
          <w:sz w:val="24"/>
          <w:szCs w:val="24"/>
        </w:rPr>
        <w:t>Realise the information they need to decide isn't there.</w:t>
      </w:r>
    </w:p>
    <w:p w14:paraId="593D0F18">
      <w:pPr>
        <w:pStyle w:val="16"/>
        <w:numPr>
          <w:ilvl w:val="0"/>
          <w:numId w:val="1"/>
        </w:numPr>
        <w:spacing w:after="0" w:line="360" w:lineRule="auto"/>
      </w:pPr>
      <w:r>
        <w:rPr>
          <w:rFonts w:ascii="Times New Roman" w:hAnsi="Times New Roman" w:eastAsia="Times New Roman" w:cs="Times New Roman"/>
          <w:sz w:val="24"/>
          <w:szCs w:val="24"/>
        </w:rPr>
        <w:t>Follow the link, and log in if it sits behind a login.</w:t>
      </w:r>
    </w:p>
    <w:p w14:paraId="3BCE7842">
      <w:pPr>
        <w:pStyle w:val="16"/>
        <w:numPr>
          <w:ilvl w:val="0"/>
          <w:numId w:val="1"/>
        </w:numPr>
        <w:spacing w:after="0" w:line="360" w:lineRule="auto"/>
      </w:pPr>
      <w:r>
        <w:rPr>
          <w:rFonts w:ascii="Times New Roman" w:hAnsi="Times New Roman" w:eastAsia="Times New Roman" w:cs="Times New Roman"/>
          <w:sz w:val="24"/>
          <w:szCs w:val="24"/>
        </w:rPr>
        <w:t>Find their own usage history — data, minutes, roaming — over enough months to be representative.</w:t>
      </w:r>
    </w:p>
    <w:p w14:paraId="5AAC4CCF">
      <w:pPr>
        <w:pStyle w:val="16"/>
        <w:numPr>
          <w:ilvl w:val="0"/>
          <w:numId w:val="1"/>
        </w:numPr>
        <w:spacing w:after="0" w:line="360" w:lineRule="auto"/>
      </w:pPr>
      <w:r>
        <w:rPr>
          <w:rFonts w:ascii="Times New Roman" w:hAnsi="Times New Roman" w:eastAsia="Times New Roman" w:cs="Times New Roman"/>
          <w:sz w:val="24"/>
          <w:szCs w:val="24"/>
        </w:rPr>
        <w:t>Turn that history into a personal requirement, i.e. "I need about this much data in a normal month".</w:t>
      </w:r>
    </w:p>
    <w:p w14:paraId="52C08BBD">
      <w:pPr>
        <w:pStyle w:val="16"/>
        <w:numPr>
          <w:ilvl w:val="0"/>
          <w:numId w:val="1"/>
        </w:numPr>
        <w:spacing w:after="0" w:line="360" w:lineRule="auto"/>
      </w:pPr>
      <w:r>
        <w:rPr>
          <w:rFonts w:ascii="Times New Roman" w:hAnsi="Times New Roman" w:eastAsia="Times New Roman" w:cs="Times New Roman"/>
          <w:sz w:val="24"/>
          <w:szCs w:val="24"/>
        </w:rPr>
        <w:t>Read the plan list and translate the marketing tiers into the same units.</w:t>
      </w:r>
    </w:p>
    <w:p w14:paraId="319045C3">
      <w:pPr>
        <w:pStyle w:val="16"/>
        <w:numPr>
          <w:ilvl w:val="0"/>
          <w:numId w:val="1"/>
        </w:numPr>
        <w:spacing w:after="0" w:line="360" w:lineRule="auto"/>
      </w:pPr>
      <w:r>
        <w:rPr>
          <w:rFonts w:ascii="Times New Roman" w:hAnsi="Times New Roman" w:eastAsia="Times New Roman" w:cs="Times New Roman"/>
          <w:sz w:val="24"/>
          <w:szCs w:val="24"/>
        </w:rPr>
        <w:t>Compare the two, decide whether the gap is big enough to matter, and act.</w:t>
      </w:r>
    </w:p>
    <w:p w14:paraId="71D20BEC">
      <w:pPr>
        <w:spacing w:after="0" w:line="360" w:lineRule="auto"/>
        <w:jc w:val="both"/>
      </w:pPr>
      <w:r>
        <w:rPr>
          <w:rFonts w:ascii="Times New Roman" w:hAnsi="Times New Roman" w:eastAsia="Times New Roman" w:cs="Times New Roman"/>
          <w:sz w:val="24"/>
          <w:szCs w:val="24"/>
        </w:rPr>
        <w:t>Only steps 1, 2, 4 and 8 are things the process actually asks the customer to do. Steps 5, 6 and 7 are analysis that gets quietly handed to the customer, and step 3 is where I think most people give up.</w:t>
      </w:r>
    </w:p>
    <w:p w14:paraId="20B5F5BC">
      <w:pPr>
        <w:spacing w:after="0" w:line="360" w:lineRule="auto"/>
        <w:jc w:val="both"/>
      </w:pPr>
      <w:r>
        <w:rPr>
          <w:rFonts w:ascii="Times New Roman" w:hAnsi="Times New Roman" w:eastAsia="Times New Roman" w:cs="Times New Roman"/>
          <w:b/>
          <w:bCs/>
          <w:sz w:val="24"/>
          <w:szCs w:val="24"/>
        </w:rPr>
        <w:t>Q6.</w:t>
      </w:r>
      <w:r>
        <w:rPr>
          <w:rFonts w:ascii="Times New Roman" w:hAnsi="Times New Roman" w:eastAsia="Times New Roman" w:cs="Times New Roman"/>
          <w:sz w:val="24"/>
          <w:szCs w:val="24"/>
        </w:rPr>
        <w:t xml:space="preserve"> Step 6 is the hardest by a long way. The other steps take effort but they're mechanical. Step 6 asks the customer to decide what counts as a typical month, what to do about unusual months, and how much spare allowance to pay for just in case. That's a judgement call under uncertainty, not a lookup, and most people have no confident basis for making it.</w:t>
      </w:r>
    </w:p>
    <w:p w14:paraId="1A4445B6">
      <w:pPr>
        <w:spacing w:after="0" w:line="360" w:lineRule="auto"/>
        <w:jc w:val="both"/>
      </w:pPr>
      <w:r>
        <w:rPr>
          <w:rFonts w:ascii="Times New Roman" w:hAnsi="Times New Roman" w:eastAsia="Times New Roman" w:cs="Times New Roman"/>
          <w:sz w:val="24"/>
          <w:szCs w:val="24"/>
        </w:rPr>
        <w:t>Step 7 is a close second but for a different reason. Plans aren't designed to be compared on one axis — data, speed caps, hotspot rules, rollover, bundled streaming and family sharing aren't really comparable. So even a customer who knows their usage exactly still can't rank the options without deciding what they value.</w:t>
      </w:r>
    </w:p>
    <w:p w14:paraId="742ABEB6">
      <w:pPr>
        <w:spacing w:after="0" w:line="360" w:lineRule="auto"/>
        <w:jc w:val="both"/>
      </w:pPr>
      <w:r>
        <w:rPr>
          <w:rFonts w:ascii="Times New Roman" w:hAnsi="Times New Roman" w:eastAsia="Times New Roman" w:cs="Times New Roman"/>
          <w:sz w:val="24"/>
          <w:szCs w:val="24"/>
        </w:rPr>
        <w:t>The thing I'd point out is that both of the hardest steps are the ones Spark is best placed to do and the customer is worst placed to do. That asymmetry seems like the core of it.</w:t>
      </w:r>
    </w:p>
    <w:p w14:paraId="2D5ECAE3">
      <w:pPr>
        <w:pStyle w:val="3"/>
        <w:spacing w:before="240" w:after="140" w:line="360" w:lineRule="auto"/>
        <w:outlineLvl w:val="1"/>
      </w:pPr>
      <w:r>
        <w:rPr>
          <w:rFonts w:ascii="Times New Roman" w:hAnsi="Times New Roman" w:eastAsia="Times New Roman" w:cs="Times New Roman"/>
          <w:b/>
          <w:bCs/>
          <w:i/>
          <w:iCs/>
          <w:color w:val="000000"/>
          <w:sz w:val="28"/>
          <w:szCs w:val="28"/>
        </w:rPr>
        <w:t>Section 4 — Information requirements</w:t>
      </w:r>
    </w:p>
    <w:p w14:paraId="69A460AB">
      <w:pPr>
        <w:spacing w:after="0" w:line="360" w:lineRule="auto"/>
        <w:jc w:val="both"/>
      </w:pPr>
      <w:r>
        <w:rPr>
          <w:rFonts w:ascii="Times New Roman" w:hAnsi="Times New Roman" w:eastAsia="Times New Roman" w:cs="Times New Roman"/>
          <w:b/>
          <w:bCs/>
          <w:sz w:val="24"/>
          <w:szCs w:val="24"/>
        </w:rPr>
        <w:t>Q7.</w:t>
      </w:r>
      <w:r>
        <w:rPr>
          <w:rFonts w:ascii="Times New Roman" w:hAnsi="Times New Roman" w:eastAsia="Times New Roman" w:cs="Times New Roman"/>
          <w:sz w:val="24"/>
          <w:szCs w:val="24"/>
        </w:rPr>
        <w:t xml:space="preserve"> I'd want six things:</w:t>
      </w:r>
    </w:p>
    <w:p w14:paraId="4CA60D75">
      <w:pPr>
        <w:pStyle w:val="16"/>
        <w:numPr>
          <w:ilvl w:val="0"/>
          <w:numId w:val="1"/>
        </w:numPr>
        <w:spacing w:after="0" w:line="360" w:lineRule="auto"/>
      </w:pPr>
      <w:r>
        <w:rPr>
          <w:rFonts w:ascii="Times New Roman" w:hAnsi="Times New Roman" w:eastAsia="Times New Roman" w:cs="Times New Roman"/>
          <w:sz w:val="24"/>
          <w:szCs w:val="24"/>
        </w:rPr>
        <w:t>12 months of usage by month, for data, calls, texts and roaming, so I can see both the normal level and how much it varies.</w:t>
      </w:r>
    </w:p>
    <w:p w14:paraId="3F74A147">
      <w:pPr>
        <w:pStyle w:val="16"/>
        <w:numPr>
          <w:ilvl w:val="0"/>
          <w:numId w:val="1"/>
        </w:numPr>
        <w:spacing w:after="0" w:line="360" w:lineRule="auto"/>
      </w:pPr>
      <w:r>
        <w:rPr>
          <w:rFonts w:ascii="Times New Roman" w:hAnsi="Times New Roman" w:eastAsia="Times New Roman" w:cs="Times New Roman"/>
          <w:sz w:val="24"/>
          <w:szCs w:val="24"/>
        </w:rPr>
        <w:t>What I actually paid, split into plan charge, overage or add-ons, and one-offs, so I know whether my cost problem is the plan or the exceptions.</w:t>
      </w:r>
    </w:p>
    <w:p w14:paraId="2A20A5B8">
      <w:pPr>
        <w:pStyle w:val="16"/>
        <w:numPr>
          <w:ilvl w:val="0"/>
          <w:numId w:val="1"/>
        </w:numPr>
        <w:spacing w:after="0" w:line="360" w:lineRule="auto"/>
      </w:pPr>
      <w:r>
        <w:rPr>
          <w:rFonts w:ascii="Times New Roman" w:hAnsi="Times New Roman" w:eastAsia="Times New Roman" w:cs="Times New Roman"/>
          <w:sz w:val="24"/>
          <w:szCs w:val="24"/>
        </w:rPr>
        <w:t>How many months I went over my allowance and how many months I used less than half of it. Those two numbers alone tell me whether I'm on the wrong plan in either direction.</w:t>
      </w:r>
    </w:p>
    <w:p w14:paraId="2F570812">
      <w:pPr>
        <w:pStyle w:val="16"/>
        <w:numPr>
          <w:ilvl w:val="0"/>
          <w:numId w:val="1"/>
        </w:numPr>
        <w:spacing w:after="0" w:line="360" w:lineRule="auto"/>
      </w:pPr>
      <w:r>
        <w:rPr>
          <w:rFonts w:ascii="Times New Roman" w:hAnsi="Times New Roman" w:eastAsia="Times New Roman" w:cs="Times New Roman"/>
          <w:sz w:val="24"/>
          <w:szCs w:val="24"/>
        </w:rPr>
        <w:t>My current plan's terms written in the same units as my usage, not in marketing language.</w:t>
      </w:r>
    </w:p>
    <w:p w14:paraId="14035CEC">
      <w:pPr>
        <w:pStyle w:val="16"/>
        <w:numPr>
          <w:ilvl w:val="0"/>
          <w:numId w:val="1"/>
        </w:numPr>
        <w:spacing w:after="0" w:line="360" w:lineRule="auto"/>
      </w:pPr>
      <w:r>
        <w:rPr>
          <w:rFonts w:ascii="Times New Roman" w:hAnsi="Times New Roman" w:eastAsia="Times New Roman" w:cs="Times New Roman"/>
          <w:sz w:val="24"/>
          <w:szCs w:val="24"/>
        </w:rPr>
        <w:t>The comparable alternatives in those same units, with the annual cost difference rather than the monthly headline price.</w:t>
      </w:r>
    </w:p>
    <w:p w14:paraId="5263B3F3">
      <w:pPr>
        <w:pStyle w:val="16"/>
        <w:numPr>
          <w:ilvl w:val="0"/>
          <w:numId w:val="1"/>
        </w:numPr>
        <w:spacing w:after="0" w:line="360" w:lineRule="auto"/>
      </w:pPr>
      <w:r>
        <w:rPr>
          <w:rFonts w:ascii="Times New Roman" w:hAnsi="Times New Roman" w:eastAsia="Times New Roman" w:cs="Times New Roman"/>
          <w:sz w:val="24"/>
          <w:szCs w:val="24"/>
        </w:rPr>
        <w:t>Anything that makes switching harder — contract end date, device repayment balance, whether a promo rate is about to expire.</w:t>
      </w:r>
    </w:p>
    <w:p w14:paraId="249EFDD9">
      <w:pPr>
        <w:spacing w:after="0" w:line="360" w:lineRule="auto"/>
        <w:jc w:val="both"/>
      </w:pPr>
      <w:r>
        <w:rPr>
          <w:rFonts w:ascii="Times New Roman" w:hAnsi="Times New Roman" w:eastAsia="Times New Roman" w:cs="Times New Roman"/>
          <w:sz w:val="24"/>
          <w:szCs w:val="24"/>
        </w:rPr>
        <w:t>The last one matters more than people expect. A recommendation to switch that ignores an outstanding device balance isn't really a recommendation.</w:t>
      </w:r>
    </w:p>
    <w:p w14:paraId="083E39C2">
      <w:pPr>
        <w:spacing w:after="0" w:line="360" w:lineRule="auto"/>
        <w:jc w:val="both"/>
      </w:pPr>
      <w:r>
        <w:rPr>
          <w:rFonts w:ascii="Times New Roman" w:hAnsi="Times New Roman" w:eastAsia="Times New Roman" w:cs="Times New Roman"/>
          <w:b/>
          <w:bCs/>
          <w:sz w:val="24"/>
          <w:szCs w:val="24"/>
        </w:rPr>
        <w:t>Q8.</w:t>
      </w:r>
      <w:r>
        <w:rPr>
          <w:rFonts w:ascii="Times New Roman" w:hAnsi="Times New Roman" w:eastAsia="Times New Roman" w:cs="Times New Roman"/>
          <w:sz w:val="24"/>
          <w:szCs w:val="24"/>
        </w:rPr>
        <w:t xml:space="preserve"> In the summary itself I'd put the 12-month usage picture, the cost split, the over/under counts, and a plain sentence saying what those numbers mean. Those are facts about me that Spark already holds, so I can't see a good reason to make me go and fetch them.</w:t>
      </w:r>
    </w:p>
    <w:p w14:paraId="0F007AEA">
      <w:pPr>
        <w:spacing w:after="0" w:line="360" w:lineRule="auto"/>
        <w:jc w:val="both"/>
      </w:pPr>
      <w:r>
        <w:rPr>
          <w:rFonts w:ascii="Times New Roman" w:hAnsi="Times New Roman" w:eastAsia="Times New Roman" w:cs="Times New Roman"/>
          <w:sz w:val="24"/>
          <w:szCs w:val="24"/>
        </w:rPr>
        <w:t>Behind the link I'd leave the full plan catalogue, the terms and conditions, the month-by-month itemisation and the switching mechanics. That's reference material — long, generic, and only needed once the customer has decided to keep going.</w:t>
      </w:r>
    </w:p>
    <w:p w14:paraId="32354378">
      <w:pPr>
        <w:spacing w:after="0" w:line="360" w:lineRule="auto"/>
        <w:jc w:val="both"/>
      </w:pPr>
      <w:r>
        <w:rPr>
          <w:rFonts w:ascii="Times New Roman" w:hAnsi="Times New Roman" w:eastAsia="Times New Roman" w:cs="Times New Roman"/>
          <w:sz w:val="24"/>
          <w:szCs w:val="24"/>
        </w:rPr>
        <w:t>The rule I'd use is that the summary should answer "does this need my attention?" and the link should answer "what do I actually do about it?". At the moment the summary answers neither, which is probably why the link ends up feeling like the whole task.</w:t>
      </w:r>
    </w:p>
    <w:p w14:paraId="7711BD73">
      <w:pPr>
        <w:pStyle w:val="3"/>
        <w:spacing w:before="240" w:after="140" w:line="360" w:lineRule="auto"/>
        <w:outlineLvl w:val="1"/>
      </w:pPr>
      <w:r>
        <w:rPr>
          <w:rFonts w:ascii="Times New Roman" w:hAnsi="Times New Roman" w:eastAsia="Times New Roman" w:cs="Times New Roman"/>
          <w:b/>
          <w:bCs/>
          <w:i/>
          <w:iCs/>
          <w:color w:val="000000"/>
          <w:sz w:val="28"/>
          <w:szCs w:val="28"/>
        </w:rPr>
        <w:t>Section 5 — Effort and navigation</w:t>
      </w:r>
    </w:p>
    <w:p w14:paraId="28FBA69C">
      <w:pPr>
        <w:spacing w:after="0" w:line="360" w:lineRule="auto"/>
        <w:jc w:val="both"/>
      </w:pPr>
      <w:r>
        <w:rPr>
          <w:rFonts w:ascii="Times New Roman" w:hAnsi="Times New Roman" w:eastAsia="Times New Roman" w:cs="Times New Roman"/>
          <w:b/>
          <w:bCs/>
          <w:sz w:val="24"/>
          <w:szCs w:val="24"/>
        </w:rPr>
        <w:t>Q9.</w:t>
      </w:r>
      <w:r>
        <w:rPr>
          <w:rFonts w:ascii="Times New Roman" w:hAnsi="Times New Roman" w:eastAsia="Times New Roman" w:cs="Times New Roman"/>
          <w:sz w:val="24"/>
          <w:szCs w:val="24"/>
        </w:rPr>
        <w:t xml:space="preserve"> The click itself doesn't cost much. What the link costs is momentum. When the summary arrives the customer has a few seconds of attention and no particular intention. If the summary gives them a conclusion — "you went over your allowance in seven of the last twelve months" — then clicking is purposeful and I think most people would do it. If the summary gives them a link and no conclusion, clicking is a gamble: unknown effort for unknown benefit. That's the kind of trade people usually decline.</w:t>
      </w:r>
    </w:p>
    <w:p w14:paraId="06F28078">
      <w:pPr>
        <w:spacing w:after="0" w:line="360" w:lineRule="auto"/>
        <w:jc w:val="both"/>
      </w:pPr>
      <w:r>
        <w:rPr>
          <w:rFonts w:ascii="Times New Roman" w:hAnsi="Times New Roman" w:eastAsia="Times New Roman" w:cs="Times New Roman"/>
          <w:sz w:val="24"/>
          <w:szCs w:val="24"/>
        </w:rPr>
        <w:t>So I wouldn't describe it as a navigation cost so much as the task never starting. If you can measure it, I'd expect the drop-off between "opened the summary" and "clicked the link" to be much bigger than the drop-off between "clicked the link" and "finished the review".</w:t>
      </w:r>
    </w:p>
    <w:p w14:paraId="68CF037B">
      <w:pPr>
        <w:spacing w:after="0" w:line="360" w:lineRule="auto"/>
        <w:jc w:val="both"/>
      </w:pPr>
      <w:r>
        <w:rPr>
          <w:rFonts w:ascii="Times New Roman" w:hAnsi="Times New Roman" w:eastAsia="Times New Roman" w:cs="Times New Roman"/>
          <w:b/>
          <w:bCs/>
          <w:sz w:val="24"/>
          <w:szCs w:val="24"/>
        </w:rPr>
        <w:t>Q10.</w:t>
      </w:r>
      <w:r>
        <w:rPr>
          <w:rFonts w:ascii="Times New Roman" w:hAnsi="Times New Roman" w:eastAsia="Times New Roman" w:cs="Times New Roman"/>
          <w:sz w:val="24"/>
          <w:szCs w:val="24"/>
        </w:rPr>
        <w:t xml:space="preserve"> Four things I think would matter more than the extra click:</w:t>
      </w:r>
    </w:p>
    <w:p w14:paraId="597ADC44">
      <w:pPr>
        <w:pStyle w:val="16"/>
        <w:numPr>
          <w:ilvl w:val="0"/>
          <w:numId w:val="1"/>
        </w:numPr>
        <w:spacing w:after="0" w:line="360" w:lineRule="auto"/>
      </w:pPr>
      <w:r>
        <w:rPr>
          <w:rFonts w:ascii="Times New Roman" w:hAnsi="Times New Roman" w:eastAsia="Times New Roman" w:cs="Times New Roman"/>
          <w:sz w:val="24"/>
          <w:szCs w:val="24"/>
        </w:rPr>
        <w:t>Plans not being comparable on one axis, as in question 6. I'd put this first.</w:t>
      </w:r>
    </w:p>
    <w:p w14:paraId="5CE3CB9D">
      <w:pPr>
        <w:pStyle w:val="16"/>
        <w:numPr>
          <w:ilvl w:val="0"/>
          <w:numId w:val="1"/>
        </w:numPr>
        <w:spacing w:after="0" w:line="360" w:lineRule="auto"/>
      </w:pPr>
      <w:r>
        <w:rPr>
          <w:rFonts w:ascii="Times New Roman" w:hAnsi="Times New Roman" w:eastAsia="Times New Roman" w:cs="Times New Roman"/>
          <w:sz w:val="24"/>
          <w:szCs w:val="24"/>
        </w:rPr>
        <w:t>Not wanting to give up the current plan, especially older grandfathered plans. People worry that changing is one-way, and quite often they're right, so the hesitation is rational.</w:t>
      </w:r>
    </w:p>
    <w:p w14:paraId="369E0326">
      <w:pPr>
        <w:pStyle w:val="16"/>
        <w:numPr>
          <w:ilvl w:val="0"/>
          <w:numId w:val="1"/>
        </w:numPr>
        <w:spacing w:after="0" w:line="360" w:lineRule="auto"/>
      </w:pPr>
      <w:r>
        <w:rPr>
          <w:rFonts w:ascii="Times New Roman" w:hAnsi="Times New Roman" w:eastAsia="Times New Roman" w:cs="Times New Roman"/>
          <w:sz w:val="24"/>
          <w:szCs w:val="24"/>
        </w:rPr>
        <w:t>Not trusting the motive. If the customer assumes the review exists to upsell them, they'll discount it no matter how well it's designed.</w:t>
      </w:r>
    </w:p>
    <w:p w14:paraId="4488B0A2">
      <w:pPr>
        <w:pStyle w:val="16"/>
        <w:numPr>
          <w:ilvl w:val="0"/>
          <w:numId w:val="1"/>
        </w:numPr>
        <w:spacing w:after="0" w:line="360" w:lineRule="auto"/>
      </w:pPr>
      <w:r>
        <w:rPr>
          <w:rFonts w:ascii="Times New Roman" w:hAnsi="Times New Roman" w:eastAsia="Times New Roman" w:cs="Times New Roman"/>
          <w:sz w:val="24"/>
          <w:szCs w:val="24"/>
        </w:rPr>
        <w:t>Not knowing the side effects — device repayment, contract terms, whether other lines in the household are affected. Uncertainty about consequences stops more reviews than complexity in the main decision does.</w:t>
      </w:r>
    </w:p>
    <w:p w14:paraId="0E43B208">
      <w:pPr>
        <w:spacing w:after="0" w:line="360" w:lineRule="auto"/>
        <w:jc w:val="both"/>
      </w:pPr>
      <w:r>
        <w:rPr>
          <w:rFonts w:ascii="Times New Roman" w:hAnsi="Times New Roman" w:eastAsia="Times New Roman" w:cs="Times New Roman"/>
          <w:sz w:val="24"/>
          <w:szCs w:val="24"/>
        </w:rPr>
        <w:t>If the redesign only removes the link and doesn't touch these four, I'd expect a real but fairly small improvement.</w:t>
      </w:r>
    </w:p>
    <w:p w14:paraId="3B0BFF23">
      <w:pPr>
        <w:pStyle w:val="3"/>
        <w:spacing w:before="240" w:after="140" w:line="360" w:lineRule="auto"/>
        <w:outlineLvl w:val="1"/>
      </w:pPr>
      <w:r>
        <w:rPr>
          <w:rFonts w:ascii="Times New Roman" w:hAnsi="Times New Roman" w:eastAsia="Times New Roman" w:cs="Times New Roman"/>
          <w:b/>
          <w:bCs/>
          <w:i/>
          <w:iCs/>
          <w:color w:val="000000"/>
          <w:sz w:val="28"/>
          <w:szCs w:val="28"/>
        </w:rPr>
        <w:t>Section 6 — Personalised guidance and trust</w:t>
      </w:r>
    </w:p>
    <w:p w14:paraId="00AD36CA">
      <w:pPr>
        <w:spacing w:after="0" w:line="360" w:lineRule="auto"/>
        <w:jc w:val="both"/>
      </w:pPr>
      <w:r>
        <w:rPr>
          <w:rFonts w:ascii="Times New Roman" w:hAnsi="Times New Roman" w:eastAsia="Times New Roman" w:cs="Times New Roman"/>
          <w:b/>
          <w:bCs/>
          <w:sz w:val="24"/>
          <w:szCs w:val="24"/>
        </w:rPr>
        <w:t>Q11.</w:t>
      </w:r>
      <w:r>
        <w:rPr>
          <w:rFonts w:ascii="Times New Roman" w:hAnsi="Times New Roman" w:eastAsia="Times New Roman" w:cs="Times New Roman"/>
          <w:sz w:val="24"/>
          <w:szCs w:val="24"/>
        </w:rPr>
        <w:t xml:space="preserve"> A recommendation changes the customer's job from analysis to checking, and those are very different. Analysis means building a judgement from raw material, which is slow and easy to abandon. Checking means testing a proposed answer against what you already know, which is quick and which most people will actually do. Even a recommendation the customer ends up rejecting is useful, because it gives them something to react to.</w:t>
      </w:r>
    </w:p>
    <w:p w14:paraId="44307BF8">
      <w:pPr>
        <w:spacing w:after="0" w:line="360" w:lineRule="auto"/>
        <w:jc w:val="both"/>
      </w:pPr>
      <w:r>
        <w:rPr>
          <w:rFonts w:ascii="Times New Roman" w:hAnsi="Times New Roman" w:eastAsia="Times New Roman" w:cs="Times New Roman"/>
          <w:sz w:val="24"/>
          <w:szCs w:val="24"/>
        </w:rPr>
        <w:t>The design implication is that the recommendation has to be disagreeable — the customer needs to see enough of the reasoning to argue with it. If they can't, it isn't checking, it's just an instruction, and instructions from a commercial party tend to get ignored.</w:t>
      </w:r>
    </w:p>
    <w:p w14:paraId="5B2D7404">
      <w:pPr>
        <w:spacing w:after="0" w:line="360" w:lineRule="auto"/>
        <w:jc w:val="both"/>
      </w:pPr>
      <w:r>
        <w:rPr>
          <w:rFonts w:ascii="Times New Roman" w:hAnsi="Times New Roman" w:eastAsia="Times New Roman" w:cs="Times New Roman"/>
          <w:b/>
          <w:bCs/>
          <w:sz w:val="24"/>
          <w:szCs w:val="24"/>
        </w:rPr>
        <w:t>Q12.</w:t>
      </w:r>
      <w:r>
        <w:rPr>
          <w:rFonts w:ascii="Times New Roman" w:hAnsi="Times New Roman" w:eastAsia="Times New Roman" w:cs="Times New Roman"/>
          <w:sz w:val="24"/>
          <w:szCs w:val="24"/>
        </w:rPr>
        <w:t xml:space="preserve"> Four things:</w:t>
      </w:r>
    </w:p>
    <w:p w14:paraId="596143AA">
      <w:pPr>
        <w:pStyle w:val="16"/>
        <w:numPr>
          <w:ilvl w:val="0"/>
          <w:numId w:val="1"/>
        </w:numPr>
        <w:spacing w:after="0" w:line="360" w:lineRule="auto"/>
      </w:pPr>
      <w:r>
        <w:rPr>
          <w:rFonts w:ascii="Times New Roman" w:hAnsi="Times New Roman" w:eastAsia="Times New Roman" w:cs="Times New Roman"/>
          <w:sz w:val="24"/>
          <w:szCs w:val="24"/>
        </w:rPr>
        <w:t>Show the working. "Recommended because you went over your allowance in 7 of 12 months, by an average of 3.2 GB" is trustworthy in a way that "we recommend Plan X" isn't.</w:t>
      </w:r>
    </w:p>
    <w:p w14:paraId="57A264DB">
      <w:pPr>
        <w:pStyle w:val="16"/>
        <w:numPr>
          <w:ilvl w:val="0"/>
          <w:numId w:val="1"/>
        </w:numPr>
        <w:spacing w:after="0" w:line="360" w:lineRule="auto"/>
      </w:pPr>
      <w:r>
        <w:rPr>
          <w:rFonts w:ascii="Times New Roman" w:hAnsi="Times New Roman" w:eastAsia="Times New Roman" w:cs="Times New Roman"/>
          <w:sz w:val="24"/>
          <w:szCs w:val="24"/>
        </w:rPr>
        <w:t>Be willing to recommend something that costs Spark revenue. A system that sometimes says "stay where you are" or "you're paying for more than you use" earns credibility that no amount of design can buy. If every recommendation is an upgrade, customers will notice within one cycle.</w:t>
      </w:r>
    </w:p>
    <w:p w14:paraId="61A024AE">
      <w:pPr>
        <w:pStyle w:val="16"/>
        <w:numPr>
          <w:ilvl w:val="0"/>
          <w:numId w:val="1"/>
        </w:numPr>
        <w:spacing w:after="0" w:line="360" w:lineRule="auto"/>
      </w:pPr>
      <w:r>
        <w:rPr>
          <w:rFonts w:ascii="Times New Roman" w:hAnsi="Times New Roman" w:eastAsia="Times New Roman" w:cs="Times New Roman"/>
          <w:sz w:val="24"/>
          <w:szCs w:val="24"/>
        </w:rPr>
        <w:t>State the assumptions and the period it's based on.</w:t>
      </w:r>
    </w:p>
    <w:p w14:paraId="78C90FB0">
      <w:pPr>
        <w:pStyle w:val="16"/>
        <w:numPr>
          <w:ilvl w:val="0"/>
          <w:numId w:val="1"/>
        </w:numPr>
        <w:spacing w:after="0" w:line="360" w:lineRule="auto"/>
      </w:pPr>
      <w:r>
        <w:rPr>
          <w:rFonts w:ascii="Times New Roman" w:hAnsi="Times New Roman" w:eastAsia="Times New Roman" w:cs="Times New Roman"/>
          <w:sz w:val="24"/>
          <w:szCs w:val="24"/>
        </w:rPr>
        <w:t>Show the underlying data and make it clear the customer can ignore it, defer it, or reverse it.</w:t>
      </w:r>
    </w:p>
    <w:p w14:paraId="7DFCDE33">
      <w:pPr>
        <w:spacing w:after="0" w:line="360" w:lineRule="auto"/>
        <w:jc w:val="both"/>
      </w:pPr>
      <w:r>
        <w:rPr>
          <w:rFonts w:ascii="Times New Roman" w:hAnsi="Times New Roman" w:eastAsia="Times New Roman" w:cs="Times New Roman"/>
          <w:b/>
          <w:bCs/>
          <w:sz w:val="24"/>
          <w:szCs w:val="24"/>
        </w:rPr>
        <w:t>Q13.</w:t>
      </w:r>
      <w:r>
        <w:rPr>
          <w:rFonts w:ascii="Times New Roman" w:hAnsi="Times New Roman" w:eastAsia="Times New Roman" w:cs="Times New Roman"/>
          <w:sz w:val="24"/>
          <w:szCs w:val="24"/>
        </w:rPr>
        <w:t xml:space="preserve"> It would look unfair or biased if:</w:t>
      </w:r>
    </w:p>
    <w:p w14:paraId="1A7CA7AC">
      <w:pPr>
        <w:pStyle w:val="16"/>
        <w:numPr>
          <w:ilvl w:val="0"/>
          <w:numId w:val="1"/>
        </w:numPr>
        <w:spacing w:after="0" w:line="360" w:lineRule="auto"/>
      </w:pPr>
      <w:r>
        <w:rPr>
          <w:rFonts w:ascii="Times New Roman" w:hAnsi="Times New Roman" w:eastAsia="Times New Roman" w:cs="Times New Roman"/>
          <w:sz w:val="24"/>
          <w:szCs w:val="24"/>
        </w:rPr>
        <w:t>Every recommendation is an upsell, or downgrades are technically possible but never actually appear.</w:t>
      </w:r>
    </w:p>
    <w:p w14:paraId="0571121C">
      <w:pPr>
        <w:pStyle w:val="16"/>
        <w:numPr>
          <w:ilvl w:val="0"/>
          <w:numId w:val="1"/>
        </w:numPr>
        <w:spacing w:after="0" w:line="360" w:lineRule="auto"/>
      </w:pPr>
      <w:r>
        <w:rPr>
          <w:rFonts w:ascii="Times New Roman" w:hAnsi="Times New Roman" w:eastAsia="Times New Roman" w:cs="Times New Roman"/>
          <w:sz w:val="24"/>
          <w:szCs w:val="24"/>
        </w:rPr>
        <w:t>The reasoning is hidden behind "our system suggests", which the customer can't check.</w:t>
      </w:r>
    </w:p>
    <w:p w14:paraId="0CD83EAE">
      <w:pPr>
        <w:pStyle w:val="16"/>
        <w:numPr>
          <w:ilvl w:val="0"/>
          <w:numId w:val="1"/>
        </w:numPr>
        <w:spacing w:after="0" w:line="360" w:lineRule="auto"/>
      </w:pPr>
      <w:r>
        <w:rPr>
          <w:rFonts w:ascii="Times New Roman" w:hAnsi="Times New Roman" w:eastAsia="Times New Roman" w:cs="Times New Roman"/>
          <w:sz w:val="24"/>
          <w:szCs w:val="24"/>
        </w:rPr>
        <w:t>It uses data the customer didn't expect Spark to be analysing — location, app-level detail, guesses about who else lives with them. Usage volume feels fair because customers know it's used to bill them; behavioural inference doesn't.</w:t>
      </w:r>
    </w:p>
    <w:p w14:paraId="62639F62">
      <w:pPr>
        <w:pStyle w:val="16"/>
        <w:numPr>
          <w:ilvl w:val="0"/>
          <w:numId w:val="1"/>
        </w:numPr>
        <w:spacing w:after="0" w:line="360" w:lineRule="auto"/>
      </w:pPr>
      <w:r>
        <w:rPr>
          <w:rFonts w:ascii="Times New Roman" w:hAnsi="Times New Roman" w:eastAsia="Times New Roman" w:cs="Times New Roman"/>
          <w:sz w:val="24"/>
          <w:szCs w:val="24"/>
        </w:rPr>
        <w:t>It's framed as urgent or limited-time, which turns a service into a sales pitch.</w:t>
      </w:r>
    </w:p>
    <w:p w14:paraId="04DABF95">
      <w:pPr>
        <w:pStyle w:val="16"/>
        <w:numPr>
          <w:ilvl w:val="0"/>
          <w:numId w:val="1"/>
        </w:numPr>
        <w:spacing w:after="0" w:line="360" w:lineRule="auto"/>
      </w:pPr>
      <w:r>
        <w:rPr>
          <w:rFonts w:ascii="Times New Roman" w:hAnsi="Times New Roman" w:eastAsia="Times New Roman" w:cs="Times New Roman"/>
          <w:sz w:val="24"/>
          <w:szCs w:val="24"/>
        </w:rPr>
        <w:t>It's visibly wrong. One obviously incorrect recommendation would discredit all the later ones, and I think that's much harder to recover from than it is to get right the first time.</w:t>
      </w:r>
    </w:p>
    <w:p w14:paraId="193765F4">
      <w:pPr>
        <w:pStyle w:val="3"/>
        <w:spacing w:before="240" w:after="140" w:line="360" w:lineRule="auto"/>
        <w:outlineLvl w:val="1"/>
      </w:pPr>
      <w:r>
        <w:rPr>
          <w:rFonts w:ascii="Times New Roman" w:hAnsi="Times New Roman" w:eastAsia="Times New Roman" w:cs="Times New Roman"/>
          <w:b/>
          <w:bCs/>
          <w:i/>
          <w:iCs/>
          <w:color w:val="000000"/>
          <w:sz w:val="28"/>
          <w:szCs w:val="28"/>
        </w:rPr>
        <w:t>Section 7 — Organisational considerations</w:t>
      </w:r>
    </w:p>
    <w:p w14:paraId="2CDFD274">
      <w:pPr>
        <w:spacing w:after="0" w:line="360" w:lineRule="auto"/>
        <w:jc w:val="both"/>
      </w:pPr>
      <w:r>
        <w:rPr>
          <w:rFonts w:ascii="Times New Roman" w:hAnsi="Times New Roman" w:eastAsia="Times New Roman" w:cs="Times New Roman"/>
          <w:b/>
          <w:bCs/>
          <w:sz w:val="24"/>
          <w:szCs w:val="24"/>
        </w:rPr>
        <w:t>Q14.</w:t>
      </w:r>
      <w:r>
        <w:rPr>
          <w:rFonts w:ascii="Times New Roman" w:hAnsi="Times New Roman" w:eastAsia="Times New Roman" w:cs="Times New Roman"/>
          <w:sz w:val="24"/>
          <w:szCs w:val="24"/>
        </w:rPr>
        <w:t xml:space="preserve"> This is my domain so I'll be specific. I think four things would be needed, and only one of them is technology.</w:t>
      </w:r>
    </w:p>
    <w:p w14:paraId="67DD9DCA">
      <w:pPr>
        <w:spacing w:after="0" w:line="360" w:lineRule="auto"/>
        <w:jc w:val="both"/>
      </w:pPr>
      <w:r>
        <w:rPr>
          <w:rFonts w:ascii="Times New Roman" w:hAnsi="Times New Roman" w:eastAsia="Times New Roman" w:cs="Times New Roman"/>
          <w:sz w:val="24"/>
          <w:szCs w:val="24"/>
        </w:rPr>
        <w:t>First, a named process owner for the annual review, accountable for the recommendation being right and not just for the email going out. In most organisations this kind of output falls between marketing, who own the send, billing or data, who own the usage figures, and product, who own the plan list. When three teams own a piece each and nobody owns the result, the output ends up as whatever needs no cross-team agreement — which is a link.</w:t>
      </w:r>
    </w:p>
    <w:p w14:paraId="4293007D">
      <w:pPr>
        <w:spacing w:after="0" w:line="360" w:lineRule="auto"/>
        <w:jc w:val="both"/>
      </w:pPr>
      <w:r>
        <w:rPr>
          <w:rFonts w:ascii="Times New Roman" w:hAnsi="Times New Roman" w:eastAsia="Times New Roman" w:cs="Times New Roman"/>
          <w:sz w:val="24"/>
          <w:szCs w:val="24"/>
        </w:rPr>
        <w:t>Second, a data capability with defined quality standards: one authoritative source for usage, an agreed definition of a month, documented handling of mid-cycle plan changes, and a stated error tolerance. The recommendation is only as defensible as the weakest of those definitions.</w:t>
      </w:r>
    </w:p>
    <w:p w14:paraId="499F2181">
      <w:pPr>
        <w:spacing w:after="0" w:line="360" w:lineRule="auto"/>
        <w:jc w:val="both"/>
      </w:pPr>
      <w:r>
        <w:rPr>
          <w:rFonts w:ascii="Times New Roman" w:hAnsi="Times New Roman" w:eastAsia="Times New Roman" w:cs="Times New Roman"/>
          <w:sz w:val="24"/>
          <w:szCs w:val="24"/>
        </w:rPr>
        <w:t>Third, a rule set that is versioned and reviewable rather than a model that quietly drifts. Someone has to be able to answer "why did this customer get this recommendation in March" six months later.</w:t>
      </w:r>
    </w:p>
    <w:p w14:paraId="169283EF">
      <w:pPr>
        <w:spacing w:after="0" w:line="360" w:lineRule="auto"/>
        <w:jc w:val="both"/>
      </w:pPr>
      <w:r>
        <w:rPr>
          <w:rFonts w:ascii="Times New Roman" w:hAnsi="Times New Roman" w:eastAsia="Times New Roman" w:cs="Times New Roman"/>
          <w:sz w:val="24"/>
          <w:szCs w:val="24"/>
        </w:rPr>
        <w:t>Fourth — and I think this is the one most often missed — the frontline has to be able to absorb the consequences. Better summaries produce more informed customers asking sharper questions. If contact centre staff can't see the same recommendation and the same reasoning the customer is looking at, an improvement upstream creates a failure downstream.</w:t>
      </w:r>
    </w:p>
    <w:p w14:paraId="04D4C581">
      <w:pPr>
        <w:spacing w:after="0" w:line="360" w:lineRule="auto"/>
        <w:jc w:val="both"/>
      </w:pPr>
      <w:r>
        <w:rPr>
          <w:rFonts w:ascii="Times New Roman" w:hAnsi="Times New Roman" w:eastAsia="Times New Roman" w:cs="Times New Roman"/>
          <w:sz w:val="24"/>
          <w:szCs w:val="24"/>
        </w:rPr>
        <w:t>I'd add that Spark is doing this under constraints. Headcount has come down a lot over the last two years and the company split into two divisions in July 2026. That doesn't make this impossible, but any design that needs new roles probably won't survive the business case. The realistic version adds ownership and a rule set to work that is already happening.</w:t>
      </w:r>
    </w:p>
    <w:p w14:paraId="1C0794BB">
      <w:pPr>
        <w:spacing w:after="0" w:line="360" w:lineRule="auto"/>
        <w:jc w:val="both"/>
      </w:pPr>
      <w:r>
        <w:rPr>
          <w:rFonts w:ascii="Times New Roman" w:hAnsi="Times New Roman" w:eastAsia="Times New Roman" w:cs="Times New Roman"/>
          <w:b/>
          <w:bCs/>
          <w:sz w:val="24"/>
          <w:szCs w:val="24"/>
        </w:rPr>
        <w:t>Q15.</w:t>
      </w:r>
      <w:r>
        <w:rPr>
          <w:rFonts w:ascii="Times New Roman" w:hAnsi="Times New Roman" w:eastAsia="Times New Roman" w:cs="Times New Roman"/>
          <w:sz w:val="24"/>
          <w:szCs w:val="24"/>
        </w:rPr>
        <w:t xml:space="preserve"> The risks I'd flag, roughly in order of how likely they are:</w:t>
      </w:r>
    </w:p>
    <w:p w14:paraId="56F1F558">
      <w:pPr>
        <w:pStyle w:val="16"/>
        <w:numPr>
          <w:ilvl w:val="0"/>
          <w:numId w:val="1"/>
        </w:numPr>
        <w:spacing w:after="0" w:line="360" w:lineRule="auto"/>
      </w:pPr>
      <w:r>
        <w:rPr>
          <w:rFonts w:ascii="Times New Roman" w:hAnsi="Times New Roman" w:eastAsia="Times New Roman" w:cs="Times New Roman"/>
          <w:sz w:val="24"/>
          <w:szCs w:val="24"/>
        </w:rPr>
        <w:t>Unclear ownership. This is the default failure and I'd assume it's already present.</w:t>
      </w:r>
    </w:p>
    <w:p w14:paraId="71D6E23D">
      <w:pPr>
        <w:pStyle w:val="16"/>
        <w:numPr>
          <w:ilvl w:val="0"/>
          <w:numId w:val="1"/>
        </w:numPr>
        <w:spacing w:after="0" w:line="360" w:lineRule="auto"/>
      </w:pPr>
      <w:r>
        <w:rPr>
          <w:rFonts w:ascii="Times New Roman" w:hAnsi="Times New Roman" w:eastAsia="Times New Roman" w:cs="Times New Roman"/>
          <w:sz w:val="24"/>
          <w:szCs w:val="24"/>
        </w:rPr>
        <w:t>Data quality. Records accurate enough for billing may not be accurate enough for advice, because billing tolerates edge cases the customer never sees and advice doesn't.</w:t>
      </w:r>
    </w:p>
    <w:p w14:paraId="400D84EC">
      <w:pPr>
        <w:pStyle w:val="16"/>
        <w:numPr>
          <w:ilvl w:val="0"/>
          <w:numId w:val="1"/>
        </w:numPr>
        <w:spacing w:after="0" w:line="360" w:lineRule="auto"/>
      </w:pPr>
      <w:r>
        <w:rPr>
          <w:rFonts w:ascii="Times New Roman" w:hAnsi="Times New Roman" w:eastAsia="Times New Roman" w:cs="Times New Roman"/>
          <w:sz w:val="24"/>
          <w:szCs w:val="24"/>
        </w:rPr>
        <w:t>Workload. The annual review creates a demand spike, and if the summary is genuinely useful that spike gets bigger, at least in the first cycle.</w:t>
      </w:r>
    </w:p>
    <w:p w14:paraId="380D0134">
      <w:pPr>
        <w:pStyle w:val="16"/>
        <w:numPr>
          <w:ilvl w:val="0"/>
          <w:numId w:val="1"/>
        </w:numPr>
        <w:spacing w:after="0" w:line="360" w:lineRule="auto"/>
      </w:pPr>
      <w:r>
        <w:rPr>
          <w:rFonts w:ascii="Times New Roman" w:hAnsi="Times New Roman" w:eastAsia="Times New Roman" w:cs="Times New Roman"/>
          <w:sz w:val="24"/>
          <w:szCs w:val="24"/>
        </w:rPr>
        <w:t>Privacy and consent. Using billing data to give advice is a different purpose from using it to bill. Whether that's covered by existing consent is a real question under the Privacy Act 2020 and needs an answer before launch rather than after.</w:t>
      </w:r>
    </w:p>
    <w:p w14:paraId="76DBAF76">
      <w:pPr>
        <w:pStyle w:val="16"/>
        <w:numPr>
          <w:ilvl w:val="0"/>
          <w:numId w:val="1"/>
        </w:numPr>
        <w:spacing w:after="0" w:line="360" w:lineRule="auto"/>
      </w:pPr>
      <w:r>
        <w:rPr>
          <w:rFonts w:ascii="Times New Roman" w:hAnsi="Times New Roman" w:eastAsia="Times New Roman" w:cs="Times New Roman"/>
          <w:sz w:val="24"/>
          <w:szCs w:val="24"/>
        </w:rPr>
        <w:t>Governance of the rule set. Without version control and periodic review, a recommendation engine drifts towards whatever the most recent commercial input pushed it towards.</w:t>
      </w:r>
    </w:p>
    <w:p w14:paraId="53554E75">
      <w:pPr>
        <w:pStyle w:val="16"/>
        <w:numPr>
          <w:ilvl w:val="0"/>
          <w:numId w:val="1"/>
        </w:numPr>
        <w:spacing w:after="0" w:line="360" w:lineRule="auto"/>
      </w:pPr>
      <w:r>
        <w:rPr>
          <w:rFonts w:ascii="Times New Roman" w:hAnsi="Times New Roman" w:eastAsia="Times New Roman" w:cs="Times New Roman"/>
          <w:sz w:val="24"/>
          <w:szCs w:val="24"/>
        </w:rPr>
        <w:t>Incentive conflict. If the team that owns the recommendation is measured on plan revenue, the recommendation will bend regardless of anyone's intentions. I'd flag this hardest because it's invisible in the process design but decides the outcome.</w:t>
      </w:r>
    </w:p>
    <w:p w14:paraId="62A7865E">
      <w:pPr>
        <w:pStyle w:val="3"/>
        <w:spacing w:before="240" w:after="140" w:line="360" w:lineRule="auto"/>
        <w:outlineLvl w:val="1"/>
      </w:pPr>
      <w:r>
        <w:rPr>
          <w:rFonts w:ascii="Times New Roman" w:hAnsi="Times New Roman" w:eastAsia="Times New Roman" w:cs="Times New Roman"/>
          <w:b/>
          <w:bCs/>
          <w:i/>
          <w:iCs/>
          <w:color w:val="000000"/>
          <w:sz w:val="28"/>
          <w:szCs w:val="28"/>
        </w:rPr>
        <w:t>Section 8 — Measuring success</w:t>
      </w:r>
    </w:p>
    <w:p w14:paraId="6DC963BD">
      <w:pPr>
        <w:spacing w:after="0" w:line="360" w:lineRule="auto"/>
        <w:jc w:val="both"/>
      </w:pPr>
      <w:r>
        <w:rPr>
          <w:rFonts w:ascii="Times New Roman" w:hAnsi="Times New Roman" w:eastAsia="Times New Roman" w:cs="Times New Roman"/>
          <w:b/>
          <w:bCs/>
          <w:sz w:val="24"/>
          <w:szCs w:val="24"/>
        </w:rPr>
        <w:t>Q16.</w:t>
      </w:r>
      <w:r>
        <w:rPr>
          <w:rFonts w:ascii="Times New Roman" w:hAnsi="Times New Roman" w:eastAsia="Times New Roman" w:cs="Times New Roman"/>
          <w:sz w:val="24"/>
          <w:szCs w:val="24"/>
        </w:rPr>
        <w:t xml:space="preserve"> The result I'd find most convincing is a fall in plan–usage mismatch across the customer base: the proportion of customers whose plan clearly doesn't match their usage, either regularly going over or persistently using a small fraction of it, measured 6 and 12 months after the review. That's an outcome measure, and it says customers ended up on plans that fit, which is the point of the process.</w:t>
      </w:r>
    </w:p>
    <w:p w14:paraId="68BF5AE1">
      <w:pPr>
        <w:spacing w:after="0" w:line="360" w:lineRule="auto"/>
        <w:jc w:val="both"/>
      </w:pPr>
      <w:r>
        <w:rPr>
          <w:rFonts w:ascii="Times New Roman" w:hAnsi="Times New Roman" w:eastAsia="Times New Roman" w:cs="Times New Roman"/>
          <w:sz w:val="24"/>
          <w:szCs w:val="24"/>
        </w:rPr>
        <w:t>I'd support it with a decision-quality measure: of the customers who acted, how many were still on the chosen plan and not mismatched a year later. A review that produces lots of switching followed by lots of switching back hasn't helped anyone.</w:t>
      </w:r>
    </w:p>
    <w:p w14:paraId="2A230593">
      <w:pPr>
        <w:spacing w:after="0" w:line="360" w:lineRule="auto"/>
        <w:jc w:val="both"/>
      </w:pPr>
      <w:r>
        <w:rPr>
          <w:rFonts w:ascii="Times New Roman" w:hAnsi="Times New Roman" w:eastAsia="Times New Roman" w:cs="Times New Roman"/>
          <w:b/>
          <w:bCs/>
          <w:sz w:val="24"/>
          <w:szCs w:val="24"/>
        </w:rPr>
        <w:t>Q17.</w:t>
      </w:r>
      <w:r>
        <w:rPr>
          <w:rFonts w:ascii="Times New Roman" w:hAnsi="Times New Roman" w:eastAsia="Times New Roman" w:cs="Times New Roman"/>
          <w:sz w:val="24"/>
          <w:szCs w:val="24"/>
        </w:rPr>
        <w:t xml:space="preserve"> Completion counts will move first, which is exactly why they're risky. Beyond them I'd use three:</w:t>
      </w:r>
    </w:p>
    <w:p w14:paraId="268B106C">
      <w:pPr>
        <w:pStyle w:val="16"/>
        <w:numPr>
          <w:ilvl w:val="0"/>
          <w:numId w:val="1"/>
        </w:numPr>
        <w:spacing w:after="0" w:line="360" w:lineRule="auto"/>
      </w:pPr>
      <w:r>
        <w:rPr>
          <w:rFonts w:ascii="Times New Roman" w:hAnsi="Times New Roman" w:eastAsia="Times New Roman" w:cs="Times New Roman"/>
          <w:sz w:val="24"/>
          <w:szCs w:val="24"/>
        </w:rPr>
        <w:t>Reversal and complaint rate — plan changes reversed within 90 days, plus contacts referencing the recommendation. This is the guardrail. If it goes up, the recommendation is confidently wrong.</w:t>
      </w:r>
    </w:p>
    <w:p w14:paraId="4BD7315F">
      <w:pPr>
        <w:pStyle w:val="16"/>
        <w:numPr>
          <w:ilvl w:val="0"/>
          <w:numId w:val="1"/>
        </w:numPr>
        <w:spacing w:after="0" w:line="360" w:lineRule="auto"/>
      </w:pPr>
      <w:r>
        <w:rPr>
          <w:rFonts w:ascii="Times New Roman" w:hAnsi="Times New Roman" w:eastAsia="Times New Roman" w:cs="Times New Roman"/>
          <w:sz w:val="24"/>
          <w:szCs w:val="24"/>
        </w:rPr>
        <w:t>Share of recommendations that reduce customer spend. If that's close to zero, the process is working as a sales channel and the trust benefit won't last.</w:t>
      </w:r>
    </w:p>
    <w:p w14:paraId="0D30F456">
      <w:pPr>
        <w:pStyle w:val="16"/>
        <w:numPr>
          <w:ilvl w:val="0"/>
          <w:numId w:val="1"/>
        </w:numPr>
        <w:spacing w:after="0" w:line="360" w:lineRule="auto"/>
      </w:pPr>
      <w:r>
        <w:rPr>
          <w:rFonts w:ascii="Times New Roman" w:hAnsi="Times New Roman" w:eastAsia="Times New Roman" w:cs="Times New Roman"/>
          <w:sz w:val="24"/>
          <w:szCs w:val="24"/>
        </w:rPr>
        <w:t>Whether completion is spread evenly across customer segments or concentrated among customers who were already engaged and already on the right plan. A programme that helps the confident and misses everyone else can show a good headline number while the underlying problem stays put.</w:t>
      </w:r>
    </w:p>
    <w:p w14:paraId="63075653">
      <w:pPr>
        <w:spacing w:after="0" w:line="360" w:lineRule="auto"/>
        <w:jc w:val="both"/>
      </w:pPr>
      <w:r>
        <w:rPr>
          <w:rFonts w:ascii="Times New Roman" w:hAnsi="Times New Roman" w:eastAsia="Times New Roman" w:cs="Times New Roman"/>
          <w:sz w:val="24"/>
          <w:szCs w:val="24"/>
        </w:rPr>
        <w:t>The main trap is declaring success in the first cycle, because novelty will lift engagement once. The real question is whether cycles two and three hold and whether the mismatch measure actually moved.</w:t>
      </w:r>
    </w:p>
    <w:p w14:paraId="0E9254FE">
      <w:pPr>
        <w:pStyle w:val="3"/>
        <w:spacing w:before="240" w:after="140" w:line="360" w:lineRule="auto"/>
        <w:outlineLvl w:val="1"/>
      </w:pPr>
      <w:r>
        <w:rPr>
          <w:rFonts w:ascii="Times New Roman" w:hAnsi="Times New Roman" w:eastAsia="Times New Roman" w:cs="Times New Roman"/>
          <w:b/>
          <w:bCs/>
          <w:i/>
          <w:iCs/>
          <w:color w:val="000000"/>
          <w:sz w:val="28"/>
          <w:szCs w:val="28"/>
        </w:rPr>
        <w:t>Section 9 — Testing the hypothesis</w:t>
      </w:r>
    </w:p>
    <w:p w14:paraId="6D142727">
      <w:pPr>
        <w:spacing w:after="0" w:line="360" w:lineRule="auto"/>
        <w:jc w:val="both"/>
      </w:pPr>
      <w:r>
        <w:rPr>
          <w:rFonts w:ascii="Times New Roman" w:hAnsi="Times New Roman" w:eastAsia="Times New Roman" w:cs="Times New Roman"/>
          <w:b/>
          <w:bCs/>
          <w:sz w:val="24"/>
          <w:szCs w:val="24"/>
        </w:rPr>
        <w:t>Q18.</w:t>
      </w:r>
      <w:r>
        <w:rPr>
          <w:rFonts w:ascii="Times New Roman" w:hAnsi="Times New Roman" w:eastAsia="Times New Roman" w:cs="Times New Roman"/>
          <w:sz w:val="24"/>
          <w:szCs w:val="24"/>
        </w:rPr>
        <w:t xml:space="preserve"> I'd say the supporting evidence is mostly structural rather than direct, and I'd be upfront about that in your write-up:</w:t>
      </w:r>
    </w:p>
    <w:p w14:paraId="54A9E1E5">
      <w:pPr>
        <w:pStyle w:val="16"/>
        <w:numPr>
          <w:ilvl w:val="0"/>
          <w:numId w:val="1"/>
        </w:numPr>
        <w:spacing w:after="0" w:line="360" w:lineRule="auto"/>
      </w:pPr>
      <w:r>
        <w:rPr>
          <w:rFonts w:ascii="Times New Roman" w:hAnsi="Times New Roman" w:eastAsia="Times New Roman" w:cs="Times New Roman"/>
          <w:sz w:val="24"/>
          <w:szCs w:val="24"/>
        </w:rPr>
        <w:t>The scenario hands three analytical steps to the party least equipped to do them while the party best equipped already holds the inputs. That's a design fault regardless of what the numbers show.</w:t>
      </w:r>
    </w:p>
    <w:p w14:paraId="07D04228">
      <w:pPr>
        <w:pStyle w:val="16"/>
        <w:numPr>
          <w:ilvl w:val="0"/>
          <w:numId w:val="1"/>
        </w:numPr>
        <w:spacing w:after="0" w:line="360" w:lineRule="auto"/>
      </w:pPr>
      <w:r>
        <w:rPr>
          <w:rFonts w:ascii="Times New Roman" w:hAnsi="Times New Roman" w:eastAsia="Times New Roman" w:cs="Times New Roman"/>
          <w:sz w:val="24"/>
          <w:szCs w:val="24"/>
        </w:rPr>
        <w:t>Consumer research in New Zealand keeps finding plan comparison to be a friction point, and the Commerce Commission's monitoring shows most mobile customers stay with the same provider for more than five years while a large share of those who do switch hit problems. Long tenure plus switching difficulty is more consistent with people not reviewing than with people being satisfied.</w:t>
      </w:r>
    </w:p>
    <w:p w14:paraId="426469B5">
      <w:pPr>
        <w:pStyle w:val="16"/>
        <w:numPr>
          <w:ilvl w:val="0"/>
          <w:numId w:val="1"/>
        </w:numPr>
        <w:spacing w:after="0" w:line="360" w:lineRule="auto"/>
      </w:pPr>
      <w:r>
        <w:rPr>
          <w:rFonts w:ascii="Times New Roman" w:hAnsi="Times New Roman" w:eastAsia="Times New Roman" w:cs="Times New Roman"/>
          <w:sz w:val="24"/>
          <w:szCs w:val="24"/>
        </w:rPr>
        <w:t>Spark's reported mobile satisfaction sits below the market average, which is at least consistent with a process that leaves work on the customer's side.</w:t>
      </w:r>
    </w:p>
    <w:p w14:paraId="077DCCF1">
      <w:pPr>
        <w:pStyle w:val="16"/>
        <w:numPr>
          <w:ilvl w:val="0"/>
          <w:numId w:val="1"/>
        </w:numPr>
        <w:spacing w:after="0" w:line="360" w:lineRule="auto"/>
      </w:pPr>
      <w:r>
        <w:rPr>
          <w:rFonts w:ascii="Times New Roman" w:hAnsi="Times New Roman" w:eastAsia="Times New Roman" w:cs="Times New Roman"/>
          <w:sz w:val="24"/>
          <w:szCs w:val="24"/>
        </w:rPr>
        <w:t>Behaviourally, defaults are sticky, and effort placed before a decision suppresses that decision far more than the same effort placed after it.</w:t>
      </w:r>
    </w:p>
    <w:p w14:paraId="79764BF4">
      <w:pPr>
        <w:spacing w:after="0" w:line="360" w:lineRule="auto"/>
        <w:jc w:val="both"/>
      </w:pPr>
      <w:r>
        <w:rPr>
          <w:rFonts w:ascii="Times New Roman" w:hAnsi="Times New Roman" w:eastAsia="Times New Roman" w:cs="Times New Roman"/>
          <w:sz w:val="24"/>
          <w:szCs w:val="24"/>
        </w:rPr>
        <w:t>What none of that establishes is size. It supports "materially increases difficulty" as plausible; it doesn't quantify it.</w:t>
      </w:r>
    </w:p>
    <w:p w14:paraId="2DA876FE">
      <w:pPr>
        <w:spacing w:after="0" w:line="360" w:lineRule="auto"/>
        <w:jc w:val="both"/>
      </w:pPr>
      <w:r>
        <w:rPr>
          <w:rFonts w:ascii="Times New Roman" w:hAnsi="Times New Roman" w:eastAsia="Times New Roman" w:cs="Times New Roman"/>
          <w:b/>
          <w:bCs/>
          <w:sz w:val="24"/>
          <w:szCs w:val="24"/>
        </w:rPr>
        <w:t>Q19.</w:t>
      </w:r>
      <w:r>
        <w:rPr>
          <w:rFonts w:ascii="Times New Roman" w:hAnsi="Times New Roman" w:eastAsia="Times New Roman" w:cs="Times New Roman"/>
          <w:sz w:val="24"/>
          <w:szCs w:val="24"/>
        </w:rPr>
        <w:t xml:space="preserve"> Three things could disprove it, and I don't think any of them is a straw man:</w:t>
      </w:r>
    </w:p>
    <w:p w14:paraId="5E52F663">
      <w:pPr>
        <w:pStyle w:val="16"/>
        <w:numPr>
          <w:ilvl w:val="0"/>
          <w:numId w:val="1"/>
        </w:numPr>
        <w:spacing w:after="0" w:line="360" w:lineRule="auto"/>
      </w:pPr>
      <w:r>
        <w:rPr>
          <w:rFonts w:ascii="Times New Roman" w:hAnsi="Times New Roman" w:eastAsia="Times New Roman" w:cs="Times New Roman"/>
          <w:sz w:val="24"/>
          <w:szCs w:val="24"/>
        </w:rPr>
        <w:t>A ceiling effect. If most customers are already roughly on the right plan, better information changes very little and the mismatch measure won't move even if engagement does. The hypothesis would then be true about difficulty but not relevant to outcomes.</w:t>
      </w:r>
    </w:p>
    <w:p w14:paraId="2C92CD06">
      <w:pPr>
        <w:pStyle w:val="16"/>
        <w:numPr>
          <w:ilvl w:val="0"/>
          <w:numId w:val="1"/>
        </w:numPr>
        <w:spacing w:after="0" w:line="360" w:lineRule="auto"/>
      </w:pPr>
      <w:r>
        <w:rPr>
          <w:rFonts w:ascii="Times New Roman" w:hAnsi="Times New Roman" w:eastAsia="Times New Roman" w:cs="Times New Roman"/>
          <w:sz w:val="24"/>
          <w:szCs w:val="24"/>
        </w:rPr>
        <w:t>Trust rather than information being the real constraint. If customers see the recommendation, understand it, and still say no because they don't believe Spark is acting in their interest, the information gap isn't doing the work. This is my main alternative explanation and I'd test it directly.</w:t>
      </w:r>
    </w:p>
    <w:p w14:paraId="768DA0ED">
      <w:pPr>
        <w:pStyle w:val="16"/>
        <w:numPr>
          <w:ilvl w:val="0"/>
          <w:numId w:val="1"/>
        </w:numPr>
        <w:spacing w:after="0" w:line="360" w:lineRule="auto"/>
      </w:pPr>
      <w:r>
        <w:rPr>
          <w:rFonts w:ascii="Times New Roman" w:hAnsi="Times New Roman" w:eastAsia="Times New Roman" w:cs="Times New Roman"/>
          <w:sz w:val="24"/>
          <w:szCs w:val="24"/>
        </w:rPr>
        <w:t>The barrier being contractual rather than cognitive. If device repayment balances or contract terms are what stop people, perfect information changes nothing and the real problem sits in a different process.</w:t>
      </w:r>
    </w:p>
    <w:p w14:paraId="6823D27C">
      <w:pPr>
        <w:spacing w:after="0" w:line="360" w:lineRule="auto"/>
        <w:jc w:val="both"/>
      </w:pPr>
      <w:r>
        <w:rPr>
          <w:rFonts w:ascii="Times New Roman" w:hAnsi="Times New Roman" w:eastAsia="Times New Roman" w:cs="Times New Roman"/>
          <w:sz w:val="24"/>
          <w:szCs w:val="24"/>
        </w:rPr>
        <w:t>One observation that would count against the hypothesis: if some customers already get usage data embedded somewhere, for example in the app rather than the annual summary, and those customers show no better plan fit than everyone else, then the information gap isn't the cause.</w:t>
      </w:r>
    </w:p>
    <w:p w14:paraId="629FB620">
      <w:pPr>
        <w:spacing w:after="0" w:line="360" w:lineRule="auto"/>
        <w:jc w:val="both"/>
      </w:pPr>
      <w:r>
        <w:rPr>
          <w:rFonts w:ascii="Times New Roman" w:hAnsi="Times New Roman" w:eastAsia="Times New Roman" w:cs="Times New Roman"/>
          <w:b/>
          <w:bCs/>
          <w:sz w:val="24"/>
          <w:szCs w:val="24"/>
        </w:rPr>
        <w:t>Q20.</w:t>
      </w:r>
      <w:r>
        <w:rPr>
          <w:rFonts w:ascii="Times New Roman" w:hAnsi="Times New Roman" w:eastAsia="Times New Roman" w:cs="Times New Roman"/>
          <w:sz w:val="24"/>
          <w:szCs w:val="24"/>
        </w:rPr>
        <w:t xml:space="preserve"> I'd embed the usage and spending history in the summary first, before adding any recommendation.</w:t>
      </w:r>
    </w:p>
    <w:p w14:paraId="6558F970">
      <w:pPr>
        <w:spacing w:after="0" w:line="360" w:lineRule="auto"/>
        <w:jc w:val="both"/>
      </w:pPr>
      <w:r>
        <w:rPr>
          <w:rFonts w:ascii="Times New Roman" w:hAnsi="Times New Roman" w:eastAsia="Times New Roman" w:cs="Times New Roman"/>
          <w:sz w:val="24"/>
          <w:szCs w:val="24"/>
        </w:rPr>
        <w:t>Two reasons. First, it separates the variables. Your hypothesis has two parts — missing data and missing guidance — and testing them together tells you the bundle worked without telling you which half did it. Doing the data first gives you a clean reading, and the recommendation then becomes a measurable second step.</w:t>
      </w:r>
    </w:p>
    <w:p w14:paraId="65D23243">
      <w:pPr>
        <w:spacing w:after="0" w:line="360" w:lineRule="auto"/>
        <w:jc w:val="both"/>
      </w:pPr>
      <w:r>
        <w:rPr>
          <w:rFonts w:ascii="Times New Roman" w:hAnsi="Times New Roman" w:eastAsia="Times New Roman" w:cs="Times New Roman"/>
          <w:sz w:val="24"/>
          <w:szCs w:val="24"/>
        </w:rPr>
        <w:t>Second, it's the cheaper and less risky half. Embedding data Spark already holds needs a data feed and a template change. Personalised recommendations need a governed rule set, a privacy position, an accountable owner and a frontline briefing — the four things in my answer to question 14. Building the hard half first, on an untested assumption, is how these projects end up over-scoped and cancelled. If the data-only version moves the mismatch measure, the case for the recommendation makes itself.</w:t>
      </w:r>
    </w:p>
    <w:p w14:paraId="13ED89C8">
      <w:pPr>
        <w:pStyle w:val="3"/>
        <w:spacing w:before="240" w:after="140" w:line="360" w:lineRule="auto"/>
        <w:outlineLvl w:val="1"/>
      </w:pPr>
      <w:r>
        <w:rPr>
          <w:rFonts w:ascii="Times New Roman" w:hAnsi="Times New Roman" w:eastAsia="Times New Roman" w:cs="Times New Roman"/>
          <w:b/>
          <w:bCs/>
          <w:i/>
          <w:iCs/>
          <w:color w:val="000000"/>
          <w:sz w:val="28"/>
          <w:szCs w:val="28"/>
        </w:rPr>
        <w:t>Section 10 — Overall assessment</w:t>
      </w:r>
    </w:p>
    <w:p w14:paraId="71DC1D5D">
      <w:pPr>
        <w:spacing w:after="0" w:line="360" w:lineRule="auto"/>
        <w:jc w:val="both"/>
      </w:pPr>
      <w:r>
        <w:rPr>
          <w:rFonts w:ascii="Times New Roman" w:hAnsi="Times New Roman" w:eastAsia="Times New Roman" w:cs="Times New Roman"/>
          <w:b/>
          <w:bCs/>
          <w:sz w:val="24"/>
          <w:szCs w:val="24"/>
        </w:rPr>
        <w:t>Q21.</w:t>
      </w:r>
      <w:r>
        <w:rPr>
          <w:rFonts w:ascii="Times New Roman" w:hAnsi="Times New Roman" w:eastAsia="Times New Roman" w:cs="Times New Roman"/>
          <w:sz w:val="24"/>
          <w:szCs w:val="24"/>
        </w:rPr>
        <w:t xml:space="preserve"> I'd say 4 out of 5.</w:t>
      </w:r>
    </w:p>
    <w:p w14:paraId="10E9EAC9">
      <w:pPr>
        <w:spacing w:after="0" w:line="360" w:lineRule="auto"/>
        <w:jc w:val="both"/>
      </w:pPr>
      <w:r>
        <w:rPr>
          <w:rFonts w:ascii="Times New Roman" w:hAnsi="Times New Roman" w:eastAsia="Times New Roman" w:cs="Times New Roman"/>
          <w:sz w:val="24"/>
          <w:szCs w:val="24"/>
        </w:rPr>
        <w:t>Not 5, because I think the gap is a strong contributing cause rather than the only one. Contract friction, trust, and plans not being comparable would each hold back good plan choice even with perfect information, and I don't think the information gap outweighs all three.</w:t>
      </w:r>
    </w:p>
    <w:p w14:paraId="24D20B24">
      <w:pPr>
        <w:spacing w:after="0" w:line="360" w:lineRule="auto"/>
        <w:jc w:val="both"/>
      </w:pPr>
      <w:r>
        <w:rPr>
          <w:rFonts w:ascii="Times New Roman" w:hAnsi="Times New Roman" w:eastAsia="Times New Roman" w:cs="Times New Roman"/>
          <w:sz w:val="24"/>
          <w:szCs w:val="24"/>
        </w:rPr>
        <w:t>Not 3, because the asymmetry is quite one-sided. Spark already holds every input the customer needs and it costs almost nothing to show, and the current design withholds it at exactly the moment the customer is paying attention. When the party who could supply the information cheaply doesn't, and the party who has to reconstruct it expensively is the one asked to, the difficulty isn't accidental — it's produced by how the process is designed. I'd call that material.</w:t>
      </w:r>
    </w:p>
    <w:p w14:paraId="7AB408B7">
      <w:pPr>
        <w:spacing w:after="0" w:line="360" w:lineRule="auto"/>
        <w:jc w:val="both"/>
      </w:pPr>
      <w:r>
        <w:rPr>
          <w:rFonts w:ascii="Times New Roman" w:hAnsi="Times New Roman" w:eastAsia="Times New Roman" w:cs="Times New Roman"/>
          <w:b/>
          <w:bCs/>
          <w:sz w:val="24"/>
          <w:szCs w:val="24"/>
        </w:rPr>
        <w:t>Q22.</w:t>
      </w:r>
      <w:r>
        <w:rPr>
          <w:rFonts w:ascii="Times New Roman" w:hAnsi="Times New Roman" w:eastAsia="Times New Roman" w:cs="Times New Roman"/>
          <w:sz w:val="24"/>
          <w:szCs w:val="24"/>
        </w:rPr>
        <w:t xml:space="preserve"> Three things I'd have expected to be asked:</w:t>
      </w:r>
    </w:p>
    <w:p w14:paraId="71B679D8">
      <w:pPr>
        <w:pStyle w:val="16"/>
        <w:numPr>
          <w:ilvl w:val="0"/>
          <w:numId w:val="1"/>
        </w:numPr>
        <w:spacing w:after="0" w:line="360" w:lineRule="auto"/>
      </w:pPr>
      <w:r>
        <w:rPr>
          <w:rFonts w:ascii="Times New Roman" w:hAnsi="Times New Roman" w:eastAsia="Times New Roman" w:cs="Times New Roman"/>
          <w:sz w:val="24"/>
          <w:szCs w:val="24"/>
        </w:rPr>
        <w:t>Ownership and incentives. Your guide asks what capabilities are needed, which is the right question, but I think the harder one is who is accountable for the recommendation being right, and whether their targets allow them to sometimes recommend a cheaper plan. That single question probably predicts the outcome better than any design decision.</w:t>
      </w:r>
    </w:p>
    <w:p w14:paraId="3E0C33FF">
      <w:pPr>
        <w:pStyle w:val="16"/>
        <w:numPr>
          <w:ilvl w:val="0"/>
          <w:numId w:val="1"/>
        </w:numPr>
        <w:spacing w:after="0" w:line="360" w:lineRule="auto"/>
      </w:pPr>
      <w:r>
        <w:rPr>
          <w:rFonts w:ascii="Times New Roman" w:hAnsi="Times New Roman" w:eastAsia="Times New Roman" w:cs="Times New Roman"/>
          <w:sz w:val="24"/>
          <w:szCs w:val="24"/>
        </w:rPr>
        <w:t>The cost side, which is your domain rather than mine. If this works, some customers move to cheaper plans, so there's a short-term ARPU effect against a longer-term churn and cost-to-serve benefit. Whoever sponsors this internally will be asked about that trade-off in the first meeting.</w:t>
      </w:r>
    </w:p>
    <w:p w14:paraId="6B917BD5">
      <w:pPr>
        <w:pStyle w:val="16"/>
        <w:numPr>
          <w:ilvl w:val="0"/>
          <w:numId w:val="1"/>
        </w:numPr>
        <w:spacing w:after="0" w:line="360" w:lineRule="auto"/>
      </w:pPr>
      <w:r>
        <w:rPr>
          <w:rFonts w:ascii="Times New Roman" w:hAnsi="Times New Roman" w:eastAsia="Times New Roman" w:cs="Times New Roman"/>
          <w:sz w:val="24"/>
          <w:szCs w:val="24"/>
        </w:rPr>
        <w:t>Segmentation. The summary as described treats every customer the same. A customer with stable, well-matched usage needs two lines of confirmation; a customer constantly going over needs an intervention. Sending both the same thing means it's over-built for one and under-built for the other, and an average completion rate would hide both.</w:t>
      </w:r>
    </w:p>
    <w:p w14:paraId="4AC3FCAF">
      <w:pPr>
        <w:pStyle w:val="2"/>
        <w:spacing w:before="320" w:after="160" w:line="360" w:lineRule="auto"/>
        <w:outlineLvl w:val="0"/>
      </w:pPr>
      <w:r>
        <w:rPr>
          <w:rFonts w:ascii="Times New Roman" w:hAnsi="Times New Roman" w:eastAsia="Times New Roman" w:cs="Times New Roman"/>
          <w:b/>
          <w:bCs/>
          <w:color w:val="000000"/>
          <w:sz w:val="28"/>
          <w:szCs w:val="28"/>
        </w:rPr>
        <w:t>Appendix C — Independent GenAI Interview Transcript</w:t>
      </w:r>
    </w:p>
    <w:p w14:paraId="783FE831">
      <w:pPr>
        <w:pStyle w:val="3"/>
        <w:spacing w:before="240" w:after="140" w:line="360" w:lineRule="auto"/>
        <w:outlineLvl w:val="1"/>
      </w:pPr>
      <w:r>
        <w:rPr>
          <w:rFonts w:ascii="Times New Roman" w:hAnsi="Times New Roman" w:eastAsia="Times New Roman" w:cs="Times New Roman"/>
          <w:b/>
          <w:bCs/>
          <w:i/>
          <w:iCs/>
          <w:color w:val="000000"/>
          <w:sz w:val="28"/>
          <w:szCs w:val="28"/>
        </w:rPr>
        <w:t>Header</w:t>
      </w:r>
    </w:p>
    <w:p w14:paraId="6C7514DC">
      <w:pPr>
        <w:spacing w:after="0" w:line="360" w:lineRule="auto"/>
        <w:jc w:val="both"/>
      </w:pPr>
      <w:r>
        <w:rPr>
          <w:rFonts w:ascii="Times New Roman" w:hAnsi="Times New Roman" w:eastAsia="Times New Roman" w:cs="Times New Roman"/>
          <w:b/>
          <w:bCs/>
          <w:sz w:val="24"/>
          <w:szCs w:val="24"/>
        </w:rPr>
        <w:t>Assignment:</w:t>
      </w:r>
      <w:r>
        <w:rPr>
          <w:rFonts w:ascii="Times New Roman" w:hAnsi="Times New Roman" w:eastAsia="Times New Roman" w:cs="Times New Roman"/>
          <w:sz w:val="24"/>
          <w:szCs w:val="24"/>
        </w:rPr>
        <w:t xml:space="preserve"> A1-D2. </w:t>
      </w:r>
      <w:r>
        <w:rPr>
          <w:rFonts w:ascii="Times New Roman" w:hAnsi="Times New Roman" w:eastAsia="Times New Roman" w:cs="Times New Roman"/>
          <w:b/>
          <w:bCs/>
          <w:sz w:val="24"/>
          <w:szCs w:val="24"/>
        </w:rPr>
        <w:t>Interviewee:</w:t>
      </w:r>
      <w:r>
        <w:rPr>
          <w:rFonts w:ascii="Times New Roman" w:hAnsi="Times New Roman" w:eastAsia="Times New Roman" w:cs="Times New Roman"/>
          <w:sz w:val="24"/>
          <w:szCs w:val="24"/>
        </w:rPr>
        <w:t xml:space="preserve"> Independent GenAI interviewee — consumer decision and service analytics perspective. </w:t>
      </w:r>
      <w:r>
        <w:rPr>
          <w:rFonts w:ascii="Times New Roman" w:hAnsi="Times New Roman" w:eastAsia="Times New Roman" w:cs="Times New Roman"/>
          <w:b/>
          <w:bCs/>
          <w:sz w:val="24"/>
          <w:szCs w:val="24"/>
        </w:rPr>
        <w:t>Interviewer:</w:t>
      </w:r>
      <w:r>
        <w:rPr>
          <w:rFonts w:ascii="Times New Roman" w:hAnsi="Times New Roman" w:eastAsia="Times New Roman" w:cs="Times New Roman"/>
          <w:sz w:val="24"/>
          <w:szCs w:val="24"/>
        </w:rPr>
        <w:t xml:space="preserve"> Rae Huang — Financial problem domain. </w:t>
      </w:r>
      <w:r>
        <w:rPr>
          <w:rFonts w:ascii="Times New Roman" w:hAnsi="Times New Roman" w:eastAsia="Times New Roman" w:cs="Times New Roman"/>
          <w:b/>
          <w:bCs/>
          <w:sz w:val="24"/>
          <w:szCs w:val="24"/>
        </w:rPr>
        <w:t>Date:</w:t>
      </w:r>
      <w:r>
        <w:rPr>
          <w:rFonts w:ascii="Times New Roman" w:hAnsi="Times New Roman" w:eastAsia="Times New Roman" w:cs="Times New Roman"/>
          <w:sz w:val="24"/>
          <w:szCs w:val="24"/>
        </w:rPr>
        <w:t xml:space="preserve"> 26 August 2026. </w:t>
      </w:r>
      <w:r>
        <w:rPr>
          <w:rFonts w:ascii="Times New Roman" w:hAnsi="Times New Roman" w:eastAsia="Times New Roman" w:cs="Times New Roman"/>
          <w:b/>
          <w:bCs/>
          <w:sz w:val="24"/>
          <w:szCs w:val="24"/>
        </w:rPr>
        <w:t>Format:</w:t>
      </w:r>
      <w:r>
        <w:rPr>
          <w:rFonts w:ascii="Times New Roman" w:hAnsi="Times New Roman" w:eastAsia="Times New Roman" w:cs="Times New Roman"/>
          <w:sz w:val="24"/>
          <w:szCs w:val="24"/>
        </w:rPr>
        <w:t xml:space="preserve"> Written response to the same 10-section semi-structured interview guide used for the group-mate interview.</w:t>
      </w:r>
    </w:p>
    <w:p w14:paraId="7945A7B3">
      <w:pPr>
        <w:spacing w:after="0" w:line="360" w:lineRule="auto"/>
        <w:jc w:val="both"/>
      </w:pPr>
      <w:r>
        <w:rPr>
          <w:rFonts w:ascii="Times New Roman" w:hAnsi="Times New Roman" w:eastAsia="Times New Roman" w:cs="Times New Roman"/>
          <w:b/>
          <w:bCs/>
          <w:sz w:val="24"/>
          <w:szCs w:val="24"/>
        </w:rPr>
        <w:t>Independence protocol:</w:t>
      </w:r>
      <w:r>
        <w:rPr>
          <w:rFonts w:ascii="Times New Roman" w:hAnsi="Times New Roman" w:eastAsia="Times New Roman" w:cs="Times New Roman"/>
          <w:sz w:val="24"/>
          <w:szCs w:val="24"/>
        </w:rPr>
        <w:t xml:space="preserve"> generated in a fresh, isolated agent context. The agent received the scenario, hypothesis and 22 questions only. It was not given Xuan Zeng's transcript or any summary of Xuan's answers.</w:t>
      </w:r>
    </w:p>
    <w:p w14:paraId="355E8BDB">
      <w:pPr>
        <w:spacing w:after="0" w:line="360" w:lineRule="auto"/>
        <w:jc w:val="both"/>
      </w:pPr>
      <w:r>
        <w:rPr>
          <w:rFonts w:ascii="Times New Roman" w:hAnsi="Times New Roman" w:eastAsia="Times New Roman" w:cs="Times New Roman"/>
          <w:b/>
          <w:bCs/>
          <w:sz w:val="24"/>
          <w:szCs w:val="24"/>
        </w:rPr>
        <w:t>Hypothesis:</w:t>
      </w:r>
      <w:r>
        <w:rPr>
          <w:rFonts w:ascii="Times New Roman" w:hAnsi="Times New Roman" w:eastAsia="Times New Roman" w:cs="Times New Roman"/>
          <w:sz w:val="24"/>
          <w:szCs w:val="24"/>
        </w:rPr>
        <w:t xml:space="preserve"> "Compared with a link-only annual plan summary, the absence of embedded usage and spending history and personalised right-plan guidance materially increases customers' difficulty in choosing a suitable plan."</w:t>
      </w:r>
    </w:p>
    <w:p w14:paraId="6C1D650E">
      <w:pPr>
        <w:pStyle w:val="3"/>
        <w:spacing w:before="240" w:after="140" w:line="360" w:lineRule="auto"/>
        <w:outlineLvl w:val="1"/>
      </w:pPr>
      <w:r>
        <w:rPr>
          <w:rFonts w:ascii="Times New Roman" w:hAnsi="Times New Roman" w:eastAsia="Times New Roman" w:cs="Times New Roman"/>
          <w:b/>
          <w:bCs/>
          <w:i/>
          <w:iCs/>
          <w:color w:val="000000"/>
          <w:sz w:val="28"/>
          <w:szCs w:val="28"/>
        </w:rPr>
        <w:t>Section 1 — Consent and evidence boundary</w:t>
      </w:r>
    </w:p>
    <w:p w14:paraId="3D6859F6">
      <w:pPr>
        <w:spacing w:after="0" w:line="360" w:lineRule="auto"/>
        <w:jc w:val="both"/>
      </w:pPr>
      <w:r>
        <w:rPr>
          <w:rFonts w:ascii="Times New Roman" w:hAnsi="Times New Roman" w:eastAsia="Times New Roman" w:cs="Times New Roman"/>
          <w:b/>
          <w:bCs/>
          <w:sz w:val="24"/>
          <w:szCs w:val="24"/>
        </w:rPr>
        <w:t>Q1.</w:t>
      </w:r>
      <w:r>
        <w:rPr>
          <w:rFonts w:ascii="Times New Roman" w:hAnsi="Times New Roman" w:eastAsia="Times New Roman" w:cs="Times New Roman"/>
          <w:sz w:val="24"/>
          <w:szCs w:val="24"/>
        </w:rPr>
        <w:t xml:space="preserve"> Yes. My answers may be quoted or summarised in the INFOSYS 704 assignment, provided I am identified as an "Independent GenAI interviewee — consumer decision and service analytics perspective."</w:t>
      </w:r>
    </w:p>
    <w:p w14:paraId="71EE5698">
      <w:pPr>
        <w:spacing w:after="0" w:line="360" w:lineRule="auto"/>
        <w:jc w:val="both"/>
      </w:pPr>
      <w:r>
        <w:rPr>
          <w:rFonts w:ascii="Times New Roman" w:hAnsi="Times New Roman" w:eastAsia="Times New Roman" w:cs="Times New Roman"/>
          <w:b/>
          <w:bCs/>
          <w:sz w:val="24"/>
          <w:szCs w:val="24"/>
        </w:rPr>
        <w:t>Q2.</w:t>
      </w:r>
      <w:r>
        <w:rPr>
          <w:rFonts w:ascii="Times New Roman" w:hAnsi="Times New Roman" w:eastAsia="Times New Roman" w:cs="Times New Roman"/>
          <w:sz w:val="24"/>
          <w:szCs w:val="24"/>
        </w:rPr>
        <w:t xml:space="preserve"> Confirmed. These answers are general analysis based only on the scenario and principles from consumer decision science, service analytics, and responsible digital-service design. I have no access to confidential Spark information, customer records, internal systems, staff views, or measured Spark results. Any claim about likely customer behaviour is an inference to be tested, not an observed Spark fact.</w:t>
      </w:r>
    </w:p>
    <w:p w14:paraId="02E4C485">
      <w:pPr>
        <w:pStyle w:val="3"/>
        <w:spacing w:before="240" w:after="140" w:line="360" w:lineRule="auto"/>
        <w:outlineLvl w:val="1"/>
      </w:pPr>
      <w:r>
        <w:rPr>
          <w:rFonts w:ascii="Times New Roman" w:hAnsi="Times New Roman" w:eastAsia="Times New Roman" w:cs="Times New Roman"/>
          <w:b/>
          <w:bCs/>
          <w:i/>
          <w:iCs/>
          <w:color w:val="000000"/>
          <w:sz w:val="28"/>
          <w:szCs w:val="28"/>
        </w:rPr>
        <w:t>Section 2 — Perspective and context</w:t>
      </w:r>
    </w:p>
    <w:p w14:paraId="7F01D3E9">
      <w:pPr>
        <w:spacing w:after="0" w:line="360" w:lineRule="auto"/>
        <w:jc w:val="both"/>
      </w:pPr>
      <w:r>
        <w:rPr>
          <w:rFonts w:ascii="Times New Roman" w:hAnsi="Times New Roman" w:eastAsia="Times New Roman" w:cs="Times New Roman"/>
          <w:b/>
          <w:bCs/>
          <w:sz w:val="24"/>
          <w:szCs w:val="24"/>
        </w:rPr>
        <w:t>Q3.</w:t>
      </w:r>
      <w:r>
        <w:rPr>
          <w:rFonts w:ascii="Times New Roman" w:hAnsi="Times New Roman" w:eastAsia="Times New Roman" w:cs="Times New Roman"/>
          <w:sz w:val="24"/>
          <w:szCs w:val="24"/>
        </w:rPr>
        <w:t xml:space="preserve"> I approach customer-facing process design as a decision problem, not merely an information-delivery problem. I look at whether customers can identify the relevant evidence, understand trade-offs, complete the required steps, and reach a decision they can later justify. I also consider behavioural effects such as limited attention, status-quo bias, choice overload, loss aversion, and excessive reliance on automated recommendations. From a responsible-design perspective, a journey should help customers make an informed choice without quietly steering them toward the provider's preferred commercial outcome.</w:t>
      </w:r>
    </w:p>
    <w:p w14:paraId="5D2FD968">
      <w:pPr>
        <w:spacing w:after="0" w:line="360" w:lineRule="auto"/>
        <w:jc w:val="both"/>
      </w:pPr>
      <w:r>
        <w:rPr>
          <w:rFonts w:ascii="Times New Roman" w:hAnsi="Times New Roman" w:eastAsia="Times New Roman" w:cs="Times New Roman"/>
          <w:b/>
          <w:bCs/>
          <w:sz w:val="24"/>
          <w:szCs w:val="24"/>
        </w:rPr>
        <w:t>Q4.</w:t>
      </w:r>
      <w:r>
        <w:rPr>
          <w:rFonts w:ascii="Times New Roman" w:hAnsi="Times New Roman" w:eastAsia="Times New Roman" w:cs="Times New Roman"/>
          <w:sz w:val="24"/>
          <w:szCs w:val="24"/>
        </w:rPr>
        <w:t xml:space="preserve"> I am generally familiar with how consumers compare mobile plans: recurring price, data allowance, actual data use, calls and texts, roaming, add-ons, contract conditions, network experience, and the consequences of exceeding an allowance. My limits are important. I do not know Spark's current plan catalogue, annual-summary design, customer segments, link-completion rate, recommendation capability, or applicable implementation constraints. I can identify plausible sources of difficulty and propose tests, but I cannot say how large their effects are without customer evidence.</w:t>
      </w:r>
    </w:p>
    <w:p w14:paraId="1C99378E">
      <w:pPr>
        <w:pStyle w:val="3"/>
        <w:spacing w:before="240" w:after="140" w:line="360" w:lineRule="auto"/>
        <w:outlineLvl w:val="1"/>
      </w:pPr>
      <w:r>
        <w:rPr>
          <w:rFonts w:ascii="Times New Roman" w:hAnsi="Times New Roman" w:eastAsia="Times New Roman" w:cs="Times New Roman"/>
          <w:b/>
          <w:bCs/>
          <w:i/>
          <w:iCs/>
          <w:color w:val="000000"/>
          <w:sz w:val="28"/>
          <w:szCs w:val="28"/>
        </w:rPr>
        <w:t>Section 3 — Understanding the AS-IS journey</w:t>
      </w:r>
    </w:p>
    <w:p w14:paraId="53DB6B45">
      <w:pPr>
        <w:spacing w:after="0" w:line="360" w:lineRule="auto"/>
        <w:jc w:val="both"/>
      </w:pPr>
      <w:r>
        <w:rPr>
          <w:rFonts w:ascii="Times New Roman" w:hAnsi="Times New Roman" w:eastAsia="Times New Roman" w:cs="Times New Roman"/>
          <w:b/>
          <w:bCs/>
          <w:sz w:val="24"/>
          <w:szCs w:val="24"/>
        </w:rPr>
        <w:t>Q5.</w:t>
      </w:r>
      <w:r>
        <w:rPr>
          <w:rFonts w:ascii="Times New Roman" w:hAnsi="Times New Roman" w:eastAsia="Times New Roman" w:cs="Times New Roman"/>
          <w:sz w:val="24"/>
          <w:szCs w:val="24"/>
        </w:rPr>
        <w:t xml:space="preserve"> From the scenario, the customer would first need to notice and open the annual summary. They would then need to understand that a plan review is being invited, decide that reviewing it is worth their time, follow the separate link, authenticate or navigate further if required, locate their usage and spending history, interpret whether that history is representative, find the available plans, and compare their current plan against those alternatives.</w:t>
      </w:r>
    </w:p>
    <w:p w14:paraId="2BD7C4B7">
      <w:pPr>
        <w:spacing w:after="0" w:line="360" w:lineRule="auto"/>
        <w:jc w:val="both"/>
      </w:pPr>
      <w:r>
        <w:rPr>
          <w:rFonts w:ascii="Times New Roman" w:hAnsi="Times New Roman" w:eastAsia="Times New Roman" w:cs="Times New Roman"/>
          <w:sz w:val="24"/>
          <w:szCs w:val="24"/>
        </w:rPr>
        <w:t>The customer must then translate past behaviour into future needs. They may need to consider whether recent usage was unusual, whether travel or household circumstances will change, and whether a cheaper plan introduces risks such as excess charges or insufficient data. Finally, they must decide whether to stay or change and complete any switching steps. The journey therefore contains both navigation effort and a more demanding judgement task.</w:t>
      </w:r>
    </w:p>
    <w:p w14:paraId="29C16168">
      <w:pPr>
        <w:spacing w:after="0" w:line="360" w:lineRule="auto"/>
        <w:jc w:val="both"/>
      </w:pPr>
      <w:r>
        <w:rPr>
          <w:rFonts w:ascii="Times New Roman" w:hAnsi="Times New Roman" w:eastAsia="Times New Roman" w:cs="Times New Roman"/>
          <w:b/>
          <w:bCs/>
          <w:sz w:val="24"/>
          <w:szCs w:val="24"/>
        </w:rPr>
        <w:t>Q6.</w:t>
      </w:r>
      <w:r>
        <w:rPr>
          <w:rFonts w:ascii="Times New Roman" w:hAnsi="Times New Roman" w:eastAsia="Times New Roman" w:cs="Times New Roman"/>
          <w:sz w:val="24"/>
          <w:szCs w:val="24"/>
        </w:rPr>
        <w:t xml:space="preserve"> The hardest step is probably not clicking the link. It is converting usage and spending records into a confident judgement about future plan fit. A customer may see that they used, for example, a certain amount of data, but still not know what allowance gives them a sensible buffer, whether promotional prices are temporary, or how to value features they use occasionally.</w:t>
      </w:r>
    </w:p>
    <w:p w14:paraId="4A4CE228">
      <w:pPr>
        <w:spacing w:after="0" w:line="360" w:lineRule="auto"/>
        <w:jc w:val="both"/>
      </w:pPr>
      <w:r>
        <w:rPr>
          <w:rFonts w:ascii="Times New Roman" w:hAnsi="Times New Roman" w:eastAsia="Times New Roman" w:cs="Times New Roman"/>
          <w:sz w:val="24"/>
          <w:szCs w:val="24"/>
        </w:rPr>
        <w:t>The separate link can make abandonment more likely because it interrupts attention, but the hypothesis should not treat navigation as the whole problem. If the linked page is fast, clear, authenticated, and pre-populated, the link may add very little difficulty. Conversely, even a fully embedded summary will not help much if prices, conditions, and trade-offs remain difficult to interpret.</w:t>
      </w:r>
    </w:p>
    <w:p w14:paraId="20C3ADAE">
      <w:pPr>
        <w:pStyle w:val="3"/>
        <w:spacing w:before="240" w:after="140" w:line="360" w:lineRule="auto"/>
        <w:outlineLvl w:val="1"/>
      </w:pPr>
      <w:r>
        <w:rPr>
          <w:rFonts w:ascii="Times New Roman" w:hAnsi="Times New Roman" w:eastAsia="Times New Roman" w:cs="Times New Roman"/>
          <w:b/>
          <w:bCs/>
          <w:i/>
          <w:iCs/>
          <w:color w:val="000000"/>
          <w:sz w:val="28"/>
          <w:szCs w:val="28"/>
        </w:rPr>
        <w:t>Section 4 — Information needs</w:t>
      </w:r>
    </w:p>
    <w:p w14:paraId="43E70B80">
      <w:pPr>
        <w:spacing w:after="0" w:line="360" w:lineRule="auto"/>
        <w:jc w:val="both"/>
      </w:pPr>
      <w:r>
        <w:rPr>
          <w:rFonts w:ascii="Times New Roman" w:hAnsi="Times New Roman" w:eastAsia="Times New Roman" w:cs="Times New Roman"/>
          <w:b/>
          <w:bCs/>
          <w:sz w:val="24"/>
          <w:szCs w:val="24"/>
        </w:rPr>
        <w:t>Q7.</w:t>
      </w:r>
      <w:r>
        <w:rPr>
          <w:rFonts w:ascii="Times New Roman" w:hAnsi="Times New Roman" w:eastAsia="Times New Roman" w:cs="Times New Roman"/>
          <w:sz w:val="24"/>
          <w:szCs w:val="24"/>
        </w:rPr>
        <w:t xml:space="preserve"> To judge current plan fit, the customer would ideally need:</w:t>
      </w:r>
    </w:p>
    <w:p w14:paraId="0F45C2E1">
      <w:pPr>
        <w:pStyle w:val="16"/>
        <w:numPr>
          <w:ilvl w:val="0"/>
          <w:numId w:val="1"/>
        </w:numPr>
        <w:spacing w:after="0" w:line="360" w:lineRule="auto"/>
      </w:pPr>
      <w:r>
        <w:rPr>
          <w:rFonts w:ascii="Times New Roman" w:hAnsi="Times New Roman" w:eastAsia="Times New Roman" w:cs="Times New Roman"/>
          <w:sz w:val="24"/>
          <w:szCs w:val="24"/>
        </w:rPr>
        <w:t>Total monthly cost, including recurring fees, add-ons, excess charges, discounts, and one-off items.</w:t>
      </w:r>
    </w:p>
    <w:p w14:paraId="6EF14687">
      <w:pPr>
        <w:pStyle w:val="16"/>
        <w:numPr>
          <w:ilvl w:val="0"/>
          <w:numId w:val="1"/>
        </w:numPr>
        <w:spacing w:after="0" w:line="360" w:lineRule="auto"/>
      </w:pPr>
      <w:r>
        <w:rPr>
          <w:rFonts w:ascii="Times New Roman" w:hAnsi="Times New Roman" w:eastAsia="Times New Roman" w:cs="Times New Roman"/>
          <w:sz w:val="24"/>
          <w:szCs w:val="24"/>
        </w:rPr>
        <w:t>Usage over a meaningful period, preferably showing typical use and variation rather than only an annual average.</w:t>
      </w:r>
    </w:p>
    <w:p w14:paraId="02209FB7">
      <w:pPr>
        <w:pStyle w:val="16"/>
        <w:numPr>
          <w:ilvl w:val="0"/>
          <w:numId w:val="1"/>
        </w:numPr>
        <w:spacing w:after="0" w:line="360" w:lineRule="auto"/>
      </w:pPr>
      <w:r>
        <w:rPr>
          <w:rFonts w:ascii="Times New Roman" w:hAnsi="Times New Roman" w:eastAsia="Times New Roman" w:cs="Times New Roman"/>
          <w:sz w:val="24"/>
          <w:szCs w:val="24"/>
        </w:rPr>
        <w:t>Data, call, text, roaming, and hotspot use where these affect plan suitability.</w:t>
      </w:r>
    </w:p>
    <w:p w14:paraId="072B66F5">
      <w:pPr>
        <w:pStyle w:val="16"/>
        <w:numPr>
          <w:ilvl w:val="0"/>
          <w:numId w:val="1"/>
        </w:numPr>
        <w:spacing w:after="0" w:line="360" w:lineRule="auto"/>
      </w:pPr>
      <w:r>
        <w:rPr>
          <w:rFonts w:ascii="Times New Roman" w:hAnsi="Times New Roman" w:eastAsia="Times New Roman" w:cs="Times New Roman"/>
          <w:sz w:val="24"/>
          <w:szCs w:val="24"/>
        </w:rPr>
        <w:t>Frequency and size of allowance breaches or unused allowance.</w:t>
      </w:r>
    </w:p>
    <w:p w14:paraId="3B4F8CC0">
      <w:pPr>
        <w:pStyle w:val="16"/>
        <w:numPr>
          <w:ilvl w:val="0"/>
          <w:numId w:val="1"/>
        </w:numPr>
        <w:spacing w:after="0" w:line="360" w:lineRule="auto"/>
      </w:pPr>
      <w:r>
        <w:rPr>
          <w:rFonts w:ascii="Times New Roman" w:hAnsi="Times New Roman" w:eastAsia="Times New Roman" w:cs="Times New Roman"/>
          <w:sz w:val="24"/>
          <w:szCs w:val="24"/>
        </w:rPr>
        <w:t>The current plan's price, inclusions, contract status, and relevant expiry dates.</w:t>
      </w:r>
    </w:p>
    <w:p w14:paraId="5A6DC206">
      <w:pPr>
        <w:pStyle w:val="16"/>
        <w:numPr>
          <w:ilvl w:val="0"/>
          <w:numId w:val="1"/>
        </w:numPr>
        <w:spacing w:after="0" w:line="360" w:lineRule="auto"/>
      </w:pPr>
      <w:r>
        <w:rPr>
          <w:rFonts w:ascii="Times New Roman" w:hAnsi="Times New Roman" w:eastAsia="Times New Roman" w:cs="Times New Roman"/>
          <w:sz w:val="24"/>
          <w:szCs w:val="24"/>
        </w:rPr>
        <w:t>Comparable alternatives using total expected cost, not just headline price.</w:t>
      </w:r>
    </w:p>
    <w:p w14:paraId="3555B2DA">
      <w:pPr>
        <w:pStyle w:val="16"/>
        <w:numPr>
          <w:ilvl w:val="0"/>
          <w:numId w:val="1"/>
        </w:numPr>
        <w:spacing w:after="0" w:line="360" w:lineRule="auto"/>
      </w:pPr>
      <w:r>
        <w:rPr>
          <w:rFonts w:ascii="Times New Roman" w:hAnsi="Times New Roman" w:eastAsia="Times New Roman" w:cs="Times New Roman"/>
          <w:sz w:val="24"/>
          <w:szCs w:val="24"/>
        </w:rPr>
        <w:t>Important differences in coverage, speed, service level, roaming, rollover, sharing, and cancellation terms.</w:t>
      </w:r>
    </w:p>
    <w:p w14:paraId="767F5EA5">
      <w:pPr>
        <w:pStyle w:val="16"/>
        <w:numPr>
          <w:ilvl w:val="0"/>
          <w:numId w:val="1"/>
        </w:numPr>
        <w:spacing w:after="0" w:line="360" w:lineRule="auto"/>
      </w:pPr>
      <w:r>
        <w:rPr>
          <w:rFonts w:ascii="Times New Roman" w:hAnsi="Times New Roman" w:eastAsia="Times New Roman" w:cs="Times New Roman"/>
          <w:sz w:val="24"/>
          <w:szCs w:val="24"/>
        </w:rPr>
        <w:t>A way to account for expected changes in future use.</w:t>
      </w:r>
    </w:p>
    <w:p w14:paraId="76E99DFF">
      <w:pPr>
        <w:pStyle w:val="16"/>
        <w:numPr>
          <w:ilvl w:val="0"/>
          <w:numId w:val="1"/>
        </w:numPr>
        <w:spacing w:after="0" w:line="360" w:lineRule="auto"/>
      </w:pPr>
      <w:r>
        <w:rPr>
          <w:rFonts w:ascii="Times New Roman" w:hAnsi="Times New Roman" w:eastAsia="Times New Roman" w:cs="Times New Roman"/>
          <w:sz w:val="24"/>
          <w:szCs w:val="24"/>
        </w:rPr>
        <w:t>The uncertainty around any estimated saving or recommendation.</w:t>
      </w:r>
    </w:p>
    <w:p w14:paraId="41DDE25D">
      <w:pPr>
        <w:spacing w:after="0" w:line="360" w:lineRule="auto"/>
        <w:jc w:val="both"/>
      </w:pPr>
      <w:r>
        <w:rPr>
          <w:rFonts w:ascii="Times New Roman" w:hAnsi="Times New Roman" w:eastAsia="Times New Roman" w:cs="Times New Roman"/>
          <w:sz w:val="24"/>
          <w:szCs w:val="24"/>
        </w:rPr>
        <w:t>An average alone can mislead. A customer averaging 8 GB per month may have eleven low-use months and one 40 GB travel month. Distribution, peaks, and exceptional events matter.</w:t>
      </w:r>
    </w:p>
    <w:p w14:paraId="66340408">
      <w:pPr>
        <w:spacing w:after="0" w:line="360" w:lineRule="auto"/>
        <w:jc w:val="both"/>
      </w:pPr>
      <w:r>
        <w:rPr>
          <w:rFonts w:ascii="Times New Roman" w:hAnsi="Times New Roman" w:eastAsia="Times New Roman" w:cs="Times New Roman"/>
          <w:b/>
          <w:bCs/>
          <w:sz w:val="24"/>
          <w:szCs w:val="24"/>
        </w:rPr>
        <w:t>Q8.</w:t>
      </w:r>
      <w:r>
        <w:rPr>
          <w:rFonts w:ascii="Times New Roman" w:hAnsi="Times New Roman" w:eastAsia="Times New Roman" w:cs="Times New Roman"/>
          <w:sz w:val="24"/>
          <w:szCs w:val="24"/>
        </w:rPr>
        <w:t xml:space="preserve"> The summary should directly show a concise decision snapshot: current-plan cost, recent typical monthly spend, a usage range or simple month-by-month pattern, excess charges or unused allowance, contract status, and one or two clearly comparable options. It should also state the period covered and identify anything likely to distort the history.</w:t>
      </w:r>
    </w:p>
    <w:p w14:paraId="02B093C7">
      <w:pPr>
        <w:spacing w:after="0" w:line="360" w:lineRule="auto"/>
        <w:jc w:val="both"/>
      </w:pPr>
      <w:r>
        <w:rPr>
          <w:rFonts w:ascii="Times New Roman" w:hAnsi="Times New Roman" w:eastAsia="Times New Roman" w:cs="Times New Roman"/>
          <w:sz w:val="24"/>
          <w:szCs w:val="24"/>
        </w:rPr>
        <w:t>Detailed bills, full monthly records, every available plan, technical definitions, and legal terms can reasonably sit behind a link. The principle is that information required to decide whether further investigation is worthwhile should be visible immediately. Information needed only to verify or complete the decision can be one level deeper. Embedding everything would create its own form of overload.</w:t>
      </w:r>
    </w:p>
    <w:p w14:paraId="54F871BC">
      <w:pPr>
        <w:pStyle w:val="3"/>
        <w:spacing w:before="240" w:after="140" w:line="360" w:lineRule="auto"/>
        <w:outlineLvl w:val="1"/>
      </w:pPr>
      <w:r>
        <w:rPr>
          <w:rFonts w:ascii="Times New Roman" w:hAnsi="Times New Roman" w:eastAsia="Times New Roman" w:cs="Times New Roman"/>
          <w:b/>
          <w:bCs/>
          <w:i/>
          <w:iCs/>
          <w:color w:val="000000"/>
          <w:sz w:val="28"/>
          <w:szCs w:val="28"/>
        </w:rPr>
        <w:t>Section 5 — Decision effort and navigation</w:t>
      </w:r>
    </w:p>
    <w:p w14:paraId="594716AB">
      <w:pPr>
        <w:spacing w:after="0" w:line="360" w:lineRule="auto"/>
        <w:jc w:val="both"/>
      </w:pPr>
      <w:r>
        <w:rPr>
          <w:rFonts w:ascii="Times New Roman" w:hAnsi="Times New Roman" w:eastAsia="Times New Roman" w:cs="Times New Roman"/>
          <w:b/>
          <w:bCs/>
          <w:sz w:val="24"/>
          <w:szCs w:val="24"/>
        </w:rPr>
        <w:t>Q9.</w:t>
      </w:r>
      <w:r>
        <w:rPr>
          <w:rFonts w:ascii="Times New Roman" w:hAnsi="Times New Roman" w:eastAsia="Times New Roman" w:cs="Times New Roman"/>
          <w:sz w:val="24"/>
          <w:szCs w:val="24"/>
        </w:rPr>
        <w:t xml:space="preserve"> A separate link introduces a small but real completion cost. Customers can be distracted between the summary and the comparison page, may distrust the destination, forget credentials, encounter slow loading, or decide the task is not urgent. These effects are likely to be stronger on mobile devices, for customers with accessibility needs, and when the initial message does not show a concrete reason to continue.</w:t>
      </w:r>
    </w:p>
    <w:p w14:paraId="00CC290A">
      <w:pPr>
        <w:spacing w:after="0" w:line="360" w:lineRule="auto"/>
        <w:jc w:val="both"/>
      </w:pPr>
      <w:r>
        <w:rPr>
          <w:rFonts w:ascii="Times New Roman" w:hAnsi="Times New Roman" w:eastAsia="Times New Roman" w:cs="Times New Roman"/>
          <w:sz w:val="24"/>
          <w:szCs w:val="24"/>
        </w:rPr>
        <w:t>However, I would not assume that every separate link is materially harmful. A prominent link leading to a fast, accessible, pre-authenticated page with the customer's information already displayed may be easier than placing a complex comparison inside an email. The effect depends on the quality of the destination and the continuity between the two surfaces.</w:t>
      </w:r>
    </w:p>
    <w:p w14:paraId="3621BBE0">
      <w:pPr>
        <w:spacing w:after="0" w:line="360" w:lineRule="auto"/>
        <w:jc w:val="both"/>
      </w:pPr>
      <w:r>
        <w:rPr>
          <w:rFonts w:ascii="Times New Roman" w:hAnsi="Times New Roman" w:eastAsia="Times New Roman" w:cs="Times New Roman"/>
          <w:b/>
          <w:bCs/>
          <w:sz w:val="24"/>
          <w:szCs w:val="24"/>
        </w:rPr>
        <w:t>Q10.</w:t>
      </w:r>
      <w:r>
        <w:rPr>
          <w:rFonts w:ascii="Times New Roman" w:hAnsi="Times New Roman" w:eastAsia="Times New Roman" w:cs="Times New Roman"/>
          <w:sz w:val="24"/>
          <w:szCs w:val="24"/>
        </w:rPr>
        <w:t xml:space="preserve"> Several factors could matter more than the extra navigation:</w:t>
      </w:r>
    </w:p>
    <w:p w14:paraId="3F28FC1C">
      <w:pPr>
        <w:pStyle w:val="16"/>
        <w:numPr>
          <w:ilvl w:val="0"/>
          <w:numId w:val="1"/>
        </w:numPr>
        <w:spacing w:after="0" w:line="360" w:lineRule="auto"/>
      </w:pPr>
      <w:r>
        <w:rPr>
          <w:rFonts w:ascii="Times New Roman" w:hAnsi="Times New Roman" w:eastAsia="Times New Roman" w:cs="Times New Roman"/>
          <w:sz w:val="24"/>
          <w:szCs w:val="24"/>
        </w:rPr>
        <w:t>Whether the customer trusts the summary and recognises it as genuine.</w:t>
      </w:r>
    </w:p>
    <w:p w14:paraId="186A9F62">
      <w:pPr>
        <w:pStyle w:val="16"/>
        <w:numPr>
          <w:ilvl w:val="0"/>
          <w:numId w:val="1"/>
        </w:numPr>
        <w:spacing w:after="0" w:line="360" w:lineRule="auto"/>
      </w:pPr>
      <w:r>
        <w:rPr>
          <w:rFonts w:ascii="Times New Roman" w:hAnsi="Times New Roman" w:eastAsia="Times New Roman" w:cs="Times New Roman"/>
          <w:sz w:val="24"/>
          <w:szCs w:val="24"/>
        </w:rPr>
        <w:t>Whether prices and plan conditions are genuinely comparable.</w:t>
      </w:r>
    </w:p>
    <w:p w14:paraId="374BBF05">
      <w:pPr>
        <w:pStyle w:val="16"/>
        <w:numPr>
          <w:ilvl w:val="0"/>
          <w:numId w:val="1"/>
        </w:numPr>
        <w:spacing w:after="0" w:line="360" w:lineRule="auto"/>
      </w:pPr>
      <w:r>
        <w:rPr>
          <w:rFonts w:ascii="Times New Roman" w:hAnsi="Times New Roman" w:eastAsia="Times New Roman" w:cs="Times New Roman"/>
          <w:sz w:val="24"/>
          <w:szCs w:val="24"/>
        </w:rPr>
        <w:t>Whether the customer believes changing plans could reduce service quality.</w:t>
      </w:r>
    </w:p>
    <w:p w14:paraId="60E87B5B">
      <w:pPr>
        <w:pStyle w:val="16"/>
        <w:numPr>
          <w:ilvl w:val="0"/>
          <w:numId w:val="1"/>
        </w:numPr>
        <w:spacing w:after="0" w:line="360" w:lineRule="auto"/>
      </w:pPr>
      <w:r>
        <w:rPr>
          <w:rFonts w:ascii="Times New Roman" w:hAnsi="Times New Roman" w:eastAsia="Times New Roman" w:cs="Times New Roman"/>
          <w:sz w:val="24"/>
          <w:szCs w:val="24"/>
        </w:rPr>
        <w:t>The size and credibility of the potential benefit.</w:t>
      </w:r>
    </w:p>
    <w:p w14:paraId="0E9F7E6C">
      <w:pPr>
        <w:pStyle w:val="16"/>
        <w:numPr>
          <w:ilvl w:val="0"/>
          <w:numId w:val="1"/>
        </w:numPr>
        <w:spacing w:after="0" w:line="360" w:lineRule="auto"/>
      </w:pPr>
      <w:r>
        <w:rPr>
          <w:rFonts w:ascii="Times New Roman" w:hAnsi="Times New Roman" w:eastAsia="Times New Roman" w:cs="Times New Roman"/>
          <w:sz w:val="24"/>
          <w:szCs w:val="24"/>
        </w:rPr>
        <w:t>Contract restrictions or fear of losing discounts and features.</w:t>
      </w:r>
    </w:p>
    <w:p w14:paraId="7F2D5812">
      <w:pPr>
        <w:pStyle w:val="16"/>
        <w:numPr>
          <w:ilvl w:val="0"/>
          <w:numId w:val="1"/>
        </w:numPr>
        <w:spacing w:after="0" w:line="360" w:lineRule="auto"/>
      </w:pPr>
      <w:r>
        <w:rPr>
          <w:rFonts w:ascii="Times New Roman" w:hAnsi="Times New Roman" w:eastAsia="Times New Roman" w:cs="Times New Roman"/>
          <w:sz w:val="24"/>
          <w:szCs w:val="24"/>
        </w:rPr>
        <w:t>Choice overload from too many alternatives.</w:t>
      </w:r>
    </w:p>
    <w:p w14:paraId="5CFE0C63">
      <w:pPr>
        <w:pStyle w:val="16"/>
        <w:numPr>
          <w:ilvl w:val="0"/>
          <w:numId w:val="1"/>
        </w:numPr>
        <w:spacing w:after="0" w:line="360" w:lineRule="auto"/>
      </w:pPr>
      <w:r>
        <w:rPr>
          <w:rFonts w:ascii="Times New Roman" w:hAnsi="Times New Roman" w:eastAsia="Times New Roman" w:cs="Times New Roman"/>
          <w:sz w:val="24"/>
          <w:szCs w:val="24"/>
        </w:rPr>
        <w:t>Difficulty predicting future usage.</w:t>
      </w:r>
    </w:p>
    <w:p w14:paraId="13715515">
      <w:pPr>
        <w:pStyle w:val="16"/>
        <w:numPr>
          <w:ilvl w:val="0"/>
          <w:numId w:val="1"/>
        </w:numPr>
        <w:spacing w:after="0" w:line="360" w:lineRule="auto"/>
      </w:pPr>
      <w:r>
        <w:rPr>
          <w:rFonts w:ascii="Times New Roman" w:hAnsi="Times New Roman" w:eastAsia="Times New Roman" w:cs="Times New Roman"/>
          <w:sz w:val="24"/>
          <w:szCs w:val="24"/>
        </w:rPr>
        <w:t>Low urgency and status-quo bias.</w:t>
      </w:r>
    </w:p>
    <w:p w14:paraId="7DF52941">
      <w:pPr>
        <w:pStyle w:val="16"/>
        <w:numPr>
          <w:ilvl w:val="0"/>
          <w:numId w:val="1"/>
        </w:numPr>
        <w:spacing w:after="0" w:line="360" w:lineRule="auto"/>
      </w:pPr>
      <w:r>
        <w:rPr>
          <w:rFonts w:ascii="Times New Roman" w:hAnsi="Times New Roman" w:eastAsia="Times New Roman" w:cs="Times New Roman"/>
          <w:sz w:val="24"/>
          <w:szCs w:val="24"/>
        </w:rPr>
        <w:t>Accessibility, language, and digital-literacy barriers.</w:t>
      </w:r>
    </w:p>
    <w:p w14:paraId="5FD738B9">
      <w:pPr>
        <w:pStyle w:val="16"/>
        <w:numPr>
          <w:ilvl w:val="0"/>
          <w:numId w:val="1"/>
        </w:numPr>
        <w:spacing w:after="0" w:line="360" w:lineRule="auto"/>
      </w:pPr>
      <w:r>
        <w:rPr>
          <w:rFonts w:ascii="Times New Roman" w:hAnsi="Times New Roman" w:eastAsia="Times New Roman" w:cs="Times New Roman"/>
          <w:sz w:val="24"/>
          <w:szCs w:val="24"/>
        </w:rPr>
        <w:t>Whether the customer is the account holder or can authorise a change.</w:t>
      </w:r>
    </w:p>
    <w:p w14:paraId="29602391">
      <w:pPr>
        <w:spacing w:after="0" w:line="360" w:lineRule="auto"/>
        <w:jc w:val="both"/>
      </w:pPr>
      <w:r>
        <w:rPr>
          <w:rFonts w:ascii="Times New Roman" w:hAnsi="Times New Roman" w:eastAsia="Times New Roman" w:cs="Times New Roman"/>
          <w:sz w:val="24"/>
          <w:szCs w:val="24"/>
        </w:rPr>
        <w:t>A customer may willingly cross several screens to save a substantial, credible amount. They may ignore a perfectly embedded summary if the benefit is vague or the alternatives feel risky.</w:t>
      </w:r>
    </w:p>
    <w:p w14:paraId="7406DBE4">
      <w:pPr>
        <w:pStyle w:val="3"/>
        <w:spacing w:before="240" w:after="140" w:line="360" w:lineRule="auto"/>
        <w:outlineLvl w:val="1"/>
      </w:pPr>
      <w:r>
        <w:rPr>
          <w:rFonts w:ascii="Times New Roman" w:hAnsi="Times New Roman" w:eastAsia="Times New Roman" w:cs="Times New Roman"/>
          <w:b/>
          <w:bCs/>
          <w:i/>
          <w:iCs/>
          <w:color w:val="000000"/>
          <w:sz w:val="28"/>
          <w:szCs w:val="28"/>
        </w:rPr>
        <w:t>Section 6 — Personalised guidance, confidence and trust</w:t>
      </w:r>
    </w:p>
    <w:p w14:paraId="3E2D6CA4">
      <w:pPr>
        <w:spacing w:after="0" w:line="360" w:lineRule="auto"/>
        <w:jc w:val="both"/>
      </w:pPr>
      <w:r>
        <w:rPr>
          <w:rFonts w:ascii="Times New Roman" w:hAnsi="Times New Roman" w:eastAsia="Times New Roman" w:cs="Times New Roman"/>
          <w:b/>
          <w:bCs/>
          <w:sz w:val="24"/>
          <w:szCs w:val="24"/>
        </w:rPr>
        <w:t>Q11.</w:t>
      </w:r>
      <w:r>
        <w:rPr>
          <w:rFonts w:ascii="Times New Roman" w:hAnsi="Times New Roman" w:eastAsia="Times New Roman" w:cs="Times New Roman"/>
          <w:sz w:val="24"/>
          <w:szCs w:val="24"/>
        </w:rPr>
        <w:t xml:space="preserve"> A personalised recommendation could reduce comparison effort by turning raw history into a proposed action, particularly for customers who do not understand plan structures. It could improve confidence if it explains why staying is suitable as readily as it recommends switching.</w:t>
      </w:r>
    </w:p>
    <w:p w14:paraId="64A0ED12">
      <w:pPr>
        <w:spacing w:after="0" w:line="360" w:lineRule="auto"/>
        <w:jc w:val="both"/>
      </w:pPr>
      <w:r>
        <w:rPr>
          <w:rFonts w:ascii="Times New Roman" w:hAnsi="Times New Roman" w:eastAsia="Times New Roman" w:cs="Times New Roman"/>
          <w:sz w:val="24"/>
          <w:szCs w:val="24"/>
        </w:rPr>
        <w:t>There is also a danger of automation bias. Some customers may accept a recommendation without understanding assumptions or considering future changes. Others may distrust it precisely because the provider benefits financially from the decision. Personalisation is therefore not automatically better than neutral decision support. A well-designed usage snapshot plus a small set of relevant alternatives may sometimes be more responsible than a definitive "best plan" label.</w:t>
      </w:r>
    </w:p>
    <w:p w14:paraId="044C5DB1">
      <w:pPr>
        <w:spacing w:after="0" w:line="360" w:lineRule="auto"/>
        <w:jc w:val="both"/>
      </w:pPr>
      <w:r>
        <w:rPr>
          <w:rFonts w:ascii="Times New Roman" w:hAnsi="Times New Roman" w:eastAsia="Times New Roman" w:cs="Times New Roman"/>
          <w:b/>
          <w:bCs/>
          <w:sz w:val="24"/>
          <w:szCs w:val="24"/>
        </w:rPr>
        <w:t>Q12.</w:t>
      </w:r>
      <w:r>
        <w:rPr>
          <w:rFonts w:ascii="Times New Roman" w:hAnsi="Times New Roman" w:eastAsia="Times New Roman" w:cs="Times New Roman"/>
          <w:sz w:val="24"/>
          <w:szCs w:val="24"/>
        </w:rPr>
        <w:t xml:space="preserve"> A trustworthy recommendation should disclose:</w:t>
      </w:r>
    </w:p>
    <w:p w14:paraId="0F4896EC">
      <w:pPr>
        <w:pStyle w:val="16"/>
        <w:numPr>
          <w:ilvl w:val="0"/>
          <w:numId w:val="1"/>
        </w:numPr>
        <w:spacing w:after="0" w:line="360" w:lineRule="auto"/>
      </w:pPr>
      <w:r>
        <w:rPr>
          <w:rFonts w:ascii="Times New Roman" w:hAnsi="Times New Roman" w:eastAsia="Times New Roman" w:cs="Times New Roman"/>
          <w:sz w:val="24"/>
          <w:szCs w:val="24"/>
        </w:rPr>
        <w:t>The historical period and data used.</w:t>
      </w:r>
    </w:p>
    <w:p w14:paraId="5DEB143C">
      <w:pPr>
        <w:pStyle w:val="16"/>
        <w:numPr>
          <w:ilvl w:val="0"/>
          <w:numId w:val="1"/>
        </w:numPr>
        <w:spacing w:after="0" w:line="360" w:lineRule="auto"/>
      </w:pPr>
      <w:r>
        <w:rPr>
          <w:rFonts w:ascii="Times New Roman" w:hAnsi="Times New Roman" w:eastAsia="Times New Roman" w:cs="Times New Roman"/>
          <w:sz w:val="24"/>
          <w:szCs w:val="24"/>
        </w:rPr>
        <w:t>The customer behaviours that drove the result.</w:t>
      </w:r>
    </w:p>
    <w:p w14:paraId="506D56C0">
      <w:pPr>
        <w:pStyle w:val="16"/>
        <w:numPr>
          <w:ilvl w:val="0"/>
          <w:numId w:val="1"/>
        </w:numPr>
        <w:spacing w:after="0" w:line="360" w:lineRule="auto"/>
      </w:pPr>
      <w:r>
        <w:rPr>
          <w:rFonts w:ascii="Times New Roman" w:hAnsi="Times New Roman" w:eastAsia="Times New Roman" w:cs="Times New Roman"/>
          <w:sz w:val="24"/>
          <w:szCs w:val="24"/>
        </w:rPr>
        <w:t>Assumptions about future usage.</w:t>
      </w:r>
    </w:p>
    <w:p w14:paraId="0EAF2093">
      <w:pPr>
        <w:pStyle w:val="16"/>
        <w:numPr>
          <w:ilvl w:val="0"/>
          <w:numId w:val="1"/>
        </w:numPr>
        <w:spacing w:after="0" w:line="360" w:lineRule="auto"/>
      </w:pPr>
      <w:r>
        <w:rPr>
          <w:rFonts w:ascii="Times New Roman" w:hAnsi="Times New Roman" w:eastAsia="Times New Roman" w:cs="Times New Roman"/>
          <w:sz w:val="24"/>
          <w:szCs w:val="24"/>
        </w:rPr>
        <w:t>Expected monthly and annual cost under each relevant option.</w:t>
      </w:r>
    </w:p>
    <w:p w14:paraId="2F7A1AB5">
      <w:pPr>
        <w:pStyle w:val="16"/>
        <w:numPr>
          <w:ilvl w:val="0"/>
          <w:numId w:val="1"/>
        </w:numPr>
        <w:spacing w:after="0" w:line="360" w:lineRule="auto"/>
      </w:pPr>
      <w:r>
        <w:rPr>
          <w:rFonts w:ascii="Times New Roman" w:hAnsi="Times New Roman" w:eastAsia="Times New Roman" w:cs="Times New Roman"/>
          <w:sz w:val="24"/>
          <w:szCs w:val="24"/>
        </w:rPr>
        <w:t>Whether discounts or promotional prices expire.</w:t>
      </w:r>
    </w:p>
    <w:p w14:paraId="687B0FD1">
      <w:pPr>
        <w:pStyle w:val="16"/>
        <w:numPr>
          <w:ilvl w:val="0"/>
          <w:numId w:val="1"/>
        </w:numPr>
        <w:spacing w:after="0" w:line="360" w:lineRule="auto"/>
      </w:pPr>
      <w:r>
        <w:rPr>
          <w:rFonts w:ascii="Times New Roman" w:hAnsi="Times New Roman" w:eastAsia="Times New Roman" w:cs="Times New Roman"/>
          <w:sz w:val="24"/>
          <w:szCs w:val="24"/>
        </w:rPr>
        <w:t>Important feature trade-offs.</w:t>
      </w:r>
    </w:p>
    <w:p w14:paraId="4BC278E9">
      <w:pPr>
        <w:pStyle w:val="16"/>
        <w:numPr>
          <w:ilvl w:val="0"/>
          <w:numId w:val="1"/>
        </w:numPr>
        <w:spacing w:after="0" w:line="360" w:lineRule="auto"/>
      </w:pPr>
      <w:r>
        <w:rPr>
          <w:rFonts w:ascii="Times New Roman" w:hAnsi="Times New Roman" w:eastAsia="Times New Roman" w:cs="Times New Roman"/>
          <w:sz w:val="24"/>
          <w:szCs w:val="24"/>
        </w:rPr>
        <w:t>The size of any safety margin for variable usage.</w:t>
      </w:r>
    </w:p>
    <w:p w14:paraId="141430A9">
      <w:pPr>
        <w:pStyle w:val="16"/>
        <w:numPr>
          <w:ilvl w:val="0"/>
          <w:numId w:val="1"/>
        </w:numPr>
        <w:spacing w:after="0" w:line="360" w:lineRule="auto"/>
      </w:pPr>
      <w:r>
        <w:rPr>
          <w:rFonts w:ascii="Times New Roman" w:hAnsi="Times New Roman" w:eastAsia="Times New Roman" w:cs="Times New Roman"/>
          <w:sz w:val="24"/>
          <w:szCs w:val="24"/>
        </w:rPr>
        <w:t>Circumstances in which the recommendation would change.</w:t>
      </w:r>
    </w:p>
    <w:p w14:paraId="78D08733">
      <w:pPr>
        <w:pStyle w:val="16"/>
        <w:numPr>
          <w:ilvl w:val="0"/>
          <w:numId w:val="1"/>
        </w:numPr>
        <w:spacing w:after="0" w:line="360" w:lineRule="auto"/>
      </w:pPr>
      <w:r>
        <w:rPr>
          <w:rFonts w:ascii="Times New Roman" w:hAnsi="Times New Roman" w:eastAsia="Times New Roman" w:cs="Times New Roman"/>
          <w:sz w:val="24"/>
          <w:szCs w:val="24"/>
        </w:rPr>
        <w:t>Whether all eligible plans were considered.</w:t>
      </w:r>
    </w:p>
    <w:p w14:paraId="52E32F02">
      <w:pPr>
        <w:pStyle w:val="16"/>
        <w:numPr>
          <w:ilvl w:val="0"/>
          <w:numId w:val="1"/>
        </w:numPr>
        <w:spacing w:after="0" w:line="360" w:lineRule="auto"/>
      </w:pPr>
      <w:r>
        <w:rPr>
          <w:rFonts w:ascii="Times New Roman" w:hAnsi="Times New Roman" w:eastAsia="Times New Roman" w:cs="Times New Roman"/>
          <w:sz w:val="24"/>
          <w:szCs w:val="24"/>
        </w:rPr>
        <w:t>A straightforward way to inspect the calculation or choose different assumptions.</w:t>
      </w:r>
    </w:p>
    <w:p w14:paraId="39D858E7">
      <w:pPr>
        <w:spacing w:after="0" w:line="360" w:lineRule="auto"/>
        <w:jc w:val="both"/>
      </w:pPr>
      <w:r>
        <w:rPr>
          <w:rFonts w:ascii="Times New Roman" w:hAnsi="Times New Roman" w:eastAsia="Times New Roman" w:cs="Times New Roman"/>
          <w:sz w:val="24"/>
          <w:szCs w:val="24"/>
        </w:rPr>
        <w:t>The language should reflect uncertainty. "Based on your last 12 months, this plan is estimated to cost…" is more defensible than "This is your perfect plan."</w:t>
      </w:r>
    </w:p>
    <w:p w14:paraId="5CA93F09">
      <w:pPr>
        <w:spacing w:after="0" w:line="360" w:lineRule="auto"/>
        <w:jc w:val="both"/>
      </w:pPr>
      <w:r>
        <w:rPr>
          <w:rFonts w:ascii="Times New Roman" w:hAnsi="Times New Roman" w:eastAsia="Times New Roman" w:cs="Times New Roman"/>
          <w:b/>
          <w:bCs/>
          <w:sz w:val="24"/>
          <w:szCs w:val="24"/>
        </w:rPr>
        <w:t>Q13.</w:t>
      </w:r>
      <w:r>
        <w:rPr>
          <w:rFonts w:ascii="Times New Roman" w:hAnsi="Times New Roman" w:eastAsia="Times New Roman" w:cs="Times New Roman"/>
          <w:sz w:val="24"/>
          <w:szCs w:val="24"/>
        </w:rPr>
        <w:t xml:space="preserve"> Guidance may feel unfair or intrusive if it uses unexpected data, infers sensitive circumstances, gives different customers unexplained offers, or withholds cheaper eligible plans. It may appear commercially biased if the recommendation optimises revenue, promotes longer commitments, emphasises headline discounts, or consistently proposes upgrades while rarely recommending a cheaper plan or staying put.</w:t>
      </w:r>
    </w:p>
    <w:p w14:paraId="5EC897E4">
      <w:pPr>
        <w:spacing w:after="0" w:line="360" w:lineRule="auto"/>
        <w:jc w:val="both"/>
      </w:pPr>
      <w:r>
        <w:rPr>
          <w:rFonts w:ascii="Times New Roman" w:hAnsi="Times New Roman" w:eastAsia="Times New Roman" w:cs="Times New Roman"/>
          <w:sz w:val="24"/>
          <w:szCs w:val="24"/>
        </w:rPr>
        <w:t>Trust would also be damaged if customers cannot tell whether the system considered commissions, retention targets, sponsored placements, or expiring promotions. Responsible guidance should optimise an explicitly customer-relevant outcome and disclose the basis of ranking.</w:t>
      </w:r>
    </w:p>
    <w:p w14:paraId="25C0FC30">
      <w:pPr>
        <w:pStyle w:val="3"/>
        <w:spacing w:before="240" w:after="140" w:line="360" w:lineRule="auto"/>
        <w:outlineLvl w:val="1"/>
      </w:pPr>
      <w:r>
        <w:rPr>
          <w:rFonts w:ascii="Times New Roman" w:hAnsi="Times New Roman" w:eastAsia="Times New Roman" w:cs="Times New Roman"/>
          <w:b/>
          <w:bCs/>
          <w:i/>
          <w:iCs/>
          <w:color w:val="000000"/>
          <w:sz w:val="28"/>
          <w:szCs w:val="28"/>
        </w:rPr>
        <w:t>Section 7 — Feasibility and controls</w:t>
      </w:r>
    </w:p>
    <w:p w14:paraId="35873903">
      <w:pPr>
        <w:spacing w:after="0" w:line="360" w:lineRule="auto"/>
        <w:jc w:val="both"/>
      </w:pPr>
      <w:r>
        <w:rPr>
          <w:rFonts w:ascii="Times New Roman" w:hAnsi="Times New Roman" w:eastAsia="Times New Roman" w:cs="Times New Roman"/>
          <w:b/>
          <w:bCs/>
          <w:sz w:val="24"/>
          <w:szCs w:val="24"/>
        </w:rPr>
        <w:t>Q14.</w:t>
      </w:r>
      <w:r>
        <w:rPr>
          <w:rFonts w:ascii="Times New Roman" w:hAnsi="Times New Roman" w:eastAsia="Times New Roman" w:cs="Times New Roman"/>
          <w:sz w:val="24"/>
          <w:szCs w:val="24"/>
        </w:rPr>
        <w:t xml:space="preserve"> Reliable delivery would require accurate and timely usage, billing, entitlement, contract, and plan-catalogue data; consistent definitions across channels; a comparison method that calculates total expected cost; clear eligibility rules; and an accessible interface that works across devices.</w:t>
      </w:r>
    </w:p>
    <w:p w14:paraId="332B42D8">
      <w:pPr>
        <w:spacing w:after="0" w:line="360" w:lineRule="auto"/>
        <w:jc w:val="both"/>
      </w:pPr>
      <w:r>
        <w:rPr>
          <w:rFonts w:ascii="Times New Roman" w:hAnsi="Times New Roman" w:eastAsia="Times New Roman" w:cs="Times New Roman"/>
          <w:sz w:val="24"/>
          <w:szCs w:val="24"/>
        </w:rPr>
        <w:t>Responsibilities would include validating input data, maintaining current plan rules, testing recommendation logic, approving customer-facing explanations, monitoring unequal outcomes, handling disputes, protecting privacy, and providing a route to human assistance. A recommendation also needs versioning so the provider can reconstruct what data, rules, and offers produced a particular result.</w:t>
      </w:r>
    </w:p>
    <w:p w14:paraId="526A9E36">
      <w:pPr>
        <w:spacing w:after="0" w:line="360" w:lineRule="auto"/>
        <w:jc w:val="both"/>
      </w:pPr>
      <w:r>
        <w:rPr>
          <w:rFonts w:ascii="Times New Roman" w:hAnsi="Times New Roman" w:eastAsia="Times New Roman" w:cs="Times New Roman"/>
          <w:b/>
          <w:bCs/>
          <w:sz w:val="24"/>
          <w:szCs w:val="24"/>
        </w:rPr>
        <w:t>Q15.</w:t>
      </w:r>
      <w:r>
        <w:rPr>
          <w:rFonts w:ascii="Times New Roman" w:hAnsi="Times New Roman" w:eastAsia="Times New Roman" w:cs="Times New Roman"/>
          <w:sz w:val="24"/>
          <w:szCs w:val="24"/>
        </w:rPr>
        <w:t xml:space="preserve"> Important risks and controls include:</w:t>
      </w:r>
    </w:p>
    <w:p w14:paraId="0A2B16D9">
      <w:pPr>
        <w:pStyle w:val="16"/>
        <w:numPr>
          <w:ilvl w:val="0"/>
          <w:numId w:val="1"/>
        </w:numPr>
        <w:spacing w:after="0" w:line="360" w:lineRule="auto"/>
      </w:pPr>
      <w:r>
        <w:rPr>
          <w:rFonts w:ascii="Times New Roman" w:hAnsi="Times New Roman" w:eastAsia="Times New Roman" w:cs="Times New Roman"/>
          <w:sz w:val="24"/>
          <w:szCs w:val="24"/>
        </w:rPr>
        <w:t>Incorrect or delayed usage data producing unsuitable advice.</w:t>
      </w:r>
    </w:p>
    <w:p w14:paraId="3D8A1394">
      <w:pPr>
        <w:pStyle w:val="16"/>
        <w:numPr>
          <w:ilvl w:val="0"/>
          <w:numId w:val="1"/>
        </w:numPr>
        <w:spacing w:after="0" w:line="360" w:lineRule="auto"/>
      </w:pPr>
      <w:r>
        <w:rPr>
          <w:rFonts w:ascii="Times New Roman" w:hAnsi="Times New Roman" w:eastAsia="Times New Roman" w:cs="Times New Roman"/>
          <w:sz w:val="24"/>
          <w:szCs w:val="24"/>
        </w:rPr>
        <w:t>Atypical history, such as travel or temporary hardship, being treated as normal.</w:t>
      </w:r>
    </w:p>
    <w:p w14:paraId="19FB925E">
      <w:pPr>
        <w:pStyle w:val="16"/>
        <w:numPr>
          <w:ilvl w:val="0"/>
          <w:numId w:val="1"/>
        </w:numPr>
        <w:spacing w:after="0" w:line="360" w:lineRule="auto"/>
      </w:pPr>
      <w:r>
        <w:rPr>
          <w:rFonts w:ascii="Times New Roman" w:hAnsi="Times New Roman" w:eastAsia="Times New Roman" w:cs="Times New Roman"/>
          <w:sz w:val="24"/>
          <w:szCs w:val="24"/>
        </w:rPr>
        <w:t>Missing add-ons, family sharing, bundled services, or future price changes.</w:t>
      </w:r>
    </w:p>
    <w:p w14:paraId="4C4DA998">
      <w:pPr>
        <w:pStyle w:val="16"/>
        <w:numPr>
          <w:ilvl w:val="0"/>
          <w:numId w:val="1"/>
        </w:numPr>
        <w:spacing w:after="0" w:line="360" w:lineRule="auto"/>
      </w:pPr>
      <w:r>
        <w:rPr>
          <w:rFonts w:ascii="Times New Roman" w:hAnsi="Times New Roman" w:eastAsia="Times New Roman" w:cs="Times New Roman"/>
          <w:sz w:val="24"/>
          <w:szCs w:val="24"/>
        </w:rPr>
        <w:t>Conflicting information across the summary, website, retail, and contact centre.</w:t>
      </w:r>
    </w:p>
    <w:p w14:paraId="1B060643">
      <w:pPr>
        <w:pStyle w:val="16"/>
        <w:numPr>
          <w:ilvl w:val="0"/>
          <w:numId w:val="1"/>
        </w:numPr>
        <w:spacing w:after="0" w:line="360" w:lineRule="auto"/>
      </w:pPr>
      <w:r>
        <w:rPr>
          <w:rFonts w:ascii="Times New Roman" w:hAnsi="Times New Roman" w:eastAsia="Times New Roman" w:cs="Times New Roman"/>
          <w:sz w:val="24"/>
          <w:szCs w:val="24"/>
        </w:rPr>
        <w:t>Staff being unable to explain or override an automated result.</w:t>
      </w:r>
    </w:p>
    <w:p w14:paraId="5216D7AB">
      <w:pPr>
        <w:pStyle w:val="16"/>
        <w:numPr>
          <w:ilvl w:val="0"/>
          <w:numId w:val="1"/>
        </w:numPr>
        <w:spacing w:after="0" w:line="360" w:lineRule="auto"/>
      </w:pPr>
      <w:r>
        <w:rPr>
          <w:rFonts w:ascii="Times New Roman" w:hAnsi="Times New Roman" w:eastAsia="Times New Roman" w:cs="Times New Roman"/>
          <w:sz w:val="24"/>
          <w:szCs w:val="24"/>
        </w:rPr>
        <w:t>Increased support demand when customers question recommendations.</w:t>
      </w:r>
    </w:p>
    <w:p w14:paraId="1CD7DAE6">
      <w:pPr>
        <w:pStyle w:val="16"/>
        <w:numPr>
          <w:ilvl w:val="0"/>
          <w:numId w:val="1"/>
        </w:numPr>
        <w:spacing w:after="0" w:line="360" w:lineRule="auto"/>
      </w:pPr>
      <w:r>
        <w:rPr>
          <w:rFonts w:ascii="Times New Roman" w:hAnsi="Times New Roman" w:eastAsia="Times New Roman" w:cs="Times New Roman"/>
          <w:sz w:val="24"/>
          <w:szCs w:val="24"/>
        </w:rPr>
        <w:t>Excessive collection, retention, or secondary use of behavioural data.</w:t>
      </w:r>
    </w:p>
    <w:p w14:paraId="56401681">
      <w:pPr>
        <w:pStyle w:val="16"/>
        <w:numPr>
          <w:ilvl w:val="0"/>
          <w:numId w:val="1"/>
        </w:numPr>
        <w:spacing w:after="0" w:line="360" w:lineRule="auto"/>
      </w:pPr>
      <w:r>
        <w:rPr>
          <w:rFonts w:ascii="Times New Roman" w:hAnsi="Times New Roman" w:eastAsia="Times New Roman" w:cs="Times New Roman"/>
          <w:sz w:val="24"/>
          <w:szCs w:val="24"/>
        </w:rPr>
        <w:t>Exposure of account details through insecure messages or shared devices.</w:t>
      </w:r>
    </w:p>
    <w:p w14:paraId="012F95D3">
      <w:pPr>
        <w:pStyle w:val="16"/>
        <w:numPr>
          <w:ilvl w:val="0"/>
          <w:numId w:val="1"/>
        </w:numPr>
        <w:spacing w:after="0" w:line="360" w:lineRule="auto"/>
      </w:pPr>
      <w:r>
        <w:rPr>
          <w:rFonts w:ascii="Times New Roman" w:hAnsi="Times New Roman" w:eastAsia="Times New Roman" w:cs="Times New Roman"/>
          <w:sz w:val="24"/>
          <w:szCs w:val="24"/>
        </w:rPr>
        <w:t>Ranking logic that favours provider revenue over customer suitability.</w:t>
      </w:r>
    </w:p>
    <w:p w14:paraId="42A38816">
      <w:pPr>
        <w:pStyle w:val="16"/>
        <w:numPr>
          <w:ilvl w:val="0"/>
          <w:numId w:val="1"/>
        </w:numPr>
        <w:spacing w:after="0" w:line="360" w:lineRule="auto"/>
      </w:pPr>
      <w:r>
        <w:rPr>
          <w:rFonts w:ascii="Times New Roman" w:hAnsi="Times New Roman" w:eastAsia="Times New Roman" w:cs="Times New Roman"/>
          <w:sz w:val="24"/>
          <w:szCs w:val="24"/>
        </w:rPr>
        <w:t>Unequal performance for customers with irregular use, accessibility needs, multiple services, or limited digital skills.</w:t>
      </w:r>
    </w:p>
    <w:p w14:paraId="14F2BE5A">
      <w:pPr>
        <w:spacing w:after="0" w:line="360" w:lineRule="auto"/>
        <w:jc w:val="both"/>
      </w:pPr>
      <w:r>
        <w:rPr>
          <w:rFonts w:ascii="Times New Roman" w:hAnsi="Times New Roman" w:eastAsia="Times New Roman" w:cs="Times New Roman"/>
          <w:sz w:val="24"/>
          <w:szCs w:val="24"/>
        </w:rPr>
        <w:t>Controls should include data-minimisation rules, secure authentication before exposing sensitive detail, explicit calculation standards, bias and outcome monitoring, representative usability testing, manual review for unusual cases, accessible alternatives, logging, expiry dates on recommendations, and a clear correction and complaints process.</w:t>
      </w:r>
    </w:p>
    <w:p w14:paraId="38EB7ACF">
      <w:pPr>
        <w:pStyle w:val="3"/>
        <w:spacing w:before="240" w:after="140" w:line="360" w:lineRule="auto"/>
        <w:outlineLvl w:val="1"/>
      </w:pPr>
      <w:r>
        <w:rPr>
          <w:rFonts w:ascii="Times New Roman" w:hAnsi="Times New Roman" w:eastAsia="Times New Roman" w:cs="Times New Roman"/>
          <w:b/>
          <w:bCs/>
          <w:i/>
          <w:iCs/>
          <w:color w:val="000000"/>
          <w:sz w:val="28"/>
          <w:szCs w:val="28"/>
        </w:rPr>
        <w:t>Section 8 — Outcomes and measurement</w:t>
      </w:r>
    </w:p>
    <w:p w14:paraId="198880EF">
      <w:pPr>
        <w:spacing w:after="0" w:line="360" w:lineRule="auto"/>
        <w:jc w:val="both"/>
      </w:pPr>
      <w:r>
        <w:rPr>
          <w:rFonts w:ascii="Times New Roman" w:hAnsi="Times New Roman" w:eastAsia="Times New Roman" w:cs="Times New Roman"/>
          <w:b/>
          <w:bCs/>
          <w:sz w:val="24"/>
          <w:szCs w:val="24"/>
        </w:rPr>
        <w:t>Q16.</w:t>
      </w:r>
      <w:r>
        <w:rPr>
          <w:rFonts w:ascii="Times New Roman" w:hAnsi="Times New Roman" w:eastAsia="Times New Roman" w:cs="Times New Roman"/>
          <w:sz w:val="24"/>
          <w:szCs w:val="24"/>
        </w:rPr>
        <w:t xml:space="preserve"> The best observable outcome would be improved decision quality, not simply more clicks or plan changes. One practical indicator would combine whether customers choose a plan that fits their subsequent usage and cost with whether they understand and remain satisfied with the choice after an appropriate period.</w:t>
      </w:r>
    </w:p>
    <w:p w14:paraId="2778D232">
      <w:pPr>
        <w:spacing w:after="0" w:line="360" w:lineRule="auto"/>
        <w:jc w:val="both"/>
      </w:pPr>
      <w:r>
        <w:rPr>
          <w:rFonts w:ascii="Times New Roman" w:hAnsi="Times New Roman" w:eastAsia="Times New Roman" w:cs="Times New Roman"/>
          <w:sz w:val="24"/>
          <w:szCs w:val="24"/>
        </w:rPr>
        <w:t>This could be assessed through later excess charges, avoidable unused allowance, rapid reversal or repeat switching, post-decision regret, and a short comprehension check. No single measure proves that a customer selected the objectively "best" plan, because suitability also includes preferences such as certainty, flexibility, and service features.</w:t>
      </w:r>
    </w:p>
    <w:p w14:paraId="7E096F50">
      <w:pPr>
        <w:spacing w:after="0" w:line="360" w:lineRule="auto"/>
        <w:jc w:val="both"/>
      </w:pPr>
      <w:r>
        <w:rPr>
          <w:rFonts w:ascii="Times New Roman" w:hAnsi="Times New Roman" w:eastAsia="Times New Roman" w:cs="Times New Roman"/>
          <w:b/>
          <w:bCs/>
          <w:sz w:val="24"/>
          <w:szCs w:val="24"/>
        </w:rPr>
        <w:t>Q17.</w:t>
      </w:r>
      <w:r>
        <w:rPr>
          <w:rFonts w:ascii="Times New Roman" w:hAnsi="Times New Roman" w:eastAsia="Times New Roman" w:cs="Times New Roman"/>
          <w:sz w:val="24"/>
          <w:szCs w:val="24"/>
        </w:rPr>
        <w:t xml:space="preserve"> A key guardrail should be customer detriment after the decision. For example, Spark should monitor unexpected bill increases, excess-use charges, loss of valued features, complaints, recommendation reversals, and regret — not just review completion or conversion.</w:t>
      </w:r>
    </w:p>
    <w:p w14:paraId="2BB33FCE">
      <w:pPr>
        <w:spacing w:after="0" w:line="360" w:lineRule="auto"/>
        <w:jc w:val="both"/>
      </w:pPr>
      <w:r>
        <w:rPr>
          <w:rFonts w:ascii="Times New Roman" w:hAnsi="Times New Roman" w:eastAsia="Times New Roman" w:cs="Times New Roman"/>
          <w:sz w:val="24"/>
          <w:szCs w:val="24"/>
        </w:rPr>
        <w:t>It should also compare outcomes across customer groups. A higher completion rate could conceal worse decisions among people with irregular usage or lower digital confidence. Another essential guardrail is calibrated understanding: customers should know why the option fits and what could make it unsuitable.</w:t>
      </w:r>
    </w:p>
    <w:p w14:paraId="44F5D3A5">
      <w:pPr>
        <w:pStyle w:val="3"/>
        <w:spacing w:before="240" w:after="140" w:line="360" w:lineRule="auto"/>
        <w:outlineLvl w:val="1"/>
      </w:pPr>
      <w:r>
        <w:rPr>
          <w:rFonts w:ascii="Times New Roman" w:hAnsi="Times New Roman" w:eastAsia="Times New Roman" w:cs="Times New Roman"/>
          <w:b/>
          <w:bCs/>
          <w:i/>
          <w:iCs/>
          <w:color w:val="000000"/>
          <w:sz w:val="28"/>
          <w:szCs w:val="28"/>
        </w:rPr>
        <w:t>Section 9 — Hypothesis challenge and alternatives</w:t>
      </w:r>
    </w:p>
    <w:p w14:paraId="2AFF9B72">
      <w:pPr>
        <w:spacing w:after="0" w:line="360" w:lineRule="auto"/>
        <w:jc w:val="both"/>
      </w:pPr>
      <w:r>
        <w:rPr>
          <w:rFonts w:ascii="Times New Roman" w:hAnsi="Times New Roman" w:eastAsia="Times New Roman" w:cs="Times New Roman"/>
          <w:b/>
          <w:bCs/>
          <w:sz w:val="24"/>
          <w:szCs w:val="24"/>
        </w:rPr>
        <w:t>Q18.</w:t>
      </w:r>
      <w:r>
        <w:rPr>
          <w:rFonts w:ascii="Times New Roman" w:hAnsi="Times New Roman" w:eastAsia="Times New Roman" w:cs="Times New Roman"/>
          <w:sz w:val="24"/>
          <w:szCs w:val="24"/>
        </w:rPr>
        <w:t xml:space="preserve"> The hypothesis is plausible because the AS-IS design separates the trigger from the evidence needed to act. Customers must incur navigation and interpretation costs before seeing whether a review offers any benefit. Behavioural research generally suggests that each additional step can increase abandonment, while missing personalised context increases the mental effort required to compare options. Embedded history could make the relevance of the task immediately visible, and guidance could translate complex data into a manageable choice.</w:t>
      </w:r>
    </w:p>
    <w:p w14:paraId="6029A77E">
      <w:pPr>
        <w:spacing w:after="0" w:line="360" w:lineRule="auto"/>
        <w:jc w:val="both"/>
      </w:pPr>
      <w:r>
        <w:rPr>
          <w:rFonts w:ascii="Times New Roman" w:hAnsi="Times New Roman" w:eastAsia="Times New Roman" w:cs="Times New Roman"/>
          <w:sz w:val="24"/>
          <w:szCs w:val="24"/>
        </w:rPr>
        <w:t>The two proposed gaps may also interact. Embedded history without interpretation may still confuse customers, while a recommendation without visible evidence may not be trusted. Showing both could improve the continuity from evidence to judgement.</w:t>
      </w:r>
    </w:p>
    <w:p w14:paraId="72A1C378">
      <w:pPr>
        <w:spacing w:after="0" w:line="360" w:lineRule="auto"/>
        <w:jc w:val="both"/>
      </w:pPr>
      <w:r>
        <w:rPr>
          <w:rFonts w:ascii="Times New Roman" w:hAnsi="Times New Roman" w:eastAsia="Times New Roman" w:cs="Times New Roman"/>
          <w:b/>
          <w:bCs/>
          <w:sz w:val="24"/>
          <w:szCs w:val="24"/>
        </w:rPr>
        <w:t>Q19.</w:t>
      </w:r>
      <w:r>
        <w:rPr>
          <w:rFonts w:ascii="Times New Roman" w:hAnsi="Times New Roman" w:eastAsia="Times New Roman" w:cs="Times New Roman"/>
          <w:sz w:val="24"/>
          <w:szCs w:val="24"/>
        </w:rPr>
        <w:t xml:space="preserve"> The hypothesis could be disproved if customers already understand their use, regard the linked page as easy, or primarily stay because switching offers little benefit. It could also fail if the real causes of difficulty are opaque pricing, too many plans, fear of losing benefits, contract restrictions, low trust, or uncertainty about future needs.</w:t>
      </w:r>
    </w:p>
    <w:p w14:paraId="0A204EB0">
      <w:pPr>
        <w:spacing w:after="0" w:line="360" w:lineRule="auto"/>
        <w:jc w:val="both"/>
      </w:pPr>
      <w:r>
        <w:rPr>
          <w:rFonts w:ascii="Times New Roman" w:hAnsi="Times New Roman" w:eastAsia="Times New Roman" w:cs="Times New Roman"/>
          <w:sz w:val="24"/>
          <w:szCs w:val="24"/>
        </w:rPr>
        <w:t>Measured evidence against the hypothesis would include no meaningful difference in comprehension, confidence, abandonment, or subsequent plan fit when history and guidance are embedded. Another possibility is that personal recommendations improve completion but worsen decision quality through over-reliance. Effects may also be concentrated in a small segment; stable, low-variance users may find the current process adequate.</w:t>
      </w:r>
    </w:p>
    <w:p w14:paraId="064FD831">
      <w:pPr>
        <w:spacing w:after="0" w:line="360" w:lineRule="auto"/>
        <w:jc w:val="both"/>
      </w:pPr>
      <w:r>
        <w:rPr>
          <w:rFonts w:ascii="Times New Roman" w:hAnsi="Times New Roman" w:eastAsia="Times New Roman" w:cs="Times New Roman"/>
          <w:sz w:val="24"/>
          <w:szCs w:val="24"/>
        </w:rPr>
        <w:t>The causal effects should be separated with a randomised factorial test rather than evaluated as one bundled redesign. A 2×2×2 design could independently vary:</w:t>
      </w:r>
    </w:p>
    <w:p w14:paraId="331231C2">
      <w:pPr>
        <w:pStyle w:val="16"/>
        <w:numPr>
          <w:ilvl w:val="0"/>
          <w:numId w:val="1"/>
        </w:numPr>
        <w:spacing w:after="0" w:line="360" w:lineRule="auto"/>
      </w:pPr>
      <w:r>
        <w:rPr>
          <w:rFonts w:ascii="Times New Roman" w:hAnsi="Times New Roman" w:eastAsia="Times New Roman" w:cs="Times New Roman"/>
          <w:sz w:val="24"/>
          <w:szCs w:val="24"/>
        </w:rPr>
        <w:t>Usage and spending snapshot: absent versus embedded.</w:t>
      </w:r>
    </w:p>
    <w:p w14:paraId="3E9628FE">
      <w:pPr>
        <w:pStyle w:val="16"/>
        <w:numPr>
          <w:ilvl w:val="0"/>
          <w:numId w:val="1"/>
        </w:numPr>
        <w:spacing w:after="0" w:line="360" w:lineRule="auto"/>
      </w:pPr>
      <w:r>
        <w:rPr>
          <w:rFonts w:ascii="Times New Roman" w:hAnsi="Times New Roman" w:eastAsia="Times New Roman" w:cs="Times New Roman"/>
          <w:sz w:val="24"/>
          <w:szCs w:val="24"/>
        </w:rPr>
        <w:t>Personalised recommendation: absent versus present with rationale.</w:t>
      </w:r>
    </w:p>
    <w:p w14:paraId="35457DAF">
      <w:pPr>
        <w:pStyle w:val="16"/>
        <w:numPr>
          <w:ilvl w:val="0"/>
          <w:numId w:val="1"/>
        </w:numPr>
        <w:spacing w:after="0" w:line="360" w:lineRule="auto"/>
      </w:pPr>
      <w:r>
        <w:rPr>
          <w:rFonts w:ascii="Times New Roman" w:hAnsi="Times New Roman" w:eastAsia="Times New Roman" w:cs="Times New Roman"/>
          <w:sz w:val="24"/>
          <w:szCs w:val="24"/>
        </w:rPr>
        <w:t>Navigation: separate destination versus an inline or same-page comparison.</w:t>
      </w:r>
    </w:p>
    <w:p w14:paraId="000CB8F2">
      <w:pPr>
        <w:spacing w:after="0" w:line="360" w:lineRule="auto"/>
        <w:jc w:val="both"/>
      </w:pPr>
      <w:r>
        <w:rPr>
          <w:rFonts w:ascii="Times New Roman" w:hAnsi="Times New Roman" w:eastAsia="Times New Roman" w:cs="Times New Roman"/>
          <w:sz w:val="24"/>
          <w:szCs w:val="24"/>
        </w:rPr>
        <w:t>This produces eight conditions and allows estimation of each feature's effect and their interactions. Outcomes should include opening and completion, comprehension, confidence, time and errors, plan choice, later bill outcomes, regret, complaints, and subgroup differences. The study should avoid treating increased switching as inherently successful.</w:t>
      </w:r>
    </w:p>
    <w:p w14:paraId="4CEDC89C">
      <w:pPr>
        <w:spacing w:after="0" w:line="360" w:lineRule="auto"/>
        <w:jc w:val="both"/>
      </w:pPr>
      <w:r>
        <w:rPr>
          <w:rFonts w:ascii="Times New Roman" w:hAnsi="Times New Roman" w:eastAsia="Times New Roman" w:cs="Times New Roman"/>
          <w:b/>
          <w:bCs/>
          <w:sz w:val="24"/>
          <w:szCs w:val="24"/>
        </w:rPr>
        <w:t>Q20.</w:t>
      </w:r>
      <w:r>
        <w:rPr>
          <w:rFonts w:ascii="Times New Roman" w:hAnsi="Times New Roman" w:eastAsia="Times New Roman" w:cs="Times New Roman"/>
          <w:sz w:val="24"/>
          <w:szCs w:val="24"/>
        </w:rPr>
        <w:t xml:space="preserve"> If only one change could be tested first, I would test an embedded, concise 12-month usage-and-spending snapshot. It addresses a fundamental evidence gap, is useful whether the customer stays or switches, and carries less risk of commercial steering than an automated recommendation. The snapshot should show typical use, variation, exceptional months, total cost, and excess charges — not merely an annual average.</w:t>
      </w:r>
    </w:p>
    <w:p w14:paraId="431C97AB">
      <w:pPr>
        <w:spacing w:after="0" w:line="360" w:lineRule="auto"/>
        <w:jc w:val="both"/>
      </w:pPr>
      <w:r>
        <w:rPr>
          <w:rFonts w:ascii="Times New Roman" w:hAnsi="Times New Roman" w:eastAsia="Times New Roman" w:cs="Times New Roman"/>
          <w:sz w:val="24"/>
          <w:szCs w:val="24"/>
        </w:rPr>
        <w:t>I would compare it with the existing summary while keeping navigation and recommendation unchanged. That isolates the informational effect. It would not answer every part of the hypothesis, so the later factorial test would still be necessary.</w:t>
      </w:r>
    </w:p>
    <w:p w14:paraId="23088E69">
      <w:pPr>
        <w:pStyle w:val="3"/>
        <w:spacing w:before="240" w:after="140" w:line="360" w:lineRule="auto"/>
        <w:outlineLvl w:val="1"/>
      </w:pPr>
      <w:r>
        <w:rPr>
          <w:rFonts w:ascii="Times New Roman" w:hAnsi="Times New Roman" w:eastAsia="Times New Roman" w:cs="Times New Roman"/>
          <w:b/>
          <w:bCs/>
          <w:i/>
          <w:iCs/>
          <w:color w:val="000000"/>
          <w:sz w:val="28"/>
          <w:szCs w:val="28"/>
        </w:rPr>
        <w:t>Section 10 — Closing and prioritisation</w:t>
      </w:r>
    </w:p>
    <w:p w14:paraId="10C8176F">
      <w:pPr>
        <w:spacing w:after="0" w:line="360" w:lineRule="auto"/>
        <w:jc w:val="both"/>
      </w:pPr>
      <w:r>
        <w:rPr>
          <w:rFonts w:ascii="Times New Roman" w:hAnsi="Times New Roman" w:eastAsia="Times New Roman" w:cs="Times New Roman"/>
          <w:b/>
          <w:bCs/>
          <w:sz w:val="24"/>
          <w:szCs w:val="24"/>
        </w:rPr>
        <w:t>Q21.</w:t>
      </w:r>
      <w:r>
        <w:rPr>
          <w:rFonts w:ascii="Times New Roman" w:hAnsi="Times New Roman" w:eastAsia="Times New Roman" w:cs="Times New Roman"/>
          <w:sz w:val="24"/>
          <w:szCs w:val="24"/>
        </w:rPr>
        <w:t xml:space="preserve"> I rate the gap 4 out of 5 in likely materiality, with substantial uncertainty. Historical usage and total spending are central to plan-fit decisions, and many customers will struggle to reconstruct them manually. Separating that evidence from the review prompt plausibly increases effort.</w:t>
      </w:r>
    </w:p>
    <w:p w14:paraId="50098EB4">
      <w:pPr>
        <w:spacing w:after="0" w:line="360" w:lineRule="auto"/>
        <w:jc w:val="both"/>
      </w:pPr>
      <w:r>
        <w:rPr>
          <w:rFonts w:ascii="Times New Roman" w:hAnsi="Times New Roman" w:eastAsia="Times New Roman" w:cs="Times New Roman"/>
          <w:sz w:val="24"/>
          <w:szCs w:val="24"/>
        </w:rPr>
        <w:t>I would not rate it 5 because the effect is unlikely to be universal, and personalised guidance may not always improve matters. For some customers, the real barrier will be uncertain future needs, plan complexity, trust, or low financial benefit. Materiality should therefore be demonstrated by segment and decision outcome rather than assumed from overall click rates.</w:t>
      </w:r>
    </w:p>
    <w:p w14:paraId="7F8B5456">
      <w:pPr>
        <w:spacing w:after="0" w:line="360" w:lineRule="auto"/>
        <w:jc w:val="both"/>
      </w:pPr>
      <w:r>
        <w:rPr>
          <w:rFonts w:ascii="Times New Roman" w:hAnsi="Times New Roman" w:eastAsia="Times New Roman" w:cs="Times New Roman"/>
          <w:b/>
          <w:bCs/>
          <w:sz w:val="24"/>
          <w:szCs w:val="24"/>
        </w:rPr>
        <w:t>Q22.</w:t>
      </w:r>
      <w:r>
        <w:rPr>
          <w:rFonts w:ascii="Times New Roman" w:hAnsi="Times New Roman" w:eastAsia="Times New Roman" w:cs="Times New Roman"/>
          <w:sz w:val="24"/>
          <w:szCs w:val="24"/>
        </w:rPr>
        <w:t xml:space="preserve"> An important unasked issue is what "suitable plan" means and who gets to define it. Lowest expected price is not always the customer's preferred outcome. Some customers value bill certainty, extra capacity, flexibility, roaming, coverage, or avoiding the stress of monitoring usage.</w:t>
      </w:r>
    </w:p>
    <w:p w14:paraId="56743353">
      <w:pPr>
        <w:spacing w:after="0" w:line="360" w:lineRule="auto"/>
        <w:jc w:val="both"/>
      </w:pPr>
      <w:r>
        <w:rPr>
          <w:rFonts w:ascii="Times New Roman" w:hAnsi="Times New Roman" w:eastAsia="Times New Roman" w:cs="Times New Roman"/>
          <w:sz w:val="24"/>
          <w:szCs w:val="24"/>
        </w:rPr>
        <w:t>Before designing recommendations, Spark would need an explicit, customer-legible suitability objective and a way for customers to change its assumptions. Otherwise, personalisation could make the journey easier while quietly narrowing the decision to whatever the provider's model happens to optimise.</w:t>
      </w:r>
    </w:p>
    <w:p w14:paraId="76A9B72B">
      <w:pPr>
        <w:pStyle w:val="2"/>
        <w:spacing w:before="320" w:after="160" w:line="360" w:lineRule="auto"/>
        <w:outlineLvl w:val="0"/>
      </w:pPr>
      <w:r>
        <w:rPr>
          <w:rFonts w:ascii="Times New Roman" w:hAnsi="Times New Roman" w:eastAsia="Times New Roman" w:cs="Times New Roman"/>
          <w:b/>
          <w:bCs/>
          <w:color w:val="000000"/>
          <w:sz w:val="28"/>
          <w:szCs w:val="28"/>
        </w:rPr>
        <w:t>Appendix D — GenAI TO-BE Design Transcript</w:t>
      </w:r>
    </w:p>
    <w:p w14:paraId="5F78651B">
      <w:pPr>
        <w:pStyle w:val="3"/>
        <w:spacing w:before="240" w:after="140" w:line="360" w:lineRule="auto"/>
        <w:outlineLvl w:val="1"/>
      </w:pPr>
      <w:r>
        <w:rPr>
          <w:rFonts w:ascii="Times New Roman" w:hAnsi="Times New Roman" w:eastAsia="Times New Roman" w:cs="Times New Roman"/>
          <w:b/>
          <w:bCs/>
          <w:i/>
          <w:iCs/>
          <w:color w:val="000000"/>
          <w:sz w:val="28"/>
          <w:szCs w:val="28"/>
        </w:rPr>
        <w:t>Header</w:t>
      </w:r>
    </w:p>
    <w:p w14:paraId="06D8366F">
      <w:pPr>
        <w:spacing w:after="0" w:line="360" w:lineRule="auto"/>
        <w:jc w:val="both"/>
      </w:pPr>
      <w:r>
        <w:rPr>
          <w:rFonts w:ascii="Times New Roman" w:hAnsi="Times New Roman" w:eastAsia="Times New Roman" w:cs="Times New Roman"/>
          <w:b/>
          <w:bCs/>
          <w:sz w:val="24"/>
          <w:szCs w:val="24"/>
        </w:rPr>
        <w:t>Interviewer:</w:t>
      </w:r>
      <w:r>
        <w:rPr>
          <w:rFonts w:ascii="Times New Roman" w:hAnsi="Times New Roman" w:eastAsia="Times New Roman" w:cs="Times New Roman"/>
          <w:sz w:val="24"/>
          <w:szCs w:val="24"/>
        </w:rPr>
        <w:t xml:space="preserve"> Rae Huang. </w:t>
      </w:r>
      <w:r>
        <w:rPr>
          <w:rFonts w:ascii="Times New Roman" w:hAnsi="Times New Roman" w:eastAsia="Times New Roman" w:cs="Times New Roman"/>
          <w:b/>
          <w:bCs/>
          <w:sz w:val="24"/>
          <w:szCs w:val="24"/>
        </w:rPr>
        <w:t>Interviewee:</w:t>
      </w:r>
      <w:r>
        <w:rPr>
          <w:rFonts w:ascii="Times New Roman" w:hAnsi="Times New Roman" w:eastAsia="Times New Roman" w:cs="Times New Roman"/>
          <w:sz w:val="24"/>
          <w:szCs w:val="24"/>
        </w:rPr>
        <w:t xml:space="preserve"> GenAI process-design assistant. </w:t>
      </w:r>
      <w:r>
        <w:rPr>
          <w:rFonts w:ascii="Times New Roman" w:hAnsi="Times New Roman" w:eastAsia="Times New Roman" w:cs="Times New Roman"/>
          <w:b/>
          <w:bCs/>
          <w:sz w:val="24"/>
          <w:szCs w:val="24"/>
        </w:rPr>
        <w:t>Date:</w:t>
      </w:r>
      <w:r>
        <w:rPr>
          <w:rFonts w:ascii="Times New Roman" w:hAnsi="Times New Roman" w:eastAsia="Times New Roman" w:cs="Times New Roman"/>
          <w:sz w:val="24"/>
          <w:szCs w:val="24"/>
        </w:rPr>
        <w:t xml:space="preserve"> 17 August 2026. </w:t>
      </w:r>
      <w:r>
        <w:rPr>
          <w:rFonts w:ascii="Times New Roman" w:hAnsi="Times New Roman" w:eastAsia="Times New Roman" w:cs="Times New Roman"/>
          <w:b/>
          <w:bCs/>
          <w:sz w:val="24"/>
          <w:szCs w:val="24"/>
        </w:rPr>
        <w:t>Purpose:</w:t>
      </w:r>
      <w:r>
        <w:rPr>
          <w:rFonts w:ascii="Times New Roman" w:hAnsi="Times New Roman" w:eastAsia="Times New Roman" w:cs="Times New Roman"/>
          <w:sz w:val="24"/>
          <w:szCs w:val="24"/>
        </w:rPr>
        <w:t xml:space="preserve"> use GenAI to challenge and flesh out the structure, sequence and controls of the TO-BE process associated with the selected solution. </w:t>
      </w:r>
      <w:r>
        <w:rPr>
          <w:rFonts w:ascii="Times New Roman" w:hAnsi="Times New Roman" w:eastAsia="Times New Roman" w:cs="Times New Roman"/>
          <w:b/>
          <w:bCs/>
          <w:sz w:val="24"/>
          <w:szCs w:val="24"/>
        </w:rPr>
        <w:t>Evidence boundary:</w:t>
      </w:r>
      <w:r>
        <w:rPr>
          <w:rFonts w:ascii="Times New Roman" w:hAnsi="Times New Roman" w:eastAsia="Times New Roman" w:cs="Times New Roman"/>
          <w:sz w:val="24"/>
          <w:szCs w:val="24"/>
        </w:rPr>
        <w:t xml:space="preserve"> the discussion uses the assignment scenario, two interview findings and course concepts. It does not describe Spark's internal systems or measured results.</w:t>
      </w:r>
    </w:p>
    <w:p w14:paraId="7FED79B8">
      <w:pPr>
        <w:pStyle w:val="3"/>
        <w:spacing w:before="240" w:after="140" w:line="360" w:lineRule="auto"/>
        <w:outlineLvl w:val="1"/>
      </w:pPr>
      <w:r>
        <w:rPr>
          <w:rFonts w:ascii="Times New Roman" w:hAnsi="Times New Roman" w:eastAsia="Times New Roman" w:cs="Times New Roman"/>
          <w:b/>
          <w:bCs/>
          <w:i/>
          <w:iCs/>
          <w:color w:val="000000"/>
          <w:sz w:val="28"/>
          <w:szCs w:val="28"/>
        </w:rPr>
        <w:t>Prompt 1 — Selected solution and design objective</w:t>
      </w:r>
    </w:p>
    <w:p w14:paraId="544CD396">
      <w:pPr>
        <w:spacing w:after="0" w:line="360" w:lineRule="auto"/>
        <w:jc w:val="both"/>
      </w:pPr>
      <w:r>
        <w:rPr>
          <w:rFonts w:ascii="Times New Roman" w:hAnsi="Times New Roman" w:eastAsia="Times New Roman" w:cs="Times New Roman"/>
          <w:b/>
          <w:bCs/>
          <w:sz w:val="24"/>
          <w:szCs w:val="24"/>
        </w:rPr>
        <w:t>Rae:</w:t>
      </w:r>
      <w:r>
        <w:rPr>
          <w:rFonts w:ascii="Times New Roman" w:hAnsi="Times New Roman" w:eastAsia="Times New Roman" w:cs="Times New Roman"/>
          <w:sz w:val="24"/>
          <w:szCs w:val="24"/>
        </w:rPr>
        <w:t xml:space="preserve"> The selected solution is to place a concise 12-month usage-and-spend snapshot directly in the annual mobile plan-review summary. Explainable personalised guidance may be added only after the information intervention is validated. What should the TO-BE process achieve?</w:t>
      </w:r>
    </w:p>
    <w:p w14:paraId="68FFC9B1">
      <w:pPr>
        <w:spacing w:after="0" w:line="360" w:lineRule="auto"/>
        <w:jc w:val="both"/>
      </w:pPr>
      <w:r>
        <w:rPr>
          <w:rFonts w:ascii="Times New Roman" w:hAnsi="Times New Roman" w:eastAsia="Times New Roman" w:cs="Times New Roman"/>
          <w:b/>
          <w:bCs/>
          <w:sz w:val="24"/>
          <w:szCs w:val="24"/>
        </w:rPr>
        <w:t>GenAI:</w:t>
      </w:r>
      <w:r>
        <w:rPr>
          <w:rFonts w:ascii="Times New Roman" w:hAnsi="Times New Roman" w:eastAsia="Times New Roman" w:cs="Times New Roman"/>
          <w:sz w:val="24"/>
          <w:szCs w:val="24"/>
        </w:rPr>
        <w:t xml:space="preserve"> The immediate TO-BE objective should be to remove the customer's need to locate and reconstruct historical evidence before deciding whether a plan review deserves attention. The process should produce a reliable snapshot, present it at the review trigger, preserve customer choice, and record a stay, change, assistance or defer outcome. It should not claim to select the customer's objectively best plan. The first release should therefore improve evidence visibility while keeping the customer's decision authority and existing detailed information channels.</w:t>
      </w:r>
    </w:p>
    <w:p w14:paraId="370D45B2">
      <w:pPr>
        <w:pStyle w:val="3"/>
        <w:spacing w:before="240" w:after="140" w:line="360" w:lineRule="auto"/>
        <w:outlineLvl w:val="1"/>
      </w:pPr>
      <w:r>
        <w:rPr>
          <w:rFonts w:ascii="Times New Roman" w:hAnsi="Times New Roman" w:eastAsia="Times New Roman" w:cs="Times New Roman"/>
          <w:b/>
          <w:bCs/>
          <w:i/>
          <w:iCs/>
          <w:color w:val="000000"/>
          <w:sz w:val="28"/>
          <w:szCs w:val="28"/>
        </w:rPr>
        <w:t>Prompt 2 — Start and end boundaries</w:t>
      </w:r>
    </w:p>
    <w:p w14:paraId="5BFA9A55">
      <w:pPr>
        <w:spacing w:after="0" w:line="360" w:lineRule="auto"/>
        <w:jc w:val="both"/>
      </w:pPr>
      <w:r>
        <w:rPr>
          <w:rFonts w:ascii="Times New Roman" w:hAnsi="Times New Roman" w:eastAsia="Times New Roman" w:cs="Times New Roman"/>
          <w:b/>
          <w:bCs/>
          <w:sz w:val="24"/>
          <w:szCs w:val="24"/>
        </w:rPr>
        <w:t>Rae:</w:t>
      </w:r>
      <w:r>
        <w:rPr>
          <w:rFonts w:ascii="Times New Roman" w:hAnsi="Times New Roman" w:eastAsia="Times New Roman" w:cs="Times New Roman"/>
          <w:sz w:val="24"/>
          <w:szCs w:val="24"/>
        </w:rPr>
        <w:t xml:space="preserve"> Define clear start and end events.</w:t>
      </w:r>
    </w:p>
    <w:p w14:paraId="61A5F6EC">
      <w:pPr>
        <w:spacing w:after="0" w:line="360" w:lineRule="auto"/>
        <w:jc w:val="both"/>
      </w:pPr>
      <w:r>
        <w:rPr>
          <w:rFonts w:ascii="Times New Roman" w:hAnsi="Times New Roman" w:eastAsia="Times New Roman" w:cs="Times New Roman"/>
          <w:b/>
          <w:bCs/>
          <w:sz w:val="24"/>
          <w:szCs w:val="24"/>
        </w:rPr>
        <w:t>GenAI:</w:t>
      </w:r>
      <w:r>
        <w:rPr>
          <w:rFonts w:ascii="Times New Roman" w:hAnsi="Times New Roman" w:eastAsia="Times New Roman" w:cs="Times New Roman"/>
          <w:sz w:val="24"/>
          <w:szCs w:val="24"/>
        </w:rPr>
        <w:t xml:space="preserve"> Start with a timer event when an eligible customer's annual review becomes due. End when one of four outcomes is recorded: the customer confirms the current plan, changes plan, requests assisted review, or defers/no decision within the review window. KPI monitoring can follow the end event as a linked measurement process, including 30-day completion and 90-day guardrails.</w:t>
      </w:r>
    </w:p>
    <w:p w14:paraId="555F4ED6">
      <w:pPr>
        <w:pStyle w:val="3"/>
        <w:spacing w:before="240" w:after="140" w:line="360" w:lineRule="auto"/>
        <w:outlineLvl w:val="1"/>
      </w:pPr>
      <w:r>
        <w:rPr>
          <w:rFonts w:ascii="Times New Roman" w:hAnsi="Times New Roman" w:eastAsia="Times New Roman" w:cs="Times New Roman"/>
          <w:b/>
          <w:bCs/>
          <w:i/>
          <w:iCs/>
          <w:color w:val="000000"/>
          <w:sz w:val="28"/>
          <w:szCs w:val="28"/>
        </w:rPr>
        <w:t>Prompt 3 — Participants and responsibilities</w:t>
      </w:r>
    </w:p>
    <w:p w14:paraId="518C767A">
      <w:pPr>
        <w:spacing w:after="0" w:line="360" w:lineRule="auto"/>
        <w:jc w:val="both"/>
      </w:pPr>
      <w:r>
        <w:rPr>
          <w:rFonts w:ascii="Times New Roman" w:hAnsi="Times New Roman" w:eastAsia="Times New Roman" w:cs="Times New Roman"/>
          <w:b/>
          <w:bCs/>
          <w:sz w:val="24"/>
          <w:szCs w:val="24"/>
        </w:rPr>
        <w:t>Rae:</w:t>
      </w:r>
      <w:r>
        <w:rPr>
          <w:rFonts w:ascii="Times New Roman" w:hAnsi="Times New Roman" w:eastAsia="Times New Roman" w:cs="Times New Roman"/>
          <w:sz w:val="24"/>
          <w:szCs w:val="24"/>
        </w:rPr>
        <w:t xml:space="preserve"> Which participants or lanes are needed without inventing Spark's organisation?</w:t>
      </w:r>
    </w:p>
    <w:p w14:paraId="5B9F6074">
      <w:pPr>
        <w:spacing w:after="0" w:line="360" w:lineRule="auto"/>
        <w:jc w:val="both"/>
      </w:pPr>
      <w:r>
        <w:rPr>
          <w:rFonts w:ascii="Times New Roman" w:hAnsi="Times New Roman" w:eastAsia="Times New Roman" w:cs="Times New Roman"/>
          <w:b/>
          <w:bCs/>
          <w:sz w:val="24"/>
          <w:szCs w:val="24"/>
        </w:rPr>
        <w:t>GenAI:</w:t>
      </w:r>
      <w:r>
        <w:rPr>
          <w:rFonts w:ascii="Times New Roman" w:hAnsi="Times New Roman" w:eastAsia="Times New Roman" w:cs="Times New Roman"/>
          <w:sz w:val="24"/>
          <w:szCs w:val="24"/>
        </w:rPr>
        <w:t xml:space="preserve"> Use one Spark pool with functional lanes rather than assumed department names: (1) Data and plan information, (2) Plan-review service, and (3) Customer care. Use a separate Customer pool because messages pass between Spark and the customer. Label these as proposed functional responsibilities. Assign end-to-end accountability to a proposed plan-review process owner in the accompanying narrative rather than inventing a current role.</w:t>
      </w:r>
    </w:p>
    <w:p w14:paraId="6087ED8A">
      <w:pPr>
        <w:pStyle w:val="3"/>
        <w:spacing w:before="240" w:after="140" w:line="360" w:lineRule="auto"/>
        <w:outlineLvl w:val="1"/>
      </w:pPr>
      <w:r>
        <w:rPr>
          <w:rFonts w:ascii="Times New Roman" w:hAnsi="Times New Roman" w:eastAsia="Times New Roman" w:cs="Times New Roman"/>
          <w:b/>
          <w:bCs/>
          <w:i/>
          <w:iCs/>
          <w:color w:val="000000"/>
          <w:sz w:val="28"/>
          <w:szCs w:val="28"/>
        </w:rPr>
        <w:t>Prompt 4 — Preparation sequence</w:t>
      </w:r>
    </w:p>
    <w:p w14:paraId="297A0B2E">
      <w:pPr>
        <w:spacing w:after="0" w:line="360" w:lineRule="auto"/>
        <w:jc w:val="both"/>
      </w:pPr>
      <w:r>
        <w:rPr>
          <w:rFonts w:ascii="Times New Roman" w:hAnsi="Times New Roman" w:eastAsia="Times New Roman" w:cs="Times New Roman"/>
          <w:b/>
          <w:bCs/>
          <w:sz w:val="24"/>
          <w:szCs w:val="24"/>
        </w:rPr>
        <w:t>Rae:</w:t>
      </w:r>
      <w:r>
        <w:rPr>
          <w:rFonts w:ascii="Times New Roman" w:hAnsi="Times New Roman" w:eastAsia="Times New Roman" w:cs="Times New Roman"/>
          <w:sz w:val="24"/>
          <w:szCs w:val="24"/>
        </w:rPr>
        <w:t xml:space="preserve"> What sequence should occur before Spark sends the summary?</w:t>
      </w:r>
    </w:p>
    <w:p w14:paraId="30D1AC61">
      <w:pPr>
        <w:spacing w:after="0" w:line="360" w:lineRule="auto"/>
        <w:jc w:val="both"/>
      </w:pPr>
      <w:r>
        <w:rPr>
          <w:rFonts w:ascii="Times New Roman" w:hAnsi="Times New Roman" w:eastAsia="Times New Roman" w:cs="Times New Roman"/>
          <w:b/>
          <w:bCs/>
          <w:sz w:val="24"/>
          <w:szCs w:val="24"/>
        </w:rPr>
        <w:t>GenAI:</w:t>
      </w:r>
      <w:r>
        <w:rPr>
          <w:rFonts w:ascii="Times New Roman" w:hAnsi="Times New Roman" w:eastAsia="Times New Roman" w:cs="Times New Roman"/>
          <w:sz w:val="24"/>
          <w:szCs w:val="24"/>
        </w:rPr>
        <w:t xml:space="preserve"> The timer trigger should initiate retrieval of the customer's 12-month usage, spend, current-plan and relevant contract data. The process should validate completeness and freshness before calculating customer-facing indicators such as typical use, variability, exceptional months, excess charges and persistent unused allowance. The plan-review service should then generate the concise snapshot and run a presentation/quality check before sending it. A gateway is needed after data validation: incomplete or unreliable data must not be presented as dependable guidance.</w:t>
      </w:r>
    </w:p>
    <w:p w14:paraId="39A86D6C">
      <w:pPr>
        <w:pStyle w:val="3"/>
        <w:spacing w:before="240" w:after="140" w:line="360" w:lineRule="auto"/>
        <w:outlineLvl w:val="1"/>
      </w:pPr>
      <w:r>
        <w:rPr>
          <w:rFonts w:ascii="Times New Roman" w:hAnsi="Times New Roman" w:eastAsia="Times New Roman" w:cs="Times New Roman"/>
          <w:b/>
          <w:bCs/>
          <w:i/>
          <w:iCs/>
          <w:color w:val="000000"/>
          <w:sz w:val="28"/>
          <w:szCs w:val="28"/>
        </w:rPr>
        <w:t>Prompt 5 — Exception path</w:t>
      </w:r>
    </w:p>
    <w:p w14:paraId="07BB62A4">
      <w:pPr>
        <w:spacing w:after="0" w:line="360" w:lineRule="auto"/>
        <w:jc w:val="both"/>
      </w:pPr>
      <w:r>
        <w:rPr>
          <w:rFonts w:ascii="Times New Roman" w:hAnsi="Times New Roman" w:eastAsia="Times New Roman" w:cs="Times New Roman"/>
          <w:b/>
          <w:bCs/>
          <w:sz w:val="24"/>
          <w:szCs w:val="24"/>
        </w:rPr>
        <w:t>Rae:</w:t>
      </w:r>
      <w:r>
        <w:rPr>
          <w:rFonts w:ascii="Times New Roman" w:hAnsi="Times New Roman" w:eastAsia="Times New Roman" w:cs="Times New Roman"/>
          <w:sz w:val="24"/>
          <w:szCs w:val="24"/>
        </w:rPr>
        <w:t xml:space="preserve"> What should happen if data are incomplete or fail the quality threshold?</w:t>
      </w:r>
    </w:p>
    <w:p w14:paraId="7935F14E">
      <w:pPr>
        <w:spacing w:after="0" w:line="360" w:lineRule="auto"/>
        <w:jc w:val="both"/>
      </w:pPr>
      <w:r>
        <w:rPr>
          <w:rFonts w:ascii="Times New Roman" w:hAnsi="Times New Roman" w:eastAsia="Times New Roman" w:cs="Times New Roman"/>
          <w:b/>
          <w:bCs/>
          <w:sz w:val="24"/>
          <w:szCs w:val="24"/>
        </w:rPr>
        <w:t>GenAI:</w:t>
      </w:r>
      <w:r>
        <w:rPr>
          <w:rFonts w:ascii="Times New Roman" w:hAnsi="Times New Roman" w:eastAsia="Times New Roman" w:cs="Times New Roman"/>
          <w:sz w:val="24"/>
          <w:szCs w:val="24"/>
        </w:rPr>
        <w:t xml:space="preserve"> Do not silently calculate a potentially misleading snapshot. Route the case to a controlled fallback: send a clearly labelled basic annual summary with a secure link to available records, state that the snapshot could not be generated, and provide an assistance option. Log the failure reason for remediation. This preserves the annual-review obligation while preventing false confidence and creates evidence for improving data quality.</w:t>
      </w:r>
    </w:p>
    <w:p w14:paraId="5575EE5E">
      <w:pPr>
        <w:pStyle w:val="3"/>
        <w:spacing w:before="240" w:after="140" w:line="360" w:lineRule="auto"/>
        <w:outlineLvl w:val="1"/>
      </w:pPr>
      <w:r>
        <w:rPr>
          <w:rFonts w:ascii="Times New Roman" w:hAnsi="Times New Roman" w:eastAsia="Times New Roman" w:cs="Times New Roman"/>
          <w:b/>
          <w:bCs/>
          <w:i/>
          <w:iCs/>
          <w:color w:val="000000"/>
          <w:sz w:val="28"/>
          <w:szCs w:val="28"/>
        </w:rPr>
        <w:t>Prompt 6 — Customer decision sequence</w:t>
      </w:r>
    </w:p>
    <w:p w14:paraId="47F7A59E">
      <w:pPr>
        <w:spacing w:after="0" w:line="360" w:lineRule="auto"/>
        <w:jc w:val="both"/>
      </w:pPr>
      <w:r>
        <w:rPr>
          <w:rFonts w:ascii="Times New Roman" w:hAnsi="Times New Roman" w:eastAsia="Times New Roman" w:cs="Times New Roman"/>
          <w:b/>
          <w:bCs/>
          <w:sz w:val="24"/>
          <w:szCs w:val="24"/>
        </w:rPr>
        <w:t>Rae:</w:t>
      </w:r>
      <w:r>
        <w:rPr>
          <w:rFonts w:ascii="Times New Roman" w:hAnsi="Times New Roman" w:eastAsia="Times New Roman" w:cs="Times New Roman"/>
          <w:sz w:val="24"/>
          <w:szCs w:val="24"/>
        </w:rPr>
        <w:t xml:space="preserve"> What should happen after the customer receives the enhanced summary?</w:t>
      </w:r>
    </w:p>
    <w:p w14:paraId="31FB297B">
      <w:pPr>
        <w:spacing w:after="0" w:line="360" w:lineRule="auto"/>
        <w:jc w:val="both"/>
      </w:pPr>
      <w:r>
        <w:rPr>
          <w:rFonts w:ascii="Times New Roman" w:hAnsi="Times New Roman" w:eastAsia="Times New Roman" w:cs="Times New Roman"/>
          <w:b/>
          <w:bCs/>
          <w:sz w:val="24"/>
          <w:szCs w:val="24"/>
        </w:rPr>
        <w:t>GenAI:</w:t>
      </w:r>
      <w:r>
        <w:rPr>
          <w:rFonts w:ascii="Times New Roman" w:hAnsi="Times New Roman" w:eastAsia="Times New Roman" w:cs="Times New Roman"/>
          <w:sz w:val="24"/>
          <w:szCs w:val="24"/>
        </w:rPr>
        <w:t xml:space="preserve"> The customer reviews the embedded snapshot and decides whether the current plan appears suitable. If yes, the customer can confirm staying. If the customer wants alternatives, the process opens a comparison view using consistent units and total expected cost. The customer can select another plan, contact customer care, or defer. Customer care should see the same snapshot and comparison basis so the explanation is consistent across channels. Every branch should converge on recording the outcome rather than forcing a change.</w:t>
      </w:r>
    </w:p>
    <w:p w14:paraId="38CF0014">
      <w:pPr>
        <w:pStyle w:val="3"/>
        <w:spacing w:before="240" w:after="140" w:line="360" w:lineRule="auto"/>
        <w:outlineLvl w:val="1"/>
      </w:pPr>
      <w:r>
        <w:rPr>
          <w:rFonts w:ascii="Times New Roman" w:hAnsi="Times New Roman" w:eastAsia="Times New Roman" w:cs="Times New Roman"/>
          <w:b/>
          <w:bCs/>
          <w:i/>
          <w:iCs/>
          <w:color w:val="000000"/>
          <w:sz w:val="28"/>
          <w:szCs w:val="28"/>
        </w:rPr>
        <w:t>Prompt 7 — BPMN gateways and flows</w:t>
      </w:r>
    </w:p>
    <w:p w14:paraId="7B36BE3E">
      <w:pPr>
        <w:spacing w:after="0" w:line="360" w:lineRule="auto"/>
        <w:jc w:val="both"/>
      </w:pPr>
      <w:r>
        <w:rPr>
          <w:rFonts w:ascii="Times New Roman" w:hAnsi="Times New Roman" w:eastAsia="Times New Roman" w:cs="Times New Roman"/>
          <w:b/>
          <w:bCs/>
          <w:sz w:val="24"/>
          <w:szCs w:val="24"/>
        </w:rPr>
        <w:t>Rae:</w:t>
      </w:r>
      <w:r>
        <w:rPr>
          <w:rFonts w:ascii="Times New Roman" w:hAnsi="Times New Roman" w:eastAsia="Times New Roman" w:cs="Times New Roman"/>
          <w:sz w:val="24"/>
          <w:szCs w:val="24"/>
        </w:rPr>
        <w:t xml:space="preserve"> Identify the minimum gateways and correct flow types.</w:t>
      </w:r>
    </w:p>
    <w:p w14:paraId="3119A48E">
      <w:pPr>
        <w:spacing w:after="0" w:line="360" w:lineRule="auto"/>
        <w:jc w:val="both"/>
      </w:pPr>
      <w:r>
        <w:rPr>
          <w:rFonts w:ascii="Times New Roman" w:hAnsi="Times New Roman" w:eastAsia="Times New Roman" w:cs="Times New Roman"/>
          <w:b/>
          <w:bCs/>
          <w:sz w:val="24"/>
          <w:szCs w:val="24"/>
        </w:rPr>
        <w:t>GenAI:</w:t>
      </w:r>
      <w:r>
        <w:rPr>
          <w:rFonts w:ascii="Times New Roman" w:hAnsi="Times New Roman" w:eastAsia="Times New Roman" w:cs="Times New Roman"/>
          <w:sz w:val="24"/>
          <w:szCs w:val="24"/>
        </w:rPr>
        <w:t xml:space="preserve"> Use exclusive gateways for: data valid versus invalid; current plan appears suitable versus review alternatives; and customer chooses change, assistance or defer. Sequence flows stay within each pool. Use message flows between Spark and the Customer pool for sending the summary, submitting a decision, requesting assistance and returning assistance. Avoid sequence flows across pools. Label every gateway question and outgoing condition.</w:t>
      </w:r>
    </w:p>
    <w:p w14:paraId="5522C863">
      <w:pPr>
        <w:pStyle w:val="3"/>
        <w:spacing w:before="240" w:after="140" w:line="360" w:lineRule="auto"/>
        <w:outlineLvl w:val="1"/>
      </w:pPr>
      <w:r>
        <w:rPr>
          <w:rFonts w:ascii="Times New Roman" w:hAnsi="Times New Roman" w:eastAsia="Times New Roman" w:cs="Times New Roman"/>
          <w:b/>
          <w:bCs/>
          <w:i/>
          <w:iCs/>
          <w:color w:val="000000"/>
          <w:sz w:val="28"/>
          <w:szCs w:val="28"/>
        </w:rPr>
        <w:t>Prompt 8 — Controls and transparency</w:t>
      </w:r>
    </w:p>
    <w:p w14:paraId="7B24DE11">
      <w:pPr>
        <w:spacing w:after="0" w:line="360" w:lineRule="auto"/>
        <w:jc w:val="both"/>
      </w:pPr>
      <w:r>
        <w:rPr>
          <w:rFonts w:ascii="Times New Roman" w:hAnsi="Times New Roman" w:eastAsia="Times New Roman" w:cs="Times New Roman"/>
          <w:b/>
          <w:bCs/>
          <w:sz w:val="24"/>
          <w:szCs w:val="24"/>
        </w:rPr>
        <w:t>Rae:</w:t>
      </w:r>
      <w:r>
        <w:rPr>
          <w:rFonts w:ascii="Times New Roman" w:hAnsi="Times New Roman" w:eastAsia="Times New Roman" w:cs="Times New Roman"/>
          <w:sz w:val="24"/>
          <w:szCs w:val="24"/>
        </w:rPr>
        <w:t xml:space="preserve"> What controls should be represented or documented?</w:t>
      </w:r>
    </w:p>
    <w:p w14:paraId="529ADFED">
      <w:pPr>
        <w:spacing w:after="0" w:line="360" w:lineRule="auto"/>
        <w:jc w:val="both"/>
      </w:pPr>
      <w:r>
        <w:rPr>
          <w:rFonts w:ascii="Times New Roman" w:hAnsi="Times New Roman" w:eastAsia="Times New Roman" w:cs="Times New Roman"/>
          <w:b/>
          <w:bCs/>
          <w:sz w:val="24"/>
          <w:szCs w:val="24"/>
        </w:rPr>
        <w:t>GenAI:</w:t>
      </w:r>
      <w:r>
        <w:rPr>
          <w:rFonts w:ascii="Times New Roman" w:hAnsi="Times New Roman" w:eastAsia="Times New Roman" w:cs="Times New Roman"/>
          <w:sz w:val="24"/>
          <w:szCs w:val="24"/>
        </w:rPr>
        <w:t xml:space="preserve"> Represent data validation, snapshot quality checking, secure access to detailed information, outcome logging and the assisted-review path. Document additional controls beside the model: a named process owner; versioned calculation rules; defined data-quality thresholds; privacy and security review; frontline access to the same evidence; audit logs; periodic checks for unexpected bill increases, reversals, complaints and unequal segment outcomes. The snapshot should distinguish historical facts from any future estimate.</w:t>
      </w:r>
    </w:p>
    <w:p w14:paraId="0EDEBBFC">
      <w:pPr>
        <w:pStyle w:val="3"/>
        <w:spacing w:before="240" w:after="140" w:line="360" w:lineRule="auto"/>
        <w:outlineLvl w:val="1"/>
      </w:pPr>
      <w:r>
        <w:rPr>
          <w:rFonts w:ascii="Times New Roman" w:hAnsi="Times New Roman" w:eastAsia="Times New Roman" w:cs="Times New Roman"/>
          <w:b/>
          <w:bCs/>
          <w:i/>
          <w:iCs/>
          <w:color w:val="000000"/>
          <w:sz w:val="28"/>
          <w:szCs w:val="28"/>
        </w:rPr>
        <w:t>Prompt 9 — KPI measurement points</w:t>
      </w:r>
    </w:p>
    <w:p w14:paraId="30DCA395">
      <w:pPr>
        <w:spacing w:after="0" w:line="360" w:lineRule="auto"/>
        <w:jc w:val="both"/>
      </w:pPr>
      <w:r>
        <w:rPr>
          <w:rFonts w:ascii="Times New Roman" w:hAnsi="Times New Roman" w:eastAsia="Times New Roman" w:cs="Times New Roman"/>
          <w:b/>
          <w:bCs/>
          <w:sz w:val="24"/>
          <w:szCs w:val="24"/>
        </w:rPr>
        <w:t>Rae:</w:t>
      </w:r>
      <w:r>
        <w:rPr>
          <w:rFonts w:ascii="Times New Roman" w:hAnsi="Times New Roman" w:eastAsia="Times New Roman" w:cs="Times New Roman"/>
          <w:sz w:val="24"/>
          <w:szCs w:val="24"/>
        </w:rPr>
        <w:t xml:space="preserve"> Where should KPI events be captured?</w:t>
      </w:r>
    </w:p>
    <w:p w14:paraId="6B29EB80">
      <w:pPr>
        <w:spacing w:after="0" w:line="360" w:lineRule="auto"/>
        <w:jc w:val="both"/>
      </w:pPr>
      <w:r>
        <w:rPr>
          <w:rFonts w:ascii="Times New Roman" w:hAnsi="Times New Roman" w:eastAsia="Times New Roman" w:cs="Times New Roman"/>
          <w:b/>
          <w:bCs/>
          <w:sz w:val="24"/>
          <w:szCs w:val="24"/>
        </w:rPr>
        <w:t>GenAI:</w:t>
      </w:r>
      <w:r>
        <w:rPr>
          <w:rFonts w:ascii="Times New Roman" w:hAnsi="Times New Roman" w:eastAsia="Times New Roman" w:cs="Times New Roman"/>
          <w:sz w:val="24"/>
          <w:szCs w:val="24"/>
        </w:rPr>
        <w:t xml:space="preserve"> Capture eligibility and invitation when the review starts; summary delivery/open and comparison entry during the journey; and stay/change/assistance/defer at closure. Apply the pre-agreed appropriate-choice rule only after the outcome is recorded. Link the cohort to 90-day retention value, ARPU, complaints and reversals as guardrails. These data points support the major KPI, effective plan-review completion, and its two components: decision completion and appropriate choice among completers.</w:t>
      </w:r>
    </w:p>
    <w:p w14:paraId="40177951">
      <w:pPr>
        <w:pStyle w:val="3"/>
        <w:spacing w:before="240" w:after="140" w:line="360" w:lineRule="auto"/>
        <w:outlineLvl w:val="1"/>
      </w:pPr>
      <w:r>
        <w:rPr>
          <w:rFonts w:ascii="Times New Roman" w:hAnsi="Times New Roman" w:eastAsia="Times New Roman" w:cs="Times New Roman"/>
          <w:b/>
          <w:bCs/>
          <w:i/>
          <w:iCs/>
          <w:color w:val="000000"/>
          <w:sz w:val="28"/>
          <w:szCs w:val="28"/>
        </w:rPr>
        <w:t>Prompt 10 — Scope challenge</w:t>
      </w:r>
    </w:p>
    <w:p w14:paraId="3F827FB8">
      <w:pPr>
        <w:spacing w:after="0" w:line="360" w:lineRule="auto"/>
        <w:jc w:val="both"/>
      </w:pPr>
      <w:r>
        <w:rPr>
          <w:rFonts w:ascii="Times New Roman" w:hAnsi="Times New Roman" w:eastAsia="Times New Roman" w:cs="Times New Roman"/>
          <w:b/>
          <w:bCs/>
          <w:sz w:val="24"/>
          <w:szCs w:val="24"/>
        </w:rPr>
        <w:t>Rae:</w:t>
      </w:r>
      <w:r>
        <w:rPr>
          <w:rFonts w:ascii="Times New Roman" w:hAnsi="Times New Roman" w:eastAsia="Times New Roman" w:cs="Times New Roman"/>
          <w:sz w:val="24"/>
          <w:szCs w:val="24"/>
        </w:rPr>
        <w:t xml:space="preserve"> What should be excluded from the first TO-BE model to keep it feasible and evidence-led?</w:t>
      </w:r>
    </w:p>
    <w:p w14:paraId="4274DA5D">
      <w:pPr>
        <w:spacing w:after="0" w:line="360" w:lineRule="auto"/>
        <w:jc w:val="both"/>
      </w:pPr>
      <w:r>
        <w:rPr>
          <w:rFonts w:ascii="Times New Roman" w:hAnsi="Times New Roman" w:eastAsia="Times New Roman" w:cs="Times New Roman"/>
          <w:b/>
          <w:bCs/>
          <w:sz w:val="24"/>
          <w:szCs w:val="24"/>
        </w:rPr>
        <w:t>GenAI:</w:t>
      </w:r>
      <w:r>
        <w:rPr>
          <w:rFonts w:ascii="Times New Roman" w:hAnsi="Times New Roman" w:eastAsia="Times New Roman" w:cs="Times New Roman"/>
          <w:sz w:val="24"/>
          <w:szCs w:val="24"/>
        </w:rPr>
        <w:t xml:space="preserve"> Exclude a definitive personalised "best plan" recommendation, predictive future-usage claims and a complete redesign of Spark's catalogue. The interviews support embedded evidence more strongly and identify higher trust and governance risks for automated recommendations. The first TO-BE should therefore model the validated information intervention. A later ideal-state variant can add explainable guidance after the pilot meets completion, decision-quality and harm guardrails.</w:t>
      </w:r>
    </w:p>
    <w:p w14:paraId="78262C82">
      <w:pPr>
        <w:pStyle w:val="3"/>
        <w:spacing w:before="240" w:after="140" w:line="360" w:lineRule="auto"/>
        <w:outlineLvl w:val="1"/>
      </w:pPr>
      <w:r>
        <w:rPr>
          <w:rFonts w:ascii="Times New Roman" w:hAnsi="Times New Roman" w:eastAsia="Times New Roman" w:cs="Times New Roman"/>
          <w:b/>
          <w:bCs/>
          <w:i/>
          <w:iCs/>
          <w:color w:val="000000"/>
          <w:sz w:val="28"/>
          <w:szCs w:val="28"/>
        </w:rPr>
        <w:t>Resulting TO-BE design decision</w:t>
      </w:r>
    </w:p>
    <w:p w14:paraId="3FCA0DDE">
      <w:pPr>
        <w:spacing w:after="0" w:line="360" w:lineRule="auto"/>
        <w:jc w:val="both"/>
      </w:pPr>
      <w:r>
        <w:rPr>
          <w:rFonts w:ascii="Times New Roman" w:hAnsi="Times New Roman" w:eastAsia="Times New Roman" w:cs="Times New Roman"/>
          <w:sz w:val="24"/>
          <w:szCs w:val="24"/>
        </w:rPr>
        <w:t>The GenAI challenge retained the selected staged solution and added five material controls: data-validity gating, an explicit fallback path, consistent cross-channel evidence, outcome/KPI logging, and exclusion of automated personalised recommendations from the first release. These refinements are incorporated into the proposed TO-BE process specification in Section 8.</w:t>
      </w:r>
    </w:p>
    <w:sectPr>
      <w:footerReference r:id="rId13" w:type="default"/>
      <w:pgSz w:w="11906" w:h="16838"/>
      <w:pgMar w:top="1080" w:right="1200" w:bottom="108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B4842">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515ED">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21470">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AB888">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8E5E0">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14B5A">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E0C13">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CED90">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B34BC">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08AD4">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CD8E0">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7AEA35"/>
    <w:multiLevelType w:val="singleLevel"/>
    <w:tmpl w:val="BD7AEA35"/>
    <w:lvl w:ilvl="0" w:tentative="0">
      <w:start w:val="1"/>
      <w:numFmt w:val="bullet"/>
      <w:lvlText w:val="•"/>
      <w:lvlJc w:val="left"/>
      <w:pPr>
        <w:ind w:left="5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4"/>
  <w:displayBackgroundShape w:val="1"/>
  <w:documentProtection w:enforcement="0"/>
  <w:compat>
    <w:useFELayout/>
    <w:compatSetting w:name="compatibilityMode" w:uri="http://schemas.microsoft.com/office/word" w:val="15"/>
  </w:compat>
  <w:rsids>
    <w:rsidRoot w:val="00000000"/>
    <w:rsid w:val="3BEFB285"/>
    <w:rsid w:val="77F6163E"/>
    <w:rsid w:val="7BFEF903"/>
    <w:rsid w:val="DCE7B368"/>
    <w:rsid w:val="FD5F6D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28"/>
      <w:szCs w:val="32"/>
    </w:rPr>
  </w:style>
  <w:style w:type="paragraph" w:styleId="3">
    <w:name w:val="heading 2"/>
    <w:next w:val="1"/>
    <w:qFormat/>
    <w:uiPriority w:val="0"/>
    <w:rPr>
      <w:rFonts w:ascii="Times New Roman" w:hAnsi="Times New Roman" w:eastAsia="Times New Roman" w:cs="Times New Roman"/>
      <w:color w:val="2E74B5"/>
      <w:sz w:val="28"/>
      <w:szCs w:val="26"/>
    </w:rPr>
  </w:style>
  <w:style w:type="paragraph" w:styleId="4">
    <w:name w:val="heading 3"/>
    <w:next w:val="1"/>
    <w:qFormat/>
    <w:uiPriority w:val="0"/>
    <w:rPr>
      <w:rFonts w:ascii="Times New Roman" w:hAnsi="Times New Roman" w:eastAsia="Times New Roman" w:cs="Times New Roman"/>
      <w:color w:val="1F4D78"/>
      <w:sz w:val="28"/>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paragraph" w:styleId="10">
    <w:name w:val="Title"/>
    <w:qFormat/>
    <w:uiPriority w:val="0"/>
    <w:rPr>
      <w:rFonts w:ascii="Times New Roman" w:hAnsi="Times New Roman" w:eastAsia="Times New Roman" w:cs="Times New Roman"/>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11.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styles" Target="styles.xml"/><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48</Pages>
  <TotalTime>23</TotalTime>
  <ScaleCrop>false</ScaleCrop>
  <LinksUpToDate>false</LinksUpToDate>
  <Application>WPS Office_12.1.23540.23540_F1E327BC-269C-435d-A152-05C5408002CA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2026-08-28T08:10:24Z</dcterms:created>
  <dc:creator>Un-named</dc:creator>
  <cp:lastModifiedBy>黄昕睿</cp:lastModifiedBy>
  <dcterms:modified xsi:type="dcterms:W3CDTF">2026-08-28T08:28:08Z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19D94A2A880F94F03190906A96263582_42</vt:lpwstr>
  </property>
</Properties>
</file>