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B5488">
      <w:pPr>
        <w:pStyle w:val="17"/>
      </w:pPr>
      <w:r>
        <w:t>Designing the Analysis, Gathering Data, Analysing Data and Interpreting Results</w:t>
      </w:r>
    </w:p>
    <w:p w14:paraId="445A5A1F">
      <w:pPr>
        <w:pStyle w:val="16"/>
      </w:pPr>
      <w:r>
        <w:t>INFOSYS.704 IT Consultancy — Assignment 1, Deliverable 2 · Closing the Knowledge Handover Gap in Spark New Zealand’s Employee Exit Process</w:t>
      </w:r>
    </w:p>
    <w:p w14:paraId="05BA2CC5">
      <w:pPr>
        <w:pStyle w:val="25"/>
        <w:jc w:val="left"/>
      </w:pPr>
      <w:r>
        <w:rPr>
          <w:b/>
          <w:bCs/>
        </w:rPr>
        <w:t>Prepared for:</w:t>
      </w:r>
      <w:r>
        <w:t xml:space="preserve"> Spark New Zealand Limited</w:t>
      </w:r>
      <w:r>
        <w:br w:type="textWrapping"/>
      </w:r>
      <w:r>
        <w:rPr>
          <w:b/>
          <w:bCs/>
        </w:rPr>
        <w:t>Prepared by:</w:t>
      </w:r>
      <w:r>
        <w:t xml:space="preserve"> Xuan Zeng</w:t>
      </w:r>
      <w:r>
        <w:br w:type="textWrapping"/>
      </w:r>
      <w:r>
        <w:rPr>
          <w:b/>
          <w:bCs/>
        </w:rPr>
        <w:t>Problem domain:</w:t>
      </w:r>
      <w:r>
        <w:t xml:space="preserve"> Organisational</w:t>
      </w:r>
      <w:bookmarkStart w:id="85" w:name="_GoBack"/>
      <w:bookmarkEnd w:id="85"/>
    </w:p>
    <w:p w14:paraId="65A2B62C">
      <w:pPr>
        <w:pStyle w:val="25"/>
      </w:pPr>
      <w:r>
        <w:rPr>
          <w:b/>
          <w:bCs/>
        </w:rPr>
        <w:t>Note on scope and evidence.</w:t>
      </w:r>
      <w:r>
        <w:t xml:space="preserve"> This deliverable continues the organisational problem developed in A1-D1 and stays within that domain. Spark is listed on the NZX and ASX, so its financial results, workforce numbers, strategy and structure are public, and they are cited throughout. How its offboarding process works internally is not published. Where this report describes that process it is inferring from outcomes that can be observed, and it says so at those points. Sections 3 to 6 are designed to turn those inferences into tested findings.</w:t>
      </w:r>
    </w:p>
    <w:sdt>
      <w:sdtPr>
        <w:rPr>
          <w:rFonts w:ascii="宋体" w:hAnsi="宋体" w:eastAsia="宋体" w:cs="Times New Roman"/>
          <w:sz w:val="21"/>
          <w:szCs w:val="24"/>
          <w:lang w:val="en-US" w:eastAsia="en-US" w:bidi="ar-SA"/>
        </w:rPr>
        <w:id w:val="147468480"/>
        <w15:color w:val="DBDBDB"/>
        <w:docPartObj>
          <w:docPartGallery w:val="Table of Contents"/>
          <w:docPartUnique/>
        </w:docPartObj>
      </w:sdtPr>
      <w:sdtContent>
        <w:p w14:paraId="179E9FAD">
          <w:pPr>
            <w:pStyle w:val="41"/>
          </w:pPr>
          <w:bookmarkStart w:id="0" w:name="designing-the-analysis"/>
          <w:r>
            <w:t>Table of Contents</w:t>
          </w:r>
        </w:p>
        <w:p w14:paraId="30596003">
          <w:pPr>
            <w:pStyle w:val="15"/>
            <w:tabs>
              <w:tab w:val="right" w:leader="dot" w:pos="8640"/>
              <w:tab w:val="clear" w:pos="9360"/>
            </w:tabs>
          </w:pPr>
          <w:r>
            <w:fldChar w:fldCharType="begin"/>
          </w:r>
          <w:r>
            <w:instrText xml:space="preserve">TOC \o "1-2" \h \u </w:instrText>
          </w:r>
          <w:r>
            <w:fldChar w:fldCharType="separate"/>
          </w:r>
          <w:r>
            <w:fldChar w:fldCharType="begin"/>
          </w:r>
          <w:r>
            <w:instrText xml:space="preserve"> HYPERLINK \l _Toc25217 </w:instrText>
          </w:r>
          <w:r>
            <w:fldChar w:fldCharType="separate"/>
          </w:r>
          <w:r>
            <w:t>1. Designing the Analysis</w:t>
          </w:r>
          <w:r>
            <w:tab/>
          </w:r>
          <w:r>
            <w:fldChar w:fldCharType="begin"/>
          </w:r>
          <w:r>
            <w:instrText xml:space="preserve"> PAGEREF _Toc25217 \h </w:instrText>
          </w:r>
          <w:r>
            <w:fldChar w:fldCharType="separate"/>
          </w:r>
          <w:r>
            <w:t>2</w:t>
          </w:r>
          <w:r>
            <w:fldChar w:fldCharType="end"/>
          </w:r>
          <w:r>
            <w:fldChar w:fldCharType="end"/>
          </w:r>
        </w:p>
        <w:p w14:paraId="2215A93B">
          <w:pPr>
            <w:pStyle w:val="19"/>
            <w:tabs>
              <w:tab w:val="right" w:leader="dot" w:pos="8640"/>
              <w:tab w:val="clear" w:pos="9360"/>
            </w:tabs>
          </w:pPr>
          <w:r>
            <w:fldChar w:fldCharType="begin"/>
          </w:r>
          <w:r>
            <w:instrText xml:space="preserve"> HYPERLINK \l _Toc2573 </w:instrText>
          </w:r>
          <w:r>
            <w:fldChar w:fldCharType="separate"/>
          </w:r>
          <w:r>
            <w:t>1.1 What has been revised, and why</w:t>
          </w:r>
          <w:r>
            <w:tab/>
          </w:r>
          <w:r>
            <w:fldChar w:fldCharType="begin"/>
          </w:r>
          <w:r>
            <w:instrText xml:space="preserve"> PAGEREF _Toc2573 \h </w:instrText>
          </w:r>
          <w:r>
            <w:fldChar w:fldCharType="separate"/>
          </w:r>
          <w:r>
            <w:t>2</w:t>
          </w:r>
          <w:r>
            <w:fldChar w:fldCharType="end"/>
          </w:r>
          <w:r>
            <w:fldChar w:fldCharType="end"/>
          </w:r>
        </w:p>
        <w:p w14:paraId="58C2E127">
          <w:pPr>
            <w:pStyle w:val="19"/>
            <w:tabs>
              <w:tab w:val="right" w:leader="dot" w:pos="8640"/>
              <w:tab w:val="clear" w:pos="9360"/>
            </w:tabs>
          </w:pPr>
          <w:r>
            <w:fldChar w:fldCharType="begin"/>
          </w:r>
          <w:r>
            <w:instrText xml:space="preserve"> HYPERLINK \l _Toc17919 </w:instrText>
          </w:r>
          <w:r>
            <w:fldChar w:fldCharType="separate"/>
          </w:r>
          <w:r>
            <w:t>1.2 Revised dysfunctional process</w:t>
          </w:r>
          <w:r>
            <w:tab/>
          </w:r>
          <w:r>
            <w:fldChar w:fldCharType="begin"/>
          </w:r>
          <w:r>
            <w:instrText xml:space="preserve"> PAGEREF _Toc17919 \h </w:instrText>
          </w:r>
          <w:r>
            <w:fldChar w:fldCharType="separate"/>
          </w:r>
          <w:r>
            <w:t>3</w:t>
          </w:r>
          <w:r>
            <w:fldChar w:fldCharType="end"/>
          </w:r>
          <w:r>
            <w:fldChar w:fldCharType="end"/>
          </w:r>
        </w:p>
        <w:p w14:paraId="6EA5F1FC">
          <w:pPr>
            <w:pStyle w:val="19"/>
            <w:tabs>
              <w:tab w:val="right" w:leader="dot" w:pos="8640"/>
              <w:tab w:val="clear" w:pos="9360"/>
            </w:tabs>
          </w:pPr>
          <w:r>
            <w:fldChar w:fldCharType="begin"/>
          </w:r>
          <w:r>
            <w:instrText xml:space="preserve"> HYPERLINK \l _Toc15708 </w:instrText>
          </w:r>
          <w:r>
            <w:fldChar w:fldCharType="separate"/>
          </w:r>
          <w:r>
            <w:t>1.3 Revised problem statement</w:t>
          </w:r>
          <w:r>
            <w:tab/>
          </w:r>
          <w:r>
            <w:fldChar w:fldCharType="begin"/>
          </w:r>
          <w:r>
            <w:instrText xml:space="preserve"> PAGEREF _Toc15708 \h </w:instrText>
          </w:r>
          <w:r>
            <w:fldChar w:fldCharType="separate"/>
          </w:r>
          <w:r>
            <w:t>3</w:t>
          </w:r>
          <w:r>
            <w:fldChar w:fldCharType="end"/>
          </w:r>
          <w:r>
            <w:fldChar w:fldCharType="end"/>
          </w:r>
        </w:p>
        <w:p w14:paraId="69949420">
          <w:pPr>
            <w:pStyle w:val="19"/>
            <w:tabs>
              <w:tab w:val="right" w:leader="dot" w:pos="8640"/>
              <w:tab w:val="clear" w:pos="9360"/>
            </w:tabs>
          </w:pPr>
          <w:r>
            <w:fldChar w:fldCharType="begin"/>
          </w:r>
          <w:r>
            <w:instrText xml:space="preserve"> HYPERLINK \l _Toc19672 </w:instrText>
          </w:r>
          <w:r>
            <w:fldChar w:fldCharType="separate"/>
          </w:r>
          <w:r>
            <w:t>1.4 Revised issue tree</w:t>
          </w:r>
          <w:r>
            <w:tab/>
          </w:r>
          <w:r>
            <w:fldChar w:fldCharType="begin"/>
          </w:r>
          <w:r>
            <w:instrText xml:space="preserve"> PAGEREF _Toc19672 \h </w:instrText>
          </w:r>
          <w:r>
            <w:fldChar w:fldCharType="separate"/>
          </w:r>
          <w:r>
            <w:t>4</w:t>
          </w:r>
          <w:r>
            <w:fldChar w:fldCharType="end"/>
          </w:r>
          <w:r>
            <w:fldChar w:fldCharType="end"/>
          </w:r>
        </w:p>
        <w:p w14:paraId="7BB8669D">
          <w:pPr>
            <w:pStyle w:val="19"/>
            <w:tabs>
              <w:tab w:val="right" w:leader="dot" w:pos="8640"/>
              <w:tab w:val="clear" w:pos="9360"/>
            </w:tabs>
          </w:pPr>
          <w:r>
            <w:fldChar w:fldCharType="begin"/>
          </w:r>
          <w:r>
            <w:instrText xml:space="preserve"> HYPERLINK \l _Toc6168 </w:instrText>
          </w:r>
          <w:r>
            <w:fldChar w:fldCharType="separate"/>
          </w:r>
          <w:r>
            <w:t>1.5 Revised hypotheses</w:t>
          </w:r>
          <w:r>
            <w:tab/>
          </w:r>
          <w:r>
            <w:fldChar w:fldCharType="begin"/>
          </w:r>
          <w:r>
            <w:instrText xml:space="preserve"> PAGEREF _Toc6168 \h </w:instrText>
          </w:r>
          <w:r>
            <w:fldChar w:fldCharType="separate"/>
          </w:r>
          <w:r>
            <w:t>5</w:t>
          </w:r>
          <w:r>
            <w:fldChar w:fldCharType="end"/>
          </w:r>
          <w:r>
            <w:fldChar w:fldCharType="end"/>
          </w:r>
        </w:p>
        <w:p w14:paraId="7777CA2B">
          <w:pPr>
            <w:pStyle w:val="19"/>
            <w:tabs>
              <w:tab w:val="right" w:leader="dot" w:pos="8640"/>
              <w:tab w:val="clear" w:pos="9360"/>
            </w:tabs>
          </w:pPr>
          <w:r>
            <w:fldChar w:fldCharType="begin"/>
          </w:r>
          <w:r>
            <w:instrText xml:space="preserve"> HYPERLINK \l _Toc31211 </w:instrText>
          </w:r>
          <w:r>
            <w:fldChar w:fldCharType="separate"/>
          </w:r>
          <w:r>
            <w:t>1.6 Revised AS-IS process model</w:t>
          </w:r>
          <w:r>
            <w:tab/>
          </w:r>
          <w:r>
            <w:fldChar w:fldCharType="begin"/>
          </w:r>
          <w:r>
            <w:instrText xml:space="preserve"> PAGEREF _Toc31211 \h </w:instrText>
          </w:r>
          <w:r>
            <w:fldChar w:fldCharType="separate"/>
          </w:r>
          <w:r>
            <w:t>6</w:t>
          </w:r>
          <w:r>
            <w:fldChar w:fldCharType="end"/>
          </w:r>
          <w:r>
            <w:fldChar w:fldCharType="end"/>
          </w:r>
        </w:p>
        <w:p w14:paraId="66BE07AE">
          <w:pPr>
            <w:pStyle w:val="15"/>
            <w:tabs>
              <w:tab w:val="right" w:leader="dot" w:pos="8640"/>
              <w:tab w:val="clear" w:pos="9360"/>
            </w:tabs>
          </w:pPr>
          <w:r>
            <w:fldChar w:fldCharType="begin"/>
          </w:r>
          <w:r>
            <w:instrText xml:space="preserve"> HYPERLINK \l _Toc14250 </w:instrText>
          </w:r>
          <w:r>
            <w:fldChar w:fldCharType="separate"/>
          </w:r>
          <w:r>
            <w:t>2. Defining the KPI</w:t>
          </w:r>
          <w:r>
            <w:tab/>
          </w:r>
          <w:r>
            <w:fldChar w:fldCharType="begin"/>
          </w:r>
          <w:r>
            <w:instrText xml:space="preserve"> PAGEREF _Toc14250 \h </w:instrText>
          </w:r>
          <w:r>
            <w:fldChar w:fldCharType="separate"/>
          </w:r>
          <w:r>
            <w:t>7</w:t>
          </w:r>
          <w:r>
            <w:fldChar w:fldCharType="end"/>
          </w:r>
          <w:r>
            <w:fldChar w:fldCharType="end"/>
          </w:r>
        </w:p>
        <w:p w14:paraId="5F82D4FA">
          <w:pPr>
            <w:pStyle w:val="19"/>
            <w:tabs>
              <w:tab w:val="right" w:leader="dot" w:pos="8640"/>
              <w:tab w:val="clear" w:pos="9360"/>
            </w:tabs>
          </w:pPr>
          <w:r>
            <w:fldChar w:fldCharType="begin"/>
          </w:r>
          <w:r>
            <w:instrText xml:space="preserve"> HYPERLINK \l _Toc2806 </w:instrText>
          </w:r>
          <w:r>
            <w:fldChar w:fldCharType="separate"/>
          </w:r>
          <w:r>
            <w:t>2.1 Identifying and quantifying the dysfunction</w:t>
          </w:r>
          <w:r>
            <w:tab/>
          </w:r>
          <w:r>
            <w:fldChar w:fldCharType="begin"/>
          </w:r>
          <w:r>
            <w:instrText xml:space="preserve"> PAGEREF _Toc2806 \h </w:instrText>
          </w:r>
          <w:r>
            <w:fldChar w:fldCharType="separate"/>
          </w:r>
          <w:r>
            <w:t>7</w:t>
          </w:r>
          <w:r>
            <w:fldChar w:fldCharType="end"/>
          </w:r>
          <w:r>
            <w:fldChar w:fldCharType="end"/>
          </w:r>
        </w:p>
        <w:p w14:paraId="48609418">
          <w:pPr>
            <w:pStyle w:val="19"/>
            <w:tabs>
              <w:tab w:val="right" w:leader="dot" w:pos="8640"/>
              <w:tab w:val="clear" w:pos="9360"/>
            </w:tabs>
          </w:pPr>
          <w:r>
            <w:fldChar w:fldCharType="begin"/>
          </w:r>
          <w:r>
            <w:instrText xml:space="preserve"> HYPERLINK \l _Toc2281 </w:instrText>
          </w:r>
          <w:r>
            <w:fldChar w:fldCharType="separate"/>
          </w:r>
          <w:r>
            <w:t>2.2 One major KPI and two sub-KPIs</w:t>
          </w:r>
          <w:r>
            <w:tab/>
          </w:r>
          <w:r>
            <w:fldChar w:fldCharType="begin"/>
          </w:r>
          <w:r>
            <w:instrText xml:space="preserve"> PAGEREF _Toc2281 \h </w:instrText>
          </w:r>
          <w:r>
            <w:fldChar w:fldCharType="separate"/>
          </w:r>
          <w:r>
            <w:t>10</w:t>
          </w:r>
          <w:r>
            <w:fldChar w:fldCharType="end"/>
          </w:r>
          <w:r>
            <w:fldChar w:fldCharType="end"/>
          </w:r>
        </w:p>
        <w:p w14:paraId="2CB90C6B">
          <w:pPr>
            <w:pStyle w:val="15"/>
            <w:tabs>
              <w:tab w:val="right" w:leader="dot" w:pos="8640"/>
              <w:tab w:val="clear" w:pos="9360"/>
            </w:tabs>
          </w:pPr>
          <w:r>
            <w:fldChar w:fldCharType="begin"/>
          </w:r>
          <w:r>
            <w:instrText xml:space="preserve"> HYPERLINK \l _Toc3902 </w:instrText>
          </w:r>
          <w:r>
            <w:fldChar w:fldCharType="separate"/>
          </w:r>
          <w:r>
            <w:t>3. Analysis Work Plan</w:t>
          </w:r>
          <w:r>
            <w:tab/>
          </w:r>
          <w:r>
            <w:fldChar w:fldCharType="begin"/>
          </w:r>
          <w:r>
            <w:instrText xml:space="preserve"> PAGEREF _Toc3902 \h </w:instrText>
          </w:r>
          <w:r>
            <w:fldChar w:fldCharType="separate"/>
          </w:r>
          <w:r>
            <w:t>11</w:t>
          </w:r>
          <w:r>
            <w:fldChar w:fldCharType="end"/>
          </w:r>
          <w:r>
            <w:fldChar w:fldCharType="end"/>
          </w:r>
        </w:p>
        <w:p w14:paraId="098A60F3">
          <w:pPr>
            <w:pStyle w:val="15"/>
            <w:tabs>
              <w:tab w:val="right" w:leader="dot" w:pos="8640"/>
              <w:tab w:val="clear" w:pos="9360"/>
            </w:tabs>
          </w:pPr>
          <w:r>
            <w:fldChar w:fldCharType="begin"/>
          </w:r>
          <w:r>
            <w:instrText xml:space="preserve"> HYPERLINK \l _Toc1190 </w:instrText>
          </w:r>
          <w:r>
            <w:fldChar w:fldCharType="separate"/>
          </w:r>
          <w:r>
            <w:t>4. Data Gathering and Analysis Plan for the Key Hypothesis</w:t>
          </w:r>
          <w:r>
            <w:tab/>
          </w:r>
          <w:r>
            <w:fldChar w:fldCharType="begin"/>
          </w:r>
          <w:r>
            <w:instrText xml:space="preserve"> PAGEREF _Toc1190 \h </w:instrText>
          </w:r>
          <w:r>
            <w:fldChar w:fldCharType="separate"/>
          </w:r>
          <w:r>
            <w:t>14</w:t>
          </w:r>
          <w:r>
            <w:fldChar w:fldCharType="end"/>
          </w:r>
          <w:r>
            <w:fldChar w:fldCharType="end"/>
          </w:r>
        </w:p>
        <w:p w14:paraId="10E5D11A">
          <w:pPr>
            <w:pStyle w:val="19"/>
            <w:tabs>
              <w:tab w:val="right" w:leader="dot" w:pos="8640"/>
              <w:tab w:val="clear" w:pos="9360"/>
            </w:tabs>
          </w:pPr>
          <w:r>
            <w:fldChar w:fldCharType="begin"/>
          </w:r>
          <w:r>
            <w:instrText xml:space="preserve"> HYPERLINK \l _Toc12390 </w:instrText>
          </w:r>
          <w:r>
            <w:fldChar w:fldCharType="separate"/>
          </w:r>
          <w:r>
            <w:t>4.1 The key hypothesis</w:t>
          </w:r>
          <w:r>
            <w:tab/>
          </w:r>
          <w:r>
            <w:fldChar w:fldCharType="begin"/>
          </w:r>
          <w:r>
            <w:instrText xml:space="preserve"> PAGEREF _Toc12390 \h </w:instrText>
          </w:r>
          <w:r>
            <w:fldChar w:fldCharType="separate"/>
          </w:r>
          <w:r>
            <w:t>14</w:t>
          </w:r>
          <w:r>
            <w:fldChar w:fldCharType="end"/>
          </w:r>
          <w:r>
            <w:fldChar w:fldCharType="end"/>
          </w:r>
        </w:p>
        <w:p w14:paraId="635644A9">
          <w:pPr>
            <w:pStyle w:val="19"/>
            <w:tabs>
              <w:tab w:val="right" w:leader="dot" w:pos="8640"/>
              <w:tab w:val="clear" w:pos="9360"/>
            </w:tabs>
          </w:pPr>
          <w:r>
            <w:fldChar w:fldCharType="begin"/>
          </w:r>
          <w:r>
            <w:instrText xml:space="preserve"> HYPERLINK \l _Toc22955 </w:instrText>
          </w:r>
          <w:r>
            <w:fldChar w:fldCharType="separate"/>
          </w:r>
          <w:r>
            <w:t>4.2 Data to be collected</w:t>
          </w:r>
          <w:r>
            <w:tab/>
          </w:r>
          <w:r>
            <w:fldChar w:fldCharType="begin"/>
          </w:r>
          <w:r>
            <w:instrText xml:space="preserve"> PAGEREF _Toc22955 \h </w:instrText>
          </w:r>
          <w:r>
            <w:fldChar w:fldCharType="separate"/>
          </w:r>
          <w:r>
            <w:t>14</w:t>
          </w:r>
          <w:r>
            <w:fldChar w:fldCharType="end"/>
          </w:r>
          <w:r>
            <w:fldChar w:fldCharType="end"/>
          </w:r>
        </w:p>
        <w:p w14:paraId="3DB14623">
          <w:pPr>
            <w:pStyle w:val="19"/>
            <w:tabs>
              <w:tab w:val="right" w:leader="dot" w:pos="8640"/>
              <w:tab w:val="clear" w:pos="9360"/>
            </w:tabs>
          </w:pPr>
          <w:r>
            <w:fldChar w:fldCharType="begin"/>
          </w:r>
          <w:r>
            <w:instrText xml:space="preserve"> HYPERLINK \l _Toc9984 </w:instrText>
          </w:r>
          <w:r>
            <w:fldChar w:fldCharType="separate"/>
          </w:r>
          <w:r>
            <w:t>4.3 Sources of the data</w:t>
          </w:r>
          <w:r>
            <w:tab/>
          </w:r>
          <w:r>
            <w:fldChar w:fldCharType="begin"/>
          </w:r>
          <w:r>
            <w:instrText xml:space="preserve"> PAGEREF _Toc9984 \h </w:instrText>
          </w:r>
          <w:r>
            <w:fldChar w:fldCharType="separate"/>
          </w:r>
          <w:r>
            <w:t>15</w:t>
          </w:r>
          <w:r>
            <w:fldChar w:fldCharType="end"/>
          </w:r>
          <w:r>
            <w:fldChar w:fldCharType="end"/>
          </w:r>
        </w:p>
        <w:p w14:paraId="437AC0BC">
          <w:pPr>
            <w:pStyle w:val="19"/>
            <w:tabs>
              <w:tab w:val="right" w:leader="dot" w:pos="8640"/>
              <w:tab w:val="clear" w:pos="9360"/>
            </w:tabs>
          </w:pPr>
          <w:r>
            <w:fldChar w:fldCharType="begin"/>
          </w:r>
          <w:r>
            <w:instrText xml:space="preserve"> HYPERLINK \l _Toc14213 </w:instrText>
          </w:r>
          <w:r>
            <w:fldChar w:fldCharType="separate"/>
          </w:r>
          <w:r>
            <w:t>4.4 How the data will be collected</w:t>
          </w:r>
          <w:r>
            <w:tab/>
          </w:r>
          <w:r>
            <w:fldChar w:fldCharType="begin"/>
          </w:r>
          <w:r>
            <w:instrText xml:space="preserve"> PAGEREF _Toc14213 \h </w:instrText>
          </w:r>
          <w:r>
            <w:fldChar w:fldCharType="separate"/>
          </w:r>
          <w:r>
            <w:t>15</w:t>
          </w:r>
          <w:r>
            <w:fldChar w:fldCharType="end"/>
          </w:r>
          <w:r>
            <w:fldChar w:fldCharType="end"/>
          </w:r>
        </w:p>
        <w:p w14:paraId="59DB1F7D">
          <w:pPr>
            <w:pStyle w:val="19"/>
            <w:tabs>
              <w:tab w:val="right" w:leader="dot" w:pos="8640"/>
              <w:tab w:val="clear" w:pos="9360"/>
            </w:tabs>
          </w:pPr>
          <w:r>
            <w:fldChar w:fldCharType="begin"/>
          </w:r>
          <w:r>
            <w:instrText xml:space="preserve"> HYPERLINK \l _Toc24732 </w:instrText>
          </w:r>
          <w:r>
            <w:fldChar w:fldCharType="separate"/>
          </w:r>
          <w:r>
            <w:t>4.5 Analysis to be conducted</w:t>
          </w:r>
          <w:r>
            <w:tab/>
          </w:r>
          <w:r>
            <w:fldChar w:fldCharType="begin"/>
          </w:r>
          <w:r>
            <w:instrText xml:space="preserve"> PAGEREF _Toc24732 \h </w:instrText>
          </w:r>
          <w:r>
            <w:fldChar w:fldCharType="separate"/>
          </w:r>
          <w:r>
            <w:t>17</w:t>
          </w:r>
          <w:r>
            <w:fldChar w:fldCharType="end"/>
          </w:r>
          <w:r>
            <w:fldChar w:fldCharType="end"/>
          </w:r>
        </w:p>
        <w:p w14:paraId="73824AD4">
          <w:pPr>
            <w:pStyle w:val="19"/>
            <w:tabs>
              <w:tab w:val="right" w:leader="dot" w:pos="8640"/>
              <w:tab w:val="clear" w:pos="9360"/>
            </w:tabs>
          </w:pPr>
          <w:r>
            <w:fldChar w:fldCharType="begin"/>
          </w:r>
          <w:r>
            <w:instrText xml:space="preserve"> HYPERLINK \l _Toc18643 </w:instrText>
          </w:r>
          <w:r>
            <w:fldChar w:fldCharType="separate"/>
          </w:r>
          <w:r>
            <w:t>4.6 Visualisations proposed</w:t>
          </w:r>
          <w:r>
            <w:tab/>
          </w:r>
          <w:r>
            <w:fldChar w:fldCharType="begin"/>
          </w:r>
          <w:r>
            <w:instrText xml:space="preserve"> PAGEREF _Toc18643 \h </w:instrText>
          </w:r>
          <w:r>
            <w:fldChar w:fldCharType="separate"/>
          </w:r>
          <w:r>
            <w:t>18</w:t>
          </w:r>
          <w:r>
            <w:fldChar w:fldCharType="end"/>
          </w:r>
          <w:r>
            <w:fldChar w:fldCharType="end"/>
          </w:r>
        </w:p>
        <w:p w14:paraId="73DDBE71">
          <w:pPr>
            <w:pStyle w:val="15"/>
            <w:tabs>
              <w:tab w:val="right" w:leader="dot" w:pos="8640"/>
              <w:tab w:val="clear" w:pos="9360"/>
            </w:tabs>
          </w:pPr>
          <w:r>
            <w:fldChar w:fldCharType="begin"/>
          </w:r>
          <w:r>
            <w:instrText xml:space="preserve"> HYPERLINK \l _Toc19301 </w:instrText>
          </w:r>
          <w:r>
            <w:fldChar w:fldCharType="separate"/>
          </w:r>
          <w:r>
            <w:t>5. Semi-Structured Interview Guide</w:t>
          </w:r>
          <w:r>
            <w:tab/>
          </w:r>
          <w:r>
            <w:fldChar w:fldCharType="begin"/>
          </w:r>
          <w:r>
            <w:instrText xml:space="preserve"> PAGEREF _Toc19301 \h </w:instrText>
          </w:r>
          <w:r>
            <w:fldChar w:fldCharType="separate"/>
          </w:r>
          <w:r>
            <w:t>20</w:t>
          </w:r>
          <w:r>
            <w:fldChar w:fldCharType="end"/>
          </w:r>
          <w:r>
            <w:fldChar w:fldCharType="end"/>
          </w:r>
        </w:p>
        <w:p w14:paraId="3711E16B">
          <w:pPr>
            <w:pStyle w:val="19"/>
            <w:tabs>
              <w:tab w:val="right" w:leader="dot" w:pos="8640"/>
              <w:tab w:val="clear" w:pos="9360"/>
            </w:tabs>
          </w:pPr>
          <w:r>
            <w:fldChar w:fldCharType="begin"/>
          </w:r>
          <w:r>
            <w:instrText xml:space="preserve"> HYPERLINK \l _Toc8443 </w:instrText>
          </w:r>
          <w:r>
            <w:fldChar w:fldCharType="separate"/>
          </w:r>
          <w:r>
            <w:t>5.1 Purpose and design of the guide</w:t>
          </w:r>
          <w:r>
            <w:tab/>
          </w:r>
          <w:r>
            <w:fldChar w:fldCharType="begin"/>
          </w:r>
          <w:r>
            <w:instrText xml:space="preserve"> PAGEREF _Toc8443 \h </w:instrText>
          </w:r>
          <w:r>
            <w:fldChar w:fldCharType="separate"/>
          </w:r>
          <w:r>
            <w:t>20</w:t>
          </w:r>
          <w:r>
            <w:fldChar w:fldCharType="end"/>
          </w:r>
          <w:r>
            <w:fldChar w:fldCharType="end"/>
          </w:r>
        </w:p>
        <w:p w14:paraId="5E676F0D">
          <w:pPr>
            <w:pStyle w:val="19"/>
            <w:tabs>
              <w:tab w:val="right" w:leader="dot" w:pos="8640"/>
              <w:tab w:val="clear" w:pos="9360"/>
            </w:tabs>
          </w:pPr>
          <w:r>
            <w:fldChar w:fldCharType="begin"/>
          </w:r>
          <w:r>
            <w:instrText xml:space="preserve"> HYPERLINK \l _Toc7049 </w:instrText>
          </w:r>
          <w:r>
            <w:fldChar w:fldCharType="separate"/>
          </w:r>
          <w:r>
            <w:t>5.2 Briefing issued with the guide</w:t>
          </w:r>
          <w:r>
            <w:tab/>
          </w:r>
          <w:r>
            <w:fldChar w:fldCharType="begin"/>
          </w:r>
          <w:r>
            <w:instrText xml:space="preserve"> PAGEREF _Toc7049 \h </w:instrText>
          </w:r>
          <w:r>
            <w:fldChar w:fldCharType="separate"/>
          </w:r>
          <w:r>
            <w:t>21</w:t>
          </w:r>
          <w:r>
            <w:fldChar w:fldCharType="end"/>
          </w:r>
          <w:r>
            <w:fldChar w:fldCharType="end"/>
          </w:r>
        </w:p>
        <w:p w14:paraId="0A1D2F30">
          <w:pPr>
            <w:pStyle w:val="19"/>
            <w:tabs>
              <w:tab w:val="right" w:leader="dot" w:pos="8640"/>
              <w:tab w:val="clear" w:pos="9360"/>
            </w:tabs>
          </w:pPr>
          <w:r>
            <w:fldChar w:fldCharType="begin"/>
          </w:r>
          <w:r>
            <w:instrText xml:space="preserve"> HYPERLINK \l _Toc16481 </w:instrText>
          </w:r>
          <w:r>
            <w:fldChar w:fldCharType="separate"/>
          </w:r>
          <w:r>
            <w:t>5.3 The guide</w:t>
          </w:r>
          <w:r>
            <w:tab/>
          </w:r>
          <w:r>
            <w:fldChar w:fldCharType="begin"/>
          </w:r>
          <w:r>
            <w:instrText xml:space="preserve"> PAGEREF _Toc16481 \h </w:instrText>
          </w:r>
          <w:r>
            <w:fldChar w:fldCharType="separate"/>
          </w:r>
          <w:r>
            <w:t>22</w:t>
          </w:r>
          <w:r>
            <w:fldChar w:fldCharType="end"/>
          </w:r>
          <w:r>
            <w:fldChar w:fldCharType="end"/>
          </w:r>
        </w:p>
        <w:p w14:paraId="5AEA236A">
          <w:pPr>
            <w:pStyle w:val="15"/>
            <w:tabs>
              <w:tab w:val="right" w:leader="dot" w:pos="8640"/>
              <w:tab w:val="clear" w:pos="9360"/>
            </w:tabs>
          </w:pPr>
          <w:r>
            <w:fldChar w:fldCharType="begin"/>
          </w:r>
          <w:r>
            <w:instrText xml:space="preserve"> HYPERLINK \l _Toc16639 </w:instrText>
          </w:r>
          <w:r>
            <w:fldChar w:fldCharType="separate"/>
          </w:r>
          <w:r>
            <w:t>6. Conducting the Interviews and Analysing the Results</w:t>
          </w:r>
          <w:r>
            <w:tab/>
          </w:r>
          <w:r>
            <w:fldChar w:fldCharType="begin"/>
          </w:r>
          <w:r>
            <w:instrText xml:space="preserve"> PAGEREF _Toc16639 \h </w:instrText>
          </w:r>
          <w:r>
            <w:fldChar w:fldCharType="separate"/>
          </w:r>
          <w:r>
            <w:t>24</w:t>
          </w:r>
          <w:r>
            <w:fldChar w:fldCharType="end"/>
          </w:r>
          <w:r>
            <w:fldChar w:fldCharType="end"/>
          </w:r>
        </w:p>
        <w:p w14:paraId="3098EC0F">
          <w:pPr>
            <w:pStyle w:val="19"/>
            <w:tabs>
              <w:tab w:val="right" w:leader="dot" w:pos="8640"/>
              <w:tab w:val="clear" w:pos="9360"/>
            </w:tabs>
          </w:pPr>
          <w:r>
            <w:fldChar w:fldCharType="begin"/>
          </w:r>
          <w:r>
            <w:instrText xml:space="preserve"> HYPERLINK \l _Toc11170 </w:instrText>
          </w:r>
          <w:r>
            <w:fldChar w:fldCharType="separate"/>
          </w:r>
          <w:r>
            <w:t>6.1 Interview 1 — Rae Huang (financial problem domain)</w:t>
          </w:r>
          <w:r>
            <w:tab/>
          </w:r>
          <w:r>
            <w:fldChar w:fldCharType="begin"/>
          </w:r>
          <w:r>
            <w:instrText xml:space="preserve"> PAGEREF _Toc11170 \h </w:instrText>
          </w:r>
          <w:r>
            <w:fldChar w:fldCharType="separate"/>
          </w:r>
          <w:r>
            <w:t>24</w:t>
          </w:r>
          <w:r>
            <w:fldChar w:fldCharType="end"/>
          </w:r>
          <w:r>
            <w:fldChar w:fldCharType="end"/>
          </w:r>
        </w:p>
        <w:p w14:paraId="27EA32FB">
          <w:pPr>
            <w:pStyle w:val="19"/>
            <w:tabs>
              <w:tab w:val="right" w:leader="dot" w:pos="8640"/>
              <w:tab w:val="clear" w:pos="9360"/>
            </w:tabs>
          </w:pPr>
          <w:r>
            <w:fldChar w:fldCharType="begin"/>
          </w:r>
          <w:r>
            <w:instrText xml:space="preserve"> HYPERLINK \l _Toc14445 </w:instrText>
          </w:r>
          <w:r>
            <w:fldChar w:fldCharType="separate"/>
          </w:r>
          <w:r>
            <w:t>6.2 Interview 2 — Generative AI</w:t>
          </w:r>
          <w:r>
            <w:tab/>
          </w:r>
          <w:r>
            <w:fldChar w:fldCharType="begin"/>
          </w:r>
          <w:r>
            <w:instrText xml:space="preserve"> PAGEREF _Toc14445 \h </w:instrText>
          </w:r>
          <w:r>
            <w:fldChar w:fldCharType="separate"/>
          </w:r>
          <w:r>
            <w:t>29</w:t>
          </w:r>
          <w:r>
            <w:fldChar w:fldCharType="end"/>
          </w:r>
          <w:r>
            <w:fldChar w:fldCharType="end"/>
          </w:r>
        </w:p>
        <w:p w14:paraId="2B60F3F8">
          <w:pPr>
            <w:pStyle w:val="19"/>
            <w:tabs>
              <w:tab w:val="right" w:leader="dot" w:pos="8640"/>
              <w:tab w:val="clear" w:pos="9360"/>
            </w:tabs>
          </w:pPr>
          <w:r>
            <w:fldChar w:fldCharType="begin"/>
          </w:r>
          <w:r>
            <w:instrText xml:space="preserve"> HYPERLINK \l _Toc13666 </w:instrText>
          </w:r>
          <w:r>
            <w:fldChar w:fldCharType="separate"/>
          </w:r>
          <w:r>
            <w:t>6.3 Synthesis of the findings</w:t>
          </w:r>
          <w:r>
            <w:tab/>
          </w:r>
          <w:r>
            <w:fldChar w:fldCharType="begin"/>
          </w:r>
          <w:r>
            <w:instrText xml:space="preserve"> PAGEREF _Toc13666 \h </w:instrText>
          </w:r>
          <w:r>
            <w:fldChar w:fldCharType="separate"/>
          </w:r>
          <w:r>
            <w:t>36</w:t>
          </w:r>
          <w:r>
            <w:fldChar w:fldCharType="end"/>
          </w:r>
          <w:r>
            <w:fldChar w:fldCharType="end"/>
          </w:r>
        </w:p>
        <w:p w14:paraId="39F629BF">
          <w:pPr>
            <w:pStyle w:val="19"/>
            <w:tabs>
              <w:tab w:val="right" w:leader="dot" w:pos="8640"/>
              <w:tab w:val="clear" w:pos="9360"/>
            </w:tabs>
          </w:pPr>
          <w:r>
            <w:fldChar w:fldCharType="begin"/>
          </w:r>
          <w:r>
            <w:instrText xml:space="preserve"> HYPERLINK \l _Toc30771 </w:instrText>
          </w:r>
          <w:r>
            <w:fldChar w:fldCharType="separate"/>
          </w:r>
          <w:r>
            <w:t>6.4 Impact on the hypotheses</w:t>
          </w:r>
          <w:r>
            <w:tab/>
          </w:r>
          <w:r>
            <w:fldChar w:fldCharType="begin"/>
          </w:r>
          <w:r>
            <w:instrText xml:space="preserve"> PAGEREF _Toc30771 \h </w:instrText>
          </w:r>
          <w:r>
            <w:fldChar w:fldCharType="separate"/>
          </w:r>
          <w:r>
            <w:t>39</w:t>
          </w:r>
          <w:r>
            <w:fldChar w:fldCharType="end"/>
          </w:r>
          <w:r>
            <w:fldChar w:fldCharType="end"/>
          </w:r>
        </w:p>
        <w:p w14:paraId="5E2A256D">
          <w:pPr>
            <w:pStyle w:val="15"/>
            <w:tabs>
              <w:tab w:val="right" w:leader="dot" w:pos="8640"/>
              <w:tab w:val="clear" w:pos="9360"/>
            </w:tabs>
          </w:pPr>
          <w:r>
            <w:fldChar w:fldCharType="begin"/>
          </w:r>
          <w:r>
            <w:instrText xml:space="preserve"> HYPERLINK \l _Toc22432 </w:instrText>
          </w:r>
          <w:r>
            <w:fldChar w:fldCharType="separate"/>
          </w:r>
          <w:r>
            <w:t>7. Analysing the Data, Interpreting the Results and Suggesting Probable Solutions</w:t>
          </w:r>
          <w:r>
            <w:tab/>
          </w:r>
          <w:r>
            <w:fldChar w:fldCharType="begin"/>
          </w:r>
          <w:r>
            <w:instrText xml:space="preserve"> PAGEREF _Toc22432 \h </w:instrText>
          </w:r>
          <w:r>
            <w:fldChar w:fldCharType="separate"/>
          </w:r>
          <w:r>
            <w:t>42</w:t>
          </w:r>
          <w:r>
            <w:fldChar w:fldCharType="end"/>
          </w:r>
          <w:r>
            <w:fldChar w:fldCharType="end"/>
          </w:r>
        </w:p>
        <w:p w14:paraId="74BC8CB4">
          <w:pPr>
            <w:pStyle w:val="19"/>
            <w:tabs>
              <w:tab w:val="right" w:leader="dot" w:pos="8640"/>
              <w:tab w:val="clear" w:pos="9360"/>
            </w:tabs>
          </w:pPr>
          <w:r>
            <w:fldChar w:fldCharType="begin"/>
          </w:r>
          <w:r>
            <w:instrText xml:space="preserve"> HYPERLINK \l _Toc749 </w:instrText>
          </w:r>
          <w:r>
            <w:fldChar w:fldCharType="separate"/>
          </w:r>
          <w:r>
            <w:t>7.1 Solution tree</w:t>
          </w:r>
          <w:r>
            <w:tab/>
          </w:r>
          <w:r>
            <w:fldChar w:fldCharType="begin"/>
          </w:r>
          <w:r>
            <w:instrText xml:space="preserve"> PAGEREF _Toc749 \h </w:instrText>
          </w:r>
          <w:r>
            <w:fldChar w:fldCharType="separate"/>
          </w:r>
          <w:r>
            <w:t>42</w:t>
          </w:r>
          <w:r>
            <w:fldChar w:fldCharType="end"/>
          </w:r>
          <w:r>
            <w:fldChar w:fldCharType="end"/>
          </w:r>
        </w:p>
        <w:p w14:paraId="18F50F39">
          <w:pPr>
            <w:pStyle w:val="19"/>
            <w:tabs>
              <w:tab w:val="right" w:leader="dot" w:pos="8640"/>
              <w:tab w:val="clear" w:pos="9360"/>
            </w:tabs>
          </w:pPr>
          <w:r>
            <w:fldChar w:fldCharType="begin"/>
          </w:r>
          <w:r>
            <w:instrText xml:space="preserve"> HYPERLINK \l _Toc8378 </w:instrText>
          </w:r>
          <w:r>
            <w:fldChar w:fldCharType="separate"/>
          </w:r>
          <w:r>
            <w:t>7.2 Identifying and justifying the best solution</w:t>
          </w:r>
          <w:r>
            <w:tab/>
          </w:r>
          <w:r>
            <w:fldChar w:fldCharType="begin"/>
          </w:r>
          <w:r>
            <w:instrText xml:space="preserve"> PAGEREF _Toc8378 \h </w:instrText>
          </w:r>
          <w:r>
            <w:fldChar w:fldCharType="separate"/>
          </w:r>
          <w:r>
            <w:t>43</w:t>
          </w:r>
          <w:r>
            <w:fldChar w:fldCharType="end"/>
          </w:r>
          <w:r>
            <w:fldChar w:fldCharType="end"/>
          </w:r>
        </w:p>
        <w:p w14:paraId="02B1E74F">
          <w:pPr>
            <w:pStyle w:val="19"/>
            <w:tabs>
              <w:tab w:val="right" w:leader="dot" w:pos="8640"/>
              <w:tab w:val="clear" w:pos="9360"/>
            </w:tabs>
          </w:pPr>
          <w:r>
            <w:fldChar w:fldCharType="begin"/>
          </w:r>
          <w:r>
            <w:instrText xml:space="preserve"> HYPERLINK \l _Toc13034 </w:instrText>
          </w:r>
          <w:r>
            <w:fldChar w:fldCharType="separate"/>
          </w:r>
          <w:r>
            <w:t>7.3 How the chosen solution improves the dysfunctional process</w:t>
          </w:r>
          <w:r>
            <w:tab/>
          </w:r>
          <w:r>
            <w:fldChar w:fldCharType="begin"/>
          </w:r>
          <w:r>
            <w:instrText xml:space="preserve"> PAGEREF _Toc13034 \h </w:instrText>
          </w:r>
          <w:r>
            <w:fldChar w:fldCharType="separate"/>
          </w:r>
          <w:r>
            <w:t>48</w:t>
          </w:r>
          <w:r>
            <w:fldChar w:fldCharType="end"/>
          </w:r>
          <w:r>
            <w:fldChar w:fldCharType="end"/>
          </w:r>
        </w:p>
        <w:p w14:paraId="20A2B6C6">
          <w:pPr>
            <w:pStyle w:val="15"/>
            <w:tabs>
              <w:tab w:val="right" w:leader="dot" w:pos="8640"/>
              <w:tab w:val="clear" w:pos="9360"/>
            </w:tabs>
          </w:pPr>
          <w:r>
            <w:fldChar w:fldCharType="begin"/>
          </w:r>
          <w:r>
            <w:instrText xml:space="preserve"> HYPERLINK \l _Toc6533 </w:instrText>
          </w:r>
          <w:r>
            <w:fldChar w:fldCharType="separate"/>
          </w:r>
          <w:r>
            <w:t>8. Proposing the TO-BE Process Model</w:t>
          </w:r>
          <w:r>
            <w:tab/>
          </w:r>
          <w:r>
            <w:fldChar w:fldCharType="begin"/>
          </w:r>
          <w:r>
            <w:instrText xml:space="preserve"> PAGEREF _Toc6533 \h </w:instrText>
          </w:r>
          <w:r>
            <w:fldChar w:fldCharType="separate"/>
          </w:r>
          <w:r>
            <w:t>50</w:t>
          </w:r>
          <w:r>
            <w:fldChar w:fldCharType="end"/>
          </w:r>
          <w:r>
            <w:fldChar w:fldCharType="end"/>
          </w:r>
        </w:p>
        <w:p w14:paraId="355510C6">
          <w:pPr>
            <w:pStyle w:val="19"/>
            <w:tabs>
              <w:tab w:val="right" w:leader="dot" w:pos="8640"/>
              <w:tab w:val="clear" w:pos="9360"/>
            </w:tabs>
          </w:pPr>
          <w:r>
            <w:fldChar w:fldCharType="begin"/>
          </w:r>
          <w:r>
            <w:instrText xml:space="preserve"> HYPERLINK \l _Toc11877 </w:instrText>
          </w:r>
          <w:r>
            <w:fldChar w:fldCharType="separate"/>
          </w:r>
          <w:r>
            <w:t>8.1 Use of GenAI to flesh out the TO-BE process</w:t>
          </w:r>
          <w:r>
            <w:tab/>
          </w:r>
          <w:r>
            <w:fldChar w:fldCharType="begin"/>
          </w:r>
          <w:r>
            <w:instrText xml:space="preserve"> PAGEREF _Toc11877 \h </w:instrText>
          </w:r>
          <w:r>
            <w:fldChar w:fldCharType="separate"/>
          </w:r>
          <w:r>
            <w:t>50</w:t>
          </w:r>
          <w:r>
            <w:fldChar w:fldCharType="end"/>
          </w:r>
          <w:r>
            <w:fldChar w:fldCharType="end"/>
          </w:r>
        </w:p>
        <w:p w14:paraId="1AF2DE9D">
          <w:pPr>
            <w:pStyle w:val="19"/>
            <w:tabs>
              <w:tab w:val="right" w:leader="dot" w:pos="8640"/>
              <w:tab w:val="clear" w:pos="9360"/>
            </w:tabs>
          </w:pPr>
          <w:r>
            <w:fldChar w:fldCharType="begin"/>
          </w:r>
          <w:r>
            <w:instrText xml:space="preserve"> HYPERLINK \l _Toc29984 </w:instrText>
          </w:r>
          <w:r>
            <w:fldChar w:fldCharType="separate"/>
          </w:r>
          <w:r>
            <w:t>8.2 Evaluation of the GenAI output</w:t>
          </w:r>
          <w:r>
            <w:tab/>
          </w:r>
          <w:r>
            <w:fldChar w:fldCharType="begin"/>
          </w:r>
          <w:r>
            <w:instrText xml:space="preserve"> PAGEREF _Toc29984 \h </w:instrText>
          </w:r>
          <w:r>
            <w:fldChar w:fldCharType="separate"/>
          </w:r>
          <w:r>
            <w:t>54</w:t>
          </w:r>
          <w:r>
            <w:fldChar w:fldCharType="end"/>
          </w:r>
          <w:r>
            <w:fldChar w:fldCharType="end"/>
          </w:r>
        </w:p>
        <w:p w14:paraId="2B68B073">
          <w:pPr>
            <w:pStyle w:val="19"/>
            <w:tabs>
              <w:tab w:val="right" w:leader="dot" w:pos="8640"/>
              <w:tab w:val="clear" w:pos="9360"/>
            </w:tabs>
          </w:pPr>
          <w:r>
            <w:fldChar w:fldCharType="begin"/>
          </w:r>
          <w:r>
            <w:instrText xml:space="preserve"> HYPERLINK \l _Toc12936 </w:instrText>
          </w:r>
          <w:r>
            <w:fldChar w:fldCharType="separate"/>
          </w:r>
          <w:r>
            <w:t>8.3 The TO-BE process model</w:t>
          </w:r>
          <w:r>
            <w:tab/>
          </w:r>
          <w:r>
            <w:fldChar w:fldCharType="begin"/>
          </w:r>
          <w:r>
            <w:instrText xml:space="preserve"> PAGEREF _Toc12936 \h </w:instrText>
          </w:r>
          <w:r>
            <w:fldChar w:fldCharType="separate"/>
          </w:r>
          <w:r>
            <w:t>56</w:t>
          </w:r>
          <w:r>
            <w:fldChar w:fldCharType="end"/>
          </w:r>
          <w:r>
            <w:fldChar w:fldCharType="end"/>
          </w:r>
        </w:p>
        <w:p w14:paraId="62B77313">
          <w:pPr>
            <w:pStyle w:val="15"/>
            <w:tabs>
              <w:tab w:val="right" w:leader="dot" w:pos="8640"/>
              <w:tab w:val="clear" w:pos="9360"/>
            </w:tabs>
          </w:pPr>
          <w:r>
            <w:fldChar w:fldCharType="begin"/>
          </w:r>
          <w:r>
            <w:instrText xml:space="preserve"> HYPERLINK \l _Toc8306 </w:instrText>
          </w:r>
          <w:r>
            <w:fldChar w:fldCharType="separate"/>
          </w:r>
          <w:r>
            <w:t>9. Recommending the Solution to Implement</w:t>
          </w:r>
          <w:r>
            <w:tab/>
          </w:r>
          <w:r>
            <w:fldChar w:fldCharType="begin"/>
          </w:r>
          <w:r>
            <w:instrText xml:space="preserve"> PAGEREF _Toc8306 \h </w:instrText>
          </w:r>
          <w:r>
            <w:fldChar w:fldCharType="separate"/>
          </w:r>
          <w:r>
            <w:t>58</w:t>
          </w:r>
          <w:r>
            <w:fldChar w:fldCharType="end"/>
          </w:r>
          <w:r>
            <w:fldChar w:fldCharType="end"/>
          </w:r>
        </w:p>
        <w:p w14:paraId="4E7B2298">
          <w:pPr>
            <w:pStyle w:val="19"/>
            <w:tabs>
              <w:tab w:val="right" w:leader="dot" w:pos="8640"/>
              <w:tab w:val="clear" w:pos="9360"/>
            </w:tabs>
          </w:pPr>
          <w:r>
            <w:fldChar w:fldCharType="begin"/>
          </w:r>
          <w:r>
            <w:instrText xml:space="preserve"> HYPERLINK \l _Toc4991 </w:instrText>
          </w:r>
          <w:r>
            <w:fldChar w:fldCharType="separate"/>
          </w:r>
          <w:r>
            <w:t>9.1 The recommendation as a structured narrative</w:t>
          </w:r>
          <w:r>
            <w:tab/>
          </w:r>
          <w:r>
            <w:fldChar w:fldCharType="begin"/>
          </w:r>
          <w:r>
            <w:instrText xml:space="preserve"> PAGEREF _Toc4991 \h </w:instrText>
          </w:r>
          <w:r>
            <w:fldChar w:fldCharType="separate"/>
          </w:r>
          <w:r>
            <w:t>58</w:t>
          </w:r>
          <w:r>
            <w:fldChar w:fldCharType="end"/>
          </w:r>
          <w:r>
            <w:fldChar w:fldCharType="end"/>
          </w:r>
        </w:p>
        <w:p w14:paraId="1CE16C3E">
          <w:pPr>
            <w:pStyle w:val="19"/>
            <w:tabs>
              <w:tab w:val="right" w:leader="dot" w:pos="8640"/>
              <w:tab w:val="clear" w:pos="9360"/>
            </w:tabs>
          </w:pPr>
          <w:r>
            <w:fldChar w:fldCharType="begin"/>
          </w:r>
          <w:r>
            <w:instrText xml:space="preserve"> HYPERLINK \l _Toc13930 </w:instrText>
          </w:r>
          <w:r>
            <w:fldChar w:fldCharType="separate"/>
          </w:r>
          <w:r>
            <w:t>9.2 Key insights</w:t>
          </w:r>
          <w:r>
            <w:tab/>
          </w:r>
          <w:r>
            <w:fldChar w:fldCharType="begin"/>
          </w:r>
          <w:r>
            <w:instrText xml:space="preserve"> PAGEREF _Toc13930 \h </w:instrText>
          </w:r>
          <w:r>
            <w:fldChar w:fldCharType="separate"/>
          </w:r>
          <w:r>
            <w:t>59</w:t>
          </w:r>
          <w:r>
            <w:fldChar w:fldCharType="end"/>
          </w:r>
          <w:r>
            <w:fldChar w:fldCharType="end"/>
          </w:r>
        </w:p>
        <w:p w14:paraId="17FB4F08">
          <w:pPr>
            <w:pStyle w:val="19"/>
            <w:tabs>
              <w:tab w:val="right" w:leader="dot" w:pos="8640"/>
              <w:tab w:val="clear" w:pos="9360"/>
            </w:tabs>
          </w:pPr>
          <w:r>
            <w:fldChar w:fldCharType="begin"/>
          </w:r>
          <w:r>
            <w:instrText xml:space="preserve"> HYPERLINK \l _Toc546 </w:instrText>
          </w:r>
          <w:r>
            <w:fldChar w:fldCharType="separate"/>
          </w:r>
          <w:r>
            <w:t>9.3 Recommendations for implementation</w:t>
          </w:r>
          <w:r>
            <w:tab/>
          </w:r>
          <w:r>
            <w:fldChar w:fldCharType="begin"/>
          </w:r>
          <w:r>
            <w:instrText xml:space="preserve"> PAGEREF _Toc546 \h </w:instrText>
          </w:r>
          <w:r>
            <w:fldChar w:fldCharType="separate"/>
          </w:r>
          <w:r>
            <w:t>60</w:t>
          </w:r>
          <w:r>
            <w:fldChar w:fldCharType="end"/>
          </w:r>
          <w:r>
            <w:fldChar w:fldCharType="end"/>
          </w:r>
        </w:p>
        <w:p w14:paraId="2983BABA">
          <w:pPr>
            <w:pStyle w:val="15"/>
            <w:tabs>
              <w:tab w:val="right" w:leader="dot" w:pos="8640"/>
              <w:tab w:val="clear" w:pos="9360"/>
            </w:tabs>
          </w:pPr>
          <w:r>
            <w:fldChar w:fldCharType="begin"/>
          </w:r>
          <w:r>
            <w:instrText xml:space="preserve"> HYPERLINK \l _Toc18304 </w:instrText>
          </w:r>
          <w:r>
            <w:fldChar w:fldCharType="separate"/>
          </w:r>
          <w:r>
            <w:t>References</w:t>
          </w:r>
          <w:r>
            <w:tab/>
          </w:r>
          <w:r>
            <w:fldChar w:fldCharType="begin"/>
          </w:r>
          <w:r>
            <w:instrText xml:space="preserve"> PAGEREF _Toc18304 \h </w:instrText>
          </w:r>
          <w:r>
            <w:fldChar w:fldCharType="separate"/>
          </w:r>
          <w:r>
            <w:t>62</w:t>
          </w:r>
          <w:r>
            <w:fldChar w:fldCharType="end"/>
          </w:r>
          <w:r>
            <w:fldChar w:fldCharType="end"/>
          </w:r>
        </w:p>
        <w:p w14:paraId="13D3849B">
          <w:pPr>
            <w:pStyle w:val="15"/>
            <w:tabs>
              <w:tab w:val="right" w:leader="dot" w:pos="8640"/>
              <w:tab w:val="clear" w:pos="9360"/>
            </w:tabs>
          </w:pPr>
          <w:r>
            <w:fldChar w:fldCharType="begin"/>
          </w:r>
          <w:r>
            <w:instrText xml:space="preserve"> HYPERLINK \l _Toc27653 </w:instrText>
          </w:r>
          <w:r>
            <w:fldChar w:fldCharType="separate"/>
          </w:r>
          <w:r>
            <w:t>Appendix A. Statement on the use of generative AI</w:t>
          </w:r>
          <w:r>
            <w:tab/>
          </w:r>
          <w:r>
            <w:fldChar w:fldCharType="begin"/>
          </w:r>
          <w:r>
            <w:instrText xml:space="preserve"> PAGEREF _Toc27653 \h </w:instrText>
          </w:r>
          <w:r>
            <w:fldChar w:fldCharType="separate"/>
          </w:r>
          <w:r>
            <w:t>64</w:t>
          </w:r>
          <w:r>
            <w:fldChar w:fldCharType="end"/>
          </w:r>
          <w:r>
            <w:fldChar w:fldCharType="end"/>
          </w:r>
        </w:p>
        <w:p w14:paraId="4DCD0309">
          <w:r>
            <w:fldChar w:fldCharType="end"/>
          </w:r>
        </w:p>
      </w:sdtContent>
    </w:sdt>
    <w:p w14:paraId="642681AE"/>
    <w:p w14:paraId="7E200337">
      <w:pPr>
        <w:pStyle w:val="2"/>
      </w:pPr>
      <w:bookmarkStart w:id="1" w:name="_Toc25217"/>
      <w:r>
        <w:rPr>
          <w:color w:val="1F3864"/>
        </w:rPr>
        <w:t>1. Designing the Analysis</w:t>
      </w:r>
      <w:bookmarkEnd w:id="1"/>
    </w:p>
    <w:p w14:paraId="4895AFF7">
      <w:pPr>
        <w:pStyle w:val="4"/>
      </w:pPr>
      <w:bookmarkStart w:id="2" w:name="_Toc2573"/>
      <w:bookmarkStart w:id="3" w:name="what-has-been-revised-and-why"/>
      <w:r>
        <w:rPr>
          <w:color w:val="1F3864"/>
        </w:rPr>
        <w:t>1.1 What has been revised, and why</w:t>
      </w:r>
      <w:bookmarkEnd w:id="2"/>
    </w:p>
    <w:p w14:paraId="0C67E4A7">
      <w:pPr>
        <w:pStyle w:val="25"/>
      </w:pPr>
      <w:r>
        <w:t>Step 1 asks for the A1-D1 answers to be revised as necessary. Three things prompted revision. The first was the feedback on A1-D1. The second was the shift from framing a problem to testing it. The third was the evidence gathered in Sections 5 and 6, which made one hypothesis untestable as it was originally written. Table 1 records what changed, so that the client can see the framing has been re-examined rather than simply repeated.</w:t>
      </w:r>
    </w:p>
    <w:p w14:paraId="1A41990E">
      <w:pPr>
        <w:pStyle w:val="3"/>
        <w:keepNext/>
        <w:spacing w:before="80" w:after="80" w:line="240" w:lineRule="auto"/>
        <w:jc w:val="left"/>
      </w:pPr>
      <w:r>
        <w:rPr>
          <w:b/>
          <w:bCs/>
          <w:sz w:val="22"/>
          <w:szCs w:val="22"/>
        </w:rPr>
        <w:t>Table 1.</w:t>
      </w:r>
      <w:r>
        <w:rPr>
          <w:i/>
          <w:iCs/>
          <w:sz w:val="22"/>
          <w:szCs w:val="22"/>
        </w:rPr>
        <w:t xml:space="preserve"> Revisions made to the A1-D1 framing</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1447"/>
        <w:gridCol w:w="855"/>
        <w:gridCol w:w="6482"/>
      </w:tblGrid>
      <w:tr w14:paraId="0E2E98D5">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7AF0BE7B">
            <w:pPr>
              <w:pStyle w:val="26"/>
              <w:keepNext/>
              <w:jc w:val="left"/>
            </w:pPr>
            <w:r>
              <w:rPr>
                <w:b/>
                <w:bCs/>
                <w:color w:val="FFFFFF"/>
                <w:sz w:val="20"/>
                <w:szCs w:val="20"/>
              </w:rPr>
              <w:t>Element</w:t>
            </w:r>
          </w:p>
        </w:tc>
        <w:tc>
          <w:tcPr>
            <w:shd w:val="clear" w:color="auto" w:fill="1F3864"/>
          </w:tcPr>
          <w:p w14:paraId="1F4A8CF7">
            <w:pPr>
              <w:pStyle w:val="26"/>
              <w:keepNext/>
              <w:jc w:val="left"/>
            </w:pPr>
            <w:r>
              <w:rPr>
                <w:b/>
                <w:bCs/>
                <w:color w:val="FFFFFF"/>
                <w:sz w:val="20"/>
                <w:szCs w:val="20"/>
              </w:rPr>
              <w:t>Status</w:t>
            </w:r>
          </w:p>
        </w:tc>
        <w:tc>
          <w:tcPr>
            <w:shd w:val="clear" w:color="auto" w:fill="1F3864"/>
          </w:tcPr>
          <w:p w14:paraId="5614DF47">
            <w:pPr>
              <w:pStyle w:val="26"/>
              <w:keepNext/>
              <w:jc w:val="left"/>
            </w:pPr>
            <w:r>
              <w:rPr>
                <w:b/>
                <w:bCs/>
                <w:color w:val="FFFFFF"/>
                <w:sz w:val="20"/>
                <w:szCs w:val="20"/>
              </w:rPr>
              <w:t>What changed and why</w:t>
            </w:r>
          </w:p>
        </w:tc>
      </w:tr>
      <w:tr w14:paraId="145713EA">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7A40C84E">
            <w:pPr>
              <w:pStyle w:val="26"/>
              <w:keepNext/>
              <w:jc w:val="left"/>
            </w:pPr>
            <w:r>
              <w:rPr>
                <w:sz w:val="20"/>
                <w:szCs w:val="20"/>
              </w:rPr>
              <w:t>Dysfunctional process</w:t>
            </w:r>
          </w:p>
        </w:tc>
        <w:tc>
          <w:p w14:paraId="14C3ED01">
            <w:pPr>
              <w:pStyle w:val="26"/>
              <w:keepNext/>
              <w:jc w:val="left"/>
            </w:pPr>
            <w:r>
              <w:rPr>
                <w:sz w:val="20"/>
                <w:szCs w:val="20"/>
              </w:rPr>
              <w:t>Revised</w:t>
            </w:r>
          </w:p>
        </w:tc>
        <w:tc>
          <w:p w14:paraId="537B1DF4">
            <w:pPr>
              <w:pStyle w:val="26"/>
              <w:keepNext/>
              <w:jc w:val="left"/>
            </w:pPr>
            <w:r>
              <w:rPr>
                <w:sz w:val="20"/>
                <w:szCs w:val="20"/>
              </w:rPr>
              <w:t>Boundaries tightened. The process now ends 30 days after the exit rather than at access revocation, because the interviews in §6 suggest the cost is incurred after the person leaves, not at the point they leave.</w:t>
            </w:r>
          </w:p>
        </w:tc>
      </w:tr>
      <w:tr w14:paraId="5961DFFB">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3693633D">
            <w:pPr>
              <w:pStyle w:val="26"/>
              <w:jc w:val="left"/>
            </w:pPr>
            <w:r>
              <w:rPr>
                <w:sz w:val="20"/>
                <w:szCs w:val="20"/>
              </w:rPr>
              <w:t>Problem statement</w:t>
            </w:r>
          </w:p>
        </w:tc>
        <w:tc>
          <w:tcPr>
            <w:shd w:val="clear" w:color="auto" w:fill="F2F5F9"/>
          </w:tcPr>
          <w:p w14:paraId="58867C46">
            <w:pPr>
              <w:pStyle w:val="26"/>
              <w:jc w:val="left"/>
            </w:pPr>
            <w:r>
              <w:rPr>
                <w:sz w:val="20"/>
                <w:szCs w:val="20"/>
              </w:rPr>
              <w:t>Revised</w:t>
            </w:r>
          </w:p>
        </w:tc>
        <w:tc>
          <w:tcPr>
            <w:shd w:val="clear" w:color="auto" w:fill="F2F5F9"/>
          </w:tcPr>
          <w:p w14:paraId="0F3FD79C">
            <w:pPr>
              <w:pStyle w:val="26"/>
              <w:jc w:val="left"/>
            </w:pPr>
            <w:r>
              <w:rPr>
                <w:sz w:val="20"/>
                <w:szCs w:val="20"/>
              </w:rPr>
              <w:t>Improvement targets re-based on the quantification in §2.1. The contractor-spend target is restated from a 25% reduction to a NZ$1.4m annual recovery, which is the same claim in a form Finance can check.</w:t>
            </w:r>
          </w:p>
        </w:tc>
      </w:tr>
      <w:tr w14:paraId="46D8E09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1628E142">
            <w:pPr>
              <w:pStyle w:val="26"/>
              <w:jc w:val="left"/>
            </w:pPr>
            <w:r>
              <w:rPr>
                <w:sz w:val="20"/>
                <w:szCs w:val="20"/>
              </w:rPr>
              <w:t>Issue tree</w:t>
            </w:r>
          </w:p>
        </w:tc>
        <w:tc>
          <w:p w14:paraId="3BDB275B">
            <w:pPr>
              <w:pStyle w:val="26"/>
              <w:jc w:val="left"/>
            </w:pPr>
            <w:r>
              <w:rPr>
                <w:sz w:val="20"/>
                <w:szCs w:val="20"/>
              </w:rPr>
              <w:t>Retained</w:t>
            </w:r>
          </w:p>
        </w:tc>
        <w:tc>
          <w:p w14:paraId="5EA2BE47">
            <w:pPr>
              <w:pStyle w:val="26"/>
              <w:jc w:val="left"/>
            </w:pPr>
            <w:r>
              <w:rPr>
                <w:sz w:val="20"/>
                <w:szCs w:val="20"/>
              </w:rPr>
              <w:t>Structure unchanged and supported by both interviews. Branch 4 is re-weighted as the root cause rather than as a peer branch (§7.1).</w:t>
            </w:r>
          </w:p>
        </w:tc>
      </w:tr>
      <w:tr w14:paraId="63C07A6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7230F651">
            <w:pPr>
              <w:pStyle w:val="26"/>
              <w:jc w:val="left"/>
            </w:pPr>
            <w:r>
              <w:rPr>
                <w:sz w:val="20"/>
                <w:szCs w:val="20"/>
              </w:rPr>
              <w:t>Hypotheses</w:t>
            </w:r>
          </w:p>
        </w:tc>
        <w:tc>
          <w:tcPr>
            <w:shd w:val="clear" w:color="auto" w:fill="F2F5F9"/>
          </w:tcPr>
          <w:p w14:paraId="38610F26">
            <w:pPr>
              <w:pStyle w:val="26"/>
              <w:jc w:val="left"/>
            </w:pPr>
            <w:r>
              <w:rPr>
                <w:sz w:val="20"/>
                <w:szCs w:val="20"/>
              </w:rPr>
              <w:t>Revised</w:t>
            </w:r>
          </w:p>
        </w:tc>
        <w:tc>
          <w:tcPr>
            <w:shd w:val="clear" w:color="auto" w:fill="F2F5F9"/>
          </w:tcPr>
          <w:p w14:paraId="2F1F843F">
            <w:pPr>
              <w:pStyle w:val="26"/>
              <w:jc w:val="left"/>
            </w:pPr>
            <w:r>
              <w:rPr>
                <w:sz w:val="20"/>
                <w:szCs w:val="20"/>
              </w:rPr>
              <w:t xml:space="preserve">H1 rewritten with a stated population and evidence standard. H3 redefined to test </w:t>
            </w:r>
            <w:r>
              <w:rPr>
                <w:i/>
                <w:iCs/>
                <w:sz w:val="20"/>
                <w:szCs w:val="20"/>
              </w:rPr>
              <w:t>unplanned</w:t>
            </w:r>
            <w:r>
              <w:rPr>
                <w:sz w:val="20"/>
                <w:szCs w:val="20"/>
              </w:rPr>
              <w:t xml:space="preserve"> capability recovery rather than total post-exit contractor spend, after the interview in §6.1 established that part of that spend is planned backfill. H5 set aside as out of scope.</w:t>
            </w:r>
          </w:p>
        </w:tc>
      </w:tr>
      <w:tr w14:paraId="3B0BF132">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01FD5E76">
            <w:pPr>
              <w:pStyle w:val="26"/>
              <w:jc w:val="left"/>
            </w:pPr>
            <w:r>
              <w:rPr>
                <w:sz w:val="20"/>
                <w:szCs w:val="20"/>
              </w:rPr>
              <w:t>AS-IS model</w:t>
            </w:r>
          </w:p>
        </w:tc>
        <w:tc>
          <w:p w14:paraId="06834906">
            <w:pPr>
              <w:pStyle w:val="26"/>
              <w:jc w:val="left"/>
            </w:pPr>
            <w:r>
              <w:rPr>
                <w:sz w:val="20"/>
                <w:szCs w:val="20"/>
              </w:rPr>
              <w:t>Revised</w:t>
            </w:r>
          </w:p>
        </w:tc>
        <w:tc>
          <w:p w14:paraId="58A3CE72">
            <w:pPr>
              <w:pStyle w:val="26"/>
              <w:jc w:val="left"/>
            </w:pPr>
            <w:r>
              <w:rPr>
                <w:sz w:val="20"/>
                <w:szCs w:val="20"/>
              </w:rPr>
              <w:t>Gateway conditions labelled Yes/No and label overlaps corrected, following the A1-D1 feedback. The receiving team’s rework loop is now shown, because that is where the cost sits.</w:t>
            </w:r>
          </w:p>
        </w:tc>
      </w:tr>
      <w:bookmarkEnd w:id="3"/>
    </w:tbl>
    <w:p w14:paraId="68C8100C">
      <w:pPr>
        <w:pStyle w:val="4"/>
      </w:pPr>
      <w:bookmarkStart w:id="4" w:name="_Toc17919"/>
      <w:bookmarkStart w:id="5" w:name="revised-dysfunctional-process"/>
      <w:r>
        <w:rPr>
          <w:color w:val="1F3864"/>
        </w:rPr>
        <w:t>1.2 Revised dysfunctional process</w:t>
      </w:r>
      <w:bookmarkEnd w:id="4"/>
    </w:p>
    <w:p w14:paraId="34A01C21">
      <w:pPr>
        <w:pStyle w:val="25"/>
      </w:pPr>
      <w:r>
        <w:t xml:space="preserve">The dysfunctional process is </w:t>
      </w:r>
      <w:r>
        <w:rPr>
          <w:b/>
          <w:bCs/>
        </w:rPr>
        <w:t>Spark’s employee exit and knowledge handover process</w:t>
      </w:r>
      <w:r>
        <w:t>. It runs from the confirmation of an exit, whether by resignation or by role disestablishment, through to roughly 30 days after the final day, by which point the receiving team is either operating the inherited work unaided or escalating it.</w:t>
      </w:r>
    </w:p>
    <w:p w14:paraId="3BAF3BBB">
      <w:pPr>
        <w:pStyle w:val="3"/>
      </w:pPr>
      <w:r>
        <w:t>The boundary has been extended since A1-D1. Previously the process was modelled as ending when system access was revoked. Both interviews in Section 6 indicate that this is where the administrative process ends but where the cost begins, and a process boundary drawn before the cost is incurred cannot be redesigned to remove it.</w:t>
      </w:r>
    </w:p>
    <w:p w14:paraId="6DC56700">
      <w:pPr>
        <w:pStyle w:val="3"/>
      </w:pPr>
      <w:r>
        <w:t>The process is dysfunctional in a particular sense, in that it reliably produces an outcome opposed to its own purpose. Offboarding exists to release an employee while leaving the organisation able to operate. At Spark it releases the employee, and capability released to save cost is then bought back at contractor rates.</w:t>
      </w:r>
    </w:p>
    <w:bookmarkEnd w:id="5"/>
    <w:p w14:paraId="4170B759">
      <w:pPr>
        <w:pStyle w:val="4"/>
      </w:pPr>
      <w:bookmarkStart w:id="6" w:name="_Toc15708"/>
      <w:bookmarkStart w:id="7" w:name="revised-problem-statement"/>
      <w:r>
        <w:rPr>
          <w:color w:val="1F3864"/>
        </w:rPr>
        <w:t>1.3 Revised problem statement</w:t>
      </w:r>
      <w:bookmarkEnd w:id="6"/>
    </w:p>
    <w:p w14:paraId="3ADD2539">
      <w:pPr>
        <w:pStyle w:val="25"/>
      </w:pPr>
      <w:r>
        <w:rPr>
          <w:b/>
          <w:bCs/>
        </w:rPr>
        <w:t>Problem.</w:t>
      </w:r>
      <w:r>
        <w:t xml:space="preserve"> Spark’s employee exit and knowledge handover process does not reliably transfer institutional knowledge from departing employees to the teams that inherit their work. Across a reduction in headcount from approximately 5,300 to 3,847 full-time equivalents (Spark New Zealand, 2025a), handover has been managed informally, with no required capture step, no confirmation from the receiving team, and no measure of completion. The resulting loss of capability produces rework, longer fault resolution and contractor engagement at premium rates, which erodes the NZ$50 million labour saving the programme was set up to deliver (Radio New Zealand, 2024).</w:t>
      </w:r>
    </w:p>
    <w:p w14:paraId="4DDE0643">
      <w:pPr>
        <w:pStyle w:val="3"/>
      </w:pPr>
      <w:r>
        <w:rPr>
          <w:b/>
          <w:bCs/>
        </w:rPr>
        <w:t>Target.</w:t>
      </w:r>
      <w:r>
        <w:t xml:space="preserve"> Reach at least 90% verified handover completion for roles assessed as knowledge-critical, and recover at least NZ$1.4 million a year of rework and contractor spend against the FY26 baseline, within twelve months of implementation and before the Digital Services review concludes in H1 FY27.</w:t>
      </w:r>
    </w:p>
    <w:p w14:paraId="331FC065">
      <w:pPr>
        <w:pStyle w:val="3"/>
        <w:keepNext/>
        <w:spacing w:before="80" w:after="80" w:line="240" w:lineRule="auto"/>
        <w:jc w:val="left"/>
      </w:pPr>
      <w:r>
        <w:rPr>
          <w:b/>
          <w:bCs/>
          <w:sz w:val="22"/>
          <w:szCs w:val="22"/>
        </w:rPr>
        <w:t>Table 2.</w:t>
      </w:r>
      <w:r>
        <w:rPr>
          <w:i/>
          <w:iCs/>
          <w:sz w:val="22"/>
          <w:szCs w:val="22"/>
        </w:rPr>
        <w:t xml:space="preserve"> Revised problem statement assessed against the SMART criteria</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1102"/>
        <w:gridCol w:w="7682"/>
      </w:tblGrid>
      <w:tr w14:paraId="3DB10DA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361B5433">
            <w:pPr>
              <w:pStyle w:val="26"/>
              <w:keepNext/>
              <w:jc w:val="left"/>
            </w:pPr>
            <w:r>
              <w:rPr>
                <w:b/>
                <w:bCs/>
                <w:color w:val="FFFFFF"/>
                <w:sz w:val="20"/>
                <w:szCs w:val="20"/>
              </w:rPr>
              <w:t>Criterion</w:t>
            </w:r>
          </w:p>
        </w:tc>
        <w:tc>
          <w:tcPr>
            <w:shd w:val="clear" w:color="auto" w:fill="1F3864"/>
          </w:tcPr>
          <w:p w14:paraId="0B0A1754">
            <w:pPr>
              <w:pStyle w:val="26"/>
              <w:keepNext/>
              <w:jc w:val="left"/>
            </w:pPr>
            <w:r>
              <w:rPr>
                <w:b/>
                <w:bCs/>
                <w:color w:val="FFFFFF"/>
                <w:sz w:val="20"/>
                <w:szCs w:val="20"/>
              </w:rPr>
              <w:t>How the statement meets it</w:t>
            </w:r>
          </w:p>
        </w:tc>
      </w:tr>
      <w:tr w14:paraId="66A634D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112C18F5">
            <w:pPr>
              <w:pStyle w:val="26"/>
              <w:keepNext/>
              <w:jc w:val="left"/>
            </w:pPr>
            <w:r>
              <w:rPr>
                <w:sz w:val="20"/>
                <w:szCs w:val="20"/>
              </w:rPr>
              <w:t>Specific</w:t>
            </w:r>
          </w:p>
        </w:tc>
        <w:tc>
          <w:p w14:paraId="31EFE4B5">
            <w:pPr>
              <w:pStyle w:val="26"/>
              <w:keepNext/>
              <w:jc w:val="left"/>
            </w:pPr>
            <w:r>
              <w:rPr>
                <w:sz w:val="20"/>
                <w:szCs w:val="20"/>
              </w:rPr>
              <w:t>One process, one failure mode (handover not verified), and one defined population (exits from knowledge-critical roles).</w:t>
            </w:r>
          </w:p>
        </w:tc>
      </w:tr>
      <w:tr w14:paraId="5A5B4C05">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207E34C2">
            <w:pPr>
              <w:pStyle w:val="26"/>
              <w:jc w:val="left"/>
            </w:pPr>
            <w:r>
              <w:rPr>
                <w:sz w:val="20"/>
                <w:szCs w:val="20"/>
              </w:rPr>
              <w:t>Measurable</w:t>
            </w:r>
          </w:p>
        </w:tc>
        <w:tc>
          <w:tcPr>
            <w:shd w:val="clear" w:color="auto" w:fill="F2F5F9"/>
          </w:tcPr>
          <w:p w14:paraId="05FE23DA">
            <w:pPr>
              <w:pStyle w:val="26"/>
              <w:jc w:val="left"/>
            </w:pPr>
            <w:r>
              <w:rPr>
                <w:sz w:val="20"/>
                <w:szCs w:val="20"/>
              </w:rPr>
              <w:t>At least 90% verified handover completion for critical-role exits; at least NZ$1.4m a year of rework and contractor spend recovered against the FY26 baseline.</w:t>
            </w:r>
          </w:p>
        </w:tc>
      </w:tr>
      <w:tr w14:paraId="47A43804">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12E0E5A">
            <w:pPr>
              <w:pStyle w:val="26"/>
              <w:jc w:val="left"/>
            </w:pPr>
            <w:r>
              <w:rPr>
                <w:sz w:val="20"/>
                <w:szCs w:val="20"/>
              </w:rPr>
              <w:t>Achievable</w:t>
            </w:r>
          </w:p>
        </w:tc>
        <w:tc>
          <w:p w14:paraId="589D8D42">
            <w:pPr>
              <w:pStyle w:val="26"/>
              <w:jc w:val="left"/>
            </w:pPr>
            <w:r>
              <w:rPr>
                <w:sz w:val="20"/>
                <w:szCs w:val="20"/>
              </w:rPr>
              <w:t>A triage step, a template, a verification gate and a measure, all inside a workflow that already exists. No new headcount and no new platform, which fits the cost discipline currently in force.</w:t>
            </w:r>
          </w:p>
        </w:tc>
      </w:tr>
      <w:tr w14:paraId="6536005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2369D0D1">
            <w:pPr>
              <w:pStyle w:val="26"/>
              <w:jc w:val="left"/>
            </w:pPr>
            <w:r>
              <w:rPr>
                <w:sz w:val="20"/>
                <w:szCs w:val="20"/>
              </w:rPr>
              <w:t>Relevant</w:t>
            </w:r>
          </w:p>
        </w:tc>
        <w:tc>
          <w:tcPr>
            <w:shd w:val="clear" w:color="auto" w:fill="F2F5F9"/>
          </w:tcPr>
          <w:p w14:paraId="0E4C0DB9">
            <w:pPr>
              <w:pStyle w:val="26"/>
              <w:jc w:val="left"/>
            </w:pPr>
            <w:r>
              <w:rPr>
                <w:sz w:val="20"/>
                <w:szCs w:val="20"/>
              </w:rPr>
              <w:t>Addresses business needs BN1, BN2, BN3 and BN5 from A1-D1, and protects the network reliability and customer experience commitments SPK-30 depends on (Spark New Zealand, 2025b).</w:t>
            </w:r>
          </w:p>
        </w:tc>
      </w:tr>
      <w:tr w14:paraId="5D8EE92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2D33E965">
            <w:pPr>
              <w:pStyle w:val="26"/>
              <w:jc w:val="left"/>
            </w:pPr>
            <w:r>
              <w:rPr>
                <w:sz w:val="20"/>
                <w:szCs w:val="20"/>
              </w:rPr>
              <w:t>Time-bound</w:t>
            </w:r>
          </w:p>
        </w:tc>
        <w:tc>
          <w:p w14:paraId="57997C2D">
            <w:pPr>
              <w:pStyle w:val="26"/>
              <w:jc w:val="left"/>
            </w:pPr>
            <w:r>
              <w:rPr>
                <w:sz w:val="20"/>
                <w:szCs w:val="20"/>
              </w:rPr>
              <w:t>Twelve months from implementation, aligned to the Digital Services review concluding in H1 FY27.</w:t>
            </w:r>
          </w:p>
        </w:tc>
      </w:tr>
      <w:bookmarkEnd w:id="7"/>
    </w:tbl>
    <w:p w14:paraId="6926D17C">
      <w:pPr>
        <w:pStyle w:val="4"/>
      </w:pPr>
      <w:bookmarkStart w:id="8" w:name="_Toc19672"/>
      <w:bookmarkStart w:id="9" w:name="revised-issue-tree"/>
      <w:r>
        <w:rPr>
          <w:color w:val="1F3864"/>
        </w:rPr>
        <w:t>1.4 Revised issue tree</w:t>
      </w:r>
      <w:bookmarkEnd w:id="8"/>
    </w:p>
    <w:p w14:paraId="74284E8B">
      <w:pPr>
        <w:pStyle w:val="25"/>
      </w:pPr>
      <w:r>
        <w:t>Figure 1 breaks the problem down. The four first-level branches are intended to be mutually exclusive and collectively exhaustive: knowledge lost at exit has to fail at one of them. Either it left too quickly to be transferred, or it was never captured, or it was captured but could not be used, or nobody was answerable for capturing it. An alternative decomposition by individual and organisational factors was considered in A1-D1 and rejected, because the same failure recurs across different people, business units and exit types, which points to how the process is designed rather than to individual capability.</w:t>
      </w:r>
    </w:p>
    <w:p w14:paraId="38D13B27">
      <w:pPr>
        <w:pStyle w:val="3"/>
        <w:jc w:val="center"/>
      </w:pPr>
      <w:r>
        <w:drawing>
          <wp:inline distT="0" distB="0" distL="114300" distR="114300">
            <wp:extent cx="5334000" cy="2040890"/>
            <wp:effectExtent l="0" t="0" r="0" b="0"/>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6"/>
                    <a:stretch>
                      <a:fillRect/>
                    </a:stretch>
                  </pic:blipFill>
                  <pic:spPr>
                    <a:xfrm>
                      <a:off x="0" y="0"/>
                      <a:ext cx="5334000" cy="2041407"/>
                    </a:xfrm>
                    <a:prstGeom prst="rect">
                      <a:avLst/>
                    </a:prstGeom>
                    <a:noFill/>
                    <a:ln w="9525">
                      <a:noFill/>
                    </a:ln>
                  </pic:spPr>
                </pic:pic>
              </a:graphicData>
            </a:graphic>
          </wp:inline>
        </w:drawing>
      </w:r>
    </w:p>
    <w:p w14:paraId="1CCB9237">
      <w:pPr>
        <w:pStyle w:val="3"/>
        <w:spacing w:before="60" w:after="160" w:line="240" w:lineRule="auto"/>
        <w:jc w:val="center"/>
      </w:pPr>
      <w:r>
        <w:rPr>
          <w:b/>
          <w:bCs/>
          <w:sz w:val="22"/>
          <w:szCs w:val="22"/>
        </w:rPr>
        <w:t>Figure 1.</w:t>
      </w:r>
      <w:r>
        <w:rPr>
          <w:i/>
          <w:iCs/>
          <w:sz w:val="22"/>
          <w:szCs w:val="22"/>
        </w:rPr>
        <w:t xml:space="preserve"> Revised issue tree for the loss of institutional knowledge at employee exit.</w:t>
      </w:r>
    </w:p>
    <w:p w14:paraId="5824673E">
      <w:pPr>
        <w:pStyle w:val="3"/>
      </w:pPr>
      <w:r>
        <w:t>The main revision is a change in weighting. A1-D1 treated the four branches as peers. The evidence in Section 6 suggests that Branch 4, nobody is accountable for transfer, sits upstream of Branches 2 and 3: the absence of a required template and the unusability of what is captured both look like consequences of there being no owner and no measure. Section 7.1 develops this as the root cause.</w:t>
      </w:r>
    </w:p>
    <w:p w14:paraId="7FA278BD">
      <w:pPr>
        <w:pStyle w:val="3"/>
        <w:keepNext/>
        <w:spacing w:before="80" w:after="80" w:line="240" w:lineRule="auto"/>
        <w:jc w:val="left"/>
      </w:pPr>
      <w:r>
        <w:rPr>
          <w:b/>
          <w:bCs/>
          <w:sz w:val="22"/>
          <w:szCs w:val="22"/>
        </w:rPr>
        <w:t>Table 3.</w:t>
      </w:r>
      <w:r>
        <w:rPr>
          <w:i/>
          <w:iCs/>
          <w:sz w:val="22"/>
          <w:szCs w:val="22"/>
        </w:rPr>
        <w:t xml:space="preserve"> Evidence supporting each branch, updated after data gathering</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1759"/>
        <w:gridCol w:w="5317"/>
        <w:gridCol w:w="1708"/>
      </w:tblGrid>
      <w:tr w14:paraId="768CFF6C">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3CCF75B7">
            <w:pPr>
              <w:pStyle w:val="26"/>
              <w:keepNext/>
              <w:jc w:val="left"/>
            </w:pPr>
            <w:r>
              <w:rPr>
                <w:b/>
                <w:bCs/>
                <w:color w:val="FFFFFF"/>
                <w:sz w:val="20"/>
                <w:szCs w:val="20"/>
              </w:rPr>
              <w:t>Branch</w:t>
            </w:r>
          </w:p>
        </w:tc>
        <w:tc>
          <w:tcPr>
            <w:shd w:val="clear" w:color="auto" w:fill="1F3864"/>
          </w:tcPr>
          <w:p w14:paraId="6EB4619D">
            <w:pPr>
              <w:pStyle w:val="26"/>
              <w:keepNext/>
              <w:jc w:val="left"/>
            </w:pPr>
            <w:r>
              <w:rPr>
                <w:b/>
                <w:bCs/>
                <w:color w:val="FFFFFF"/>
                <w:sz w:val="20"/>
                <w:szCs w:val="20"/>
              </w:rPr>
              <w:t>Supporting evidence</w:t>
            </w:r>
          </w:p>
        </w:tc>
        <w:tc>
          <w:tcPr>
            <w:shd w:val="clear" w:color="auto" w:fill="1F3864"/>
          </w:tcPr>
          <w:p w14:paraId="5B5FF529">
            <w:pPr>
              <w:pStyle w:val="26"/>
              <w:keepNext/>
              <w:jc w:val="left"/>
            </w:pPr>
            <w:r>
              <w:rPr>
                <w:b/>
                <w:bCs/>
                <w:color w:val="FFFFFF"/>
                <w:sz w:val="20"/>
                <w:szCs w:val="20"/>
              </w:rPr>
              <w:t>Status after §6</w:t>
            </w:r>
          </w:p>
        </w:tc>
      </w:tr>
      <w:tr w14:paraId="589AE49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3500EC0C">
            <w:pPr>
              <w:pStyle w:val="26"/>
              <w:keepNext/>
              <w:jc w:val="left"/>
            </w:pPr>
            <w:r>
              <w:rPr>
                <w:sz w:val="20"/>
                <w:szCs w:val="20"/>
              </w:rPr>
              <w:t>1 Exit pace exceeds transfer capacity</w:t>
            </w:r>
          </w:p>
        </w:tc>
        <w:tc>
          <w:p w14:paraId="7DAF1ED0">
            <w:pPr>
              <w:pStyle w:val="26"/>
              <w:keepNext/>
              <w:jc w:val="left"/>
            </w:pPr>
            <w:r>
              <w:rPr>
                <w:sz w:val="20"/>
                <w:szCs w:val="20"/>
              </w:rPr>
              <w:t>Headcount down roughly 28% over about two years; the 31 July 2026 divisional split adds further transitions (Business Scoop, 2026; New Zealand Herald, 2026); the Digital Services review runs to H1 FY27.</w:t>
            </w:r>
          </w:p>
        </w:tc>
        <w:tc>
          <w:p w14:paraId="0B688DA9">
            <w:pPr>
              <w:pStyle w:val="26"/>
              <w:keepNext/>
              <w:jc w:val="left"/>
            </w:pPr>
            <w:r>
              <w:rPr>
                <w:sz w:val="20"/>
                <w:szCs w:val="20"/>
              </w:rPr>
              <w:t>Established from the public record</w:t>
            </w:r>
          </w:p>
        </w:tc>
      </w:tr>
      <w:tr w14:paraId="064AED9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68C9D0D7">
            <w:pPr>
              <w:pStyle w:val="26"/>
              <w:jc w:val="left"/>
            </w:pPr>
            <w:r>
              <w:rPr>
                <w:sz w:val="20"/>
                <w:szCs w:val="20"/>
              </w:rPr>
              <w:t>2 No standardised capture process</w:t>
            </w:r>
          </w:p>
        </w:tc>
        <w:tc>
          <w:tcPr>
            <w:shd w:val="clear" w:color="auto" w:fill="F2F5F9"/>
          </w:tcPr>
          <w:p w14:paraId="7FB2F5D6">
            <w:pPr>
              <w:pStyle w:val="26"/>
              <w:jc w:val="left"/>
            </w:pPr>
            <w:r>
              <w:rPr>
                <w:sz w:val="20"/>
                <w:szCs w:val="20"/>
              </w:rPr>
              <w:t>Both interviews describe handover as manager-discretionary with no required artefact, and no capability programme appears on the public record.</w:t>
            </w:r>
          </w:p>
        </w:tc>
        <w:tc>
          <w:tcPr>
            <w:shd w:val="clear" w:color="auto" w:fill="F2F5F9"/>
          </w:tcPr>
          <w:p w14:paraId="58BC3B1D">
            <w:pPr>
              <w:pStyle w:val="26"/>
              <w:jc w:val="left"/>
            </w:pPr>
            <w:r>
              <w:rPr>
                <w:sz w:val="20"/>
                <w:szCs w:val="20"/>
              </w:rPr>
              <w:t>Supported (H1)</w:t>
            </w:r>
          </w:p>
        </w:tc>
      </w:tr>
      <w:tr w14:paraId="37253CCB">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018D77B">
            <w:pPr>
              <w:pStyle w:val="26"/>
              <w:jc w:val="left"/>
            </w:pPr>
            <w:r>
              <w:rPr>
                <w:sz w:val="20"/>
                <w:szCs w:val="20"/>
              </w:rPr>
              <w:t>3 Captured knowledge is unusable</w:t>
            </w:r>
          </w:p>
        </w:tc>
        <w:tc>
          <w:p w14:paraId="03FB9C95">
            <w:pPr>
              <w:pStyle w:val="26"/>
              <w:jc w:val="left"/>
            </w:pPr>
            <w:r>
              <w:rPr>
                <w:sz w:val="20"/>
                <w:szCs w:val="20"/>
              </w:rPr>
              <w:t>Both interviews describe capture as unstructured and unowned once the author leaves.</w:t>
            </w:r>
          </w:p>
        </w:tc>
        <w:tc>
          <w:p w14:paraId="6FCCB7B0">
            <w:pPr>
              <w:pStyle w:val="26"/>
              <w:jc w:val="left"/>
            </w:pPr>
            <w:r>
              <w:rPr>
                <w:sz w:val="20"/>
                <w:szCs w:val="20"/>
              </w:rPr>
              <w:t>Supported, secondary</w:t>
            </w:r>
          </w:p>
        </w:tc>
      </w:tr>
      <w:tr w14:paraId="0C39A6B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53D151F5">
            <w:pPr>
              <w:pStyle w:val="26"/>
              <w:jc w:val="left"/>
            </w:pPr>
            <w:r>
              <w:rPr>
                <w:sz w:val="20"/>
                <w:szCs w:val="20"/>
              </w:rPr>
              <w:t>4 No accountability for transfer</w:t>
            </w:r>
          </w:p>
        </w:tc>
        <w:tc>
          <w:tcPr>
            <w:shd w:val="clear" w:color="auto" w:fill="F2F5F9"/>
          </w:tcPr>
          <w:p w14:paraId="51944B3D">
            <w:pPr>
              <w:pStyle w:val="26"/>
              <w:jc w:val="left"/>
            </w:pPr>
            <w:r>
              <w:rPr>
                <w:sz w:val="20"/>
                <w:szCs w:val="20"/>
              </w:rPr>
              <w:t>Neither interview could identify a measure, an owner, or a manager objective relating to capability retention.</w:t>
            </w:r>
          </w:p>
        </w:tc>
        <w:tc>
          <w:tcPr>
            <w:shd w:val="clear" w:color="auto" w:fill="F2F5F9"/>
          </w:tcPr>
          <w:p w14:paraId="34F82E17">
            <w:pPr>
              <w:pStyle w:val="26"/>
              <w:jc w:val="left"/>
            </w:pPr>
            <w:r>
              <w:rPr>
                <w:sz w:val="20"/>
                <w:szCs w:val="20"/>
              </w:rPr>
              <w:t>Supported (H4); reclassified as root cause</w:t>
            </w:r>
          </w:p>
        </w:tc>
      </w:tr>
      <w:bookmarkEnd w:id="9"/>
    </w:tbl>
    <w:p w14:paraId="2D70C5AA">
      <w:pPr>
        <w:pStyle w:val="4"/>
      </w:pPr>
      <w:bookmarkStart w:id="10" w:name="_Toc6168"/>
      <w:bookmarkStart w:id="11" w:name="revised-hypotheses"/>
      <w:r>
        <w:rPr>
          <w:color w:val="1F3864"/>
        </w:rPr>
        <w:t>1.5 Revised hypotheses</w:t>
      </w:r>
      <w:bookmarkEnd w:id="10"/>
    </w:p>
    <w:p w14:paraId="35CECE2B">
      <w:pPr>
        <w:pStyle w:val="25"/>
      </w:pPr>
      <w:r>
        <w:t>Following Rasiel and Friga (2001), each hypothesis rests on an assumption that can be checked quickly before detailed analysis begins. This avoids spending effort on a hypothesis that was never going to be provable.</w:t>
      </w:r>
    </w:p>
    <w:p w14:paraId="30657DF4">
      <w:pPr>
        <w:pStyle w:val="3"/>
        <w:keepNext/>
        <w:spacing w:before="80" w:after="80" w:line="240" w:lineRule="auto"/>
        <w:jc w:val="left"/>
      </w:pPr>
      <w:r>
        <w:rPr>
          <w:b/>
          <w:bCs/>
          <w:sz w:val="22"/>
          <w:szCs w:val="22"/>
        </w:rPr>
        <w:t>Table 4.</w:t>
      </w:r>
      <w:r>
        <w:rPr>
          <w:i/>
          <w:iCs/>
          <w:sz w:val="22"/>
          <w:szCs w:val="22"/>
        </w:rPr>
        <w:t xml:space="preserve"> Revised hypotheses</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400"/>
        <w:gridCol w:w="3136"/>
        <w:gridCol w:w="778"/>
        <w:gridCol w:w="4470"/>
      </w:tblGrid>
      <w:tr w14:paraId="681DED6A">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446556F6">
            <w:pPr>
              <w:pStyle w:val="26"/>
              <w:keepNext/>
              <w:jc w:val="left"/>
            </w:pPr>
            <w:r>
              <w:rPr>
                <w:b/>
                <w:bCs/>
                <w:color w:val="FFFFFF"/>
                <w:sz w:val="20"/>
                <w:szCs w:val="20"/>
              </w:rPr>
              <w:t>ID</w:t>
            </w:r>
          </w:p>
        </w:tc>
        <w:tc>
          <w:tcPr>
            <w:shd w:val="clear" w:color="auto" w:fill="1F3864"/>
          </w:tcPr>
          <w:p w14:paraId="2F79D0C9">
            <w:pPr>
              <w:pStyle w:val="26"/>
              <w:keepNext/>
              <w:jc w:val="left"/>
            </w:pPr>
            <w:r>
              <w:rPr>
                <w:b/>
                <w:bCs/>
                <w:color w:val="FFFFFF"/>
                <w:sz w:val="20"/>
                <w:szCs w:val="20"/>
              </w:rPr>
              <w:t>Hypothesis</w:t>
            </w:r>
          </w:p>
        </w:tc>
        <w:tc>
          <w:tcPr>
            <w:shd w:val="clear" w:color="auto" w:fill="1F3864"/>
          </w:tcPr>
          <w:p w14:paraId="7E7F4B1A">
            <w:pPr>
              <w:pStyle w:val="26"/>
              <w:keepNext/>
              <w:jc w:val="left"/>
            </w:pPr>
            <w:r>
              <w:rPr>
                <w:b/>
                <w:bCs/>
                <w:color w:val="FFFFFF"/>
                <w:sz w:val="20"/>
                <w:szCs w:val="20"/>
              </w:rPr>
              <w:t>Branch</w:t>
            </w:r>
          </w:p>
        </w:tc>
        <w:tc>
          <w:tcPr>
            <w:shd w:val="clear" w:color="auto" w:fill="1F3864"/>
          </w:tcPr>
          <w:p w14:paraId="6814B266">
            <w:pPr>
              <w:pStyle w:val="26"/>
              <w:keepNext/>
              <w:jc w:val="left"/>
            </w:pPr>
            <w:r>
              <w:rPr>
                <w:b/>
                <w:bCs/>
                <w:color w:val="FFFFFF"/>
                <w:sz w:val="20"/>
                <w:szCs w:val="20"/>
              </w:rPr>
              <w:t>Change from A1-D1</w:t>
            </w:r>
          </w:p>
        </w:tc>
      </w:tr>
      <w:tr w14:paraId="5B24FBA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5FC87D39">
            <w:pPr>
              <w:pStyle w:val="26"/>
              <w:keepNext/>
              <w:jc w:val="left"/>
            </w:pPr>
            <w:r>
              <w:rPr>
                <w:b/>
                <w:bCs/>
                <w:sz w:val="20"/>
                <w:szCs w:val="20"/>
              </w:rPr>
              <w:t>H1</w:t>
            </w:r>
          </w:p>
        </w:tc>
        <w:tc>
          <w:p w14:paraId="78E32169">
            <w:pPr>
              <w:pStyle w:val="26"/>
              <w:keepNext/>
              <w:jc w:val="left"/>
            </w:pPr>
            <w:r>
              <w:rPr>
                <w:b/>
                <w:bCs/>
                <w:sz w:val="20"/>
                <w:szCs w:val="20"/>
              </w:rPr>
              <w:t>More than half of the exits from knowledge-critical roles during the FY24–FY26 cost-out completed without a documented handover that the receiving team checked and accepted before system access was revoked.</w:t>
            </w:r>
          </w:p>
        </w:tc>
        <w:tc>
          <w:p w14:paraId="11DF734F">
            <w:pPr>
              <w:pStyle w:val="26"/>
              <w:keepNext/>
              <w:jc w:val="left"/>
            </w:pPr>
            <w:r>
              <w:rPr>
                <w:sz w:val="20"/>
                <w:szCs w:val="20"/>
              </w:rPr>
              <w:t>2, 3</w:t>
            </w:r>
          </w:p>
        </w:tc>
        <w:tc>
          <w:p w14:paraId="35807C32">
            <w:pPr>
              <w:pStyle w:val="26"/>
              <w:keepNext/>
              <w:jc w:val="left"/>
            </w:pPr>
            <w:r>
              <w:rPr>
                <w:sz w:val="20"/>
                <w:szCs w:val="20"/>
              </w:rPr>
              <w:t>Rewritten. Population narrowed to knowledge-critical roles, and the evidence standard is now a documented handover accepted by the receiving team, which can be observed in records.</w:t>
            </w:r>
          </w:p>
        </w:tc>
      </w:tr>
      <w:tr w14:paraId="1D9B413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59C7A5A1">
            <w:pPr>
              <w:pStyle w:val="26"/>
              <w:jc w:val="left"/>
            </w:pPr>
            <w:r>
              <w:rPr>
                <w:sz w:val="20"/>
                <w:szCs w:val="20"/>
              </w:rPr>
              <w:t>H2</w:t>
            </w:r>
          </w:p>
        </w:tc>
        <w:tc>
          <w:tcPr>
            <w:shd w:val="clear" w:color="auto" w:fill="F2F5F9"/>
          </w:tcPr>
          <w:p w14:paraId="7F002273">
            <w:pPr>
              <w:pStyle w:val="26"/>
              <w:jc w:val="left"/>
            </w:pPr>
            <w:r>
              <w:rPr>
                <w:sz w:val="20"/>
                <w:szCs w:val="20"/>
              </w:rPr>
              <w:t>Business units that absorbed the largest reductions show proportionally larger increases in mean resolution time, escalation rate and rework.</w:t>
            </w:r>
          </w:p>
        </w:tc>
        <w:tc>
          <w:tcPr>
            <w:shd w:val="clear" w:color="auto" w:fill="F2F5F9"/>
          </w:tcPr>
          <w:p w14:paraId="7F5A2822">
            <w:pPr>
              <w:pStyle w:val="26"/>
              <w:jc w:val="left"/>
            </w:pPr>
            <w:r>
              <w:rPr>
                <w:sz w:val="20"/>
                <w:szCs w:val="20"/>
              </w:rPr>
              <w:t>1, 3</w:t>
            </w:r>
          </w:p>
        </w:tc>
        <w:tc>
          <w:tcPr>
            <w:shd w:val="clear" w:color="auto" w:fill="F2F5F9"/>
          </w:tcPr>
          <w:p w14:paraId="59CBA207">
            <w:pPr>
              <w:pStyle w:val="26"/>
              <w:jc w:val="left"/>
            </w:pPr>
            <w:r>
              <w:rPr>
                <w:sz w:val="20"/>
                <w:szCs w:val="20"/>
              </w:rPr>
              <w:t>Unchanged.</w:t>
            </w:r>
          </w:p>
        </w:tc>
      </w:tr>
      <w:tr w14:paraId="442017AC">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26310ECA">
            <w:pPr>
              <w:pStyle w:val="26"/>
              <w:jc w:val="left"/>
            </w:pPr>
            <w:r>
              <w:rPr>
                <w:sz w:val="20"/>
                <w:szCs w:val="20"/>
              </w:rPr>
              <w:t>H3</w:t>
            </w:r>
          </w:p>
        </w:tc>
        <w:tc>
          <w:p w14:paraId="0156EDBD">
            <w:pPr>
              <w:pStyle w:val="26"/>
              <w:jc w:val="left"/>
            </w:pPr>
            <w:r>
              <w:rPr>
                <w:sz w:val="20"/>
                <w:szCs w:val="20"/>
              </w:rPr>
              <w:t xml:space="preserve">At least 10% of the labour savings realised under the cost-out have been offset by </w:t>
            </w:r>
            <w:r>
              <w:rPr>
                <w:b/>
                <w:bCs/>
                <w:sz w:val="20"/>
                <w:szCs w:val="20"/>
              </w:rPr>
              <w:t>unplanned</w:t>
            </w:r>
            <w:r>
              <w:rPr>
                <w:sz w:val="20"/>
                <w:szCs w:val="20"/>
              </w:rPr>
              <w:t xml:space="preserve"> capability-recovery spend, that is, spend beyond the backfill the programme itself budgeted for.</w:t>
            </w:r>
          </w:p>
        </w:tc>
        <w:tc>
          <w:p w14:paraId="30EB9EAB">
            <w:pPr>
              <w:pStyle w:val="26"/>
              <w:jc w:val="left"/>
            </w:pPr>
            <w:r>
              <w:rPr>
                <w:sz w:val="20"/>
                <w:szCs w:val="20"/>
              </w:rPr>
              <w:t>4</w:t>
            </w:r>
          </w:p>
        </w:tc>
        <w:tc>
          <w:p w14:paraId="245C74ED">
            <w:pPr>
              <w:pStyle w:val="26"/>
              <w:jc w:val="left"/>
            </w:pPr>
            <w:r>
              <w:rPr>
                <w:sz w:val="20"/>
                <w:szCs w:val="20"/>
              </w:rPr>
              <w:t>Redefined rather than simply re-thresholded. The interview in §6.1 established that a share of post-exit contractor spend is planned replacement and not leakage (Q19), so the original formulation measured the wrong quantity. The threshold is set at 10% because the bottom-up estimate in §2.1 implies 5–10% of realised savings, while the financial-domain view puts total post-exit contractor spend at 15–25% (Q19); 10% sits between a figure the analyst can defend and one the client would recognise.</w:t>
            </w:r>
          </w:p>
        </w:tc>
      </w:tr>
      <w:tr w14:paraId="1EC66BA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1EDCA67A">
            <w:pPr>
              <w:pStyle w:val="26"/>
              <w:jc w:val="left"/>
            </w:pPr>
            <w:r>
              <w:rPr>
                <w:sz w:val="20"/>
                <w:szCs w:val="20"/>
              </w:rPr>
              <w:t>H4</w:t>
            </w:r>
          </w:p>
        </w:tc>
        <w:tc>
          <w:tcPr>
            <w:shd w:val="clear" w:color="auto" w:fill="F2F5F9"/>
          </w:tcPr>
          <w:p w14:paraId="6E2A8020">
            <w:pPr>
              <w:pStyle w:val="26"/>
              <w:jc w:val="left"/>
            </w:pPr>
            <w:r>
              <w:rPr>
                <w:sz w:val="20"/>
                <w:szCs w:val="20"/>
              </w:rPr>
              <w:t>No KPI tracks knowledge transfer completion, and no line manager objective refers to capability retention.</w:t>
            </w:r>
          </w:p>
        </w:tc>
        <w:tc>
          <w:tcPr>
            <w:shd w:val="clear" w:color="auto" w:fill="F2F5F9"/>
          </w:tcPr>
          <w:p w14:paraId="4B3B7664">
            <w:pPr>
              <w:pStyle w:val="26"/>
              <w:jc w:val="left"/>
            </w:pPr>
            <w:r>
              <w:rPr>
                <w:sz w:val="20"/>
                <w:szCs w:val="20"/>
              </w:rPr>
              <w:t>4</w:t>
            </w:r>
          </w:p>
        </w:tc>
        <w:tc>
          <w:tcPr>
            <w:shd w:val="clear" w:color="auto" w:fill="F2F5F9"/>
          </w:tcPr>
          <w:p w14:paraId="611B2E80">
            <w:pPr>
              <w:pStyle w:val="26"/>
              <w:jc w:val="left"/>
            </w:pPr>
            <w:r>
              <w:rPr>
                <w:sz w:val="20"/>
                <w:szCs w:val="20"/>
              </w:rPr>
              <w:t>Unchanged, but reclassified as the root-cause hypothesis.</w:t>
            </w:r>
          </w:p>
        </w:tc>
      </w:tr>
      <w:tr w14:paraId="3320116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669525D">
            <w:pPr>
              <w:pStyle w:val="26"/>
              <w:jc w:val="left"/>
            </w:pPr>
            <w:r>
              <w:rPr>
                <w:strike/>
                <w:sz w:val="20"/>
                <w:szCs w:val="20"/>
              </w:rPr>
              <w:t>H5</w:t>
            </w:r>
          </w:p>
        </w:tc>
        <w:tc>
          <w:p w14:paraId="3F8F319D">
            <w:pPr>
              <w:pStyle w:val="26"/>
              <w:jc w:val="left"/>
            </w:pPr>
            <w:r>
              <w:rPr>
                <w:strike/>
                <w:sz w:val="20"/>
                <w:szCs w:val="20"/>
              </w:rPr>
              <w:t>Digital Services staff report materially higher intention to leave than Connectivity staff.</w:t>
            </w:r>
          </w:p>
        </w:tc>
        <w:tc>
          <w:p w14:paraId="5FEE9F54">
            <w:pPr>
              <w:pStyle w:val="26"/>
              <w:jc w:val="left"/>
            </w:pPr>
            <w:r>
              <w:rPr>
                <w:sz w:val="20"/>
                <w:szCs w:val="20"/>
              </w:rPr>
              <w:t>1</w:t>
            </w:r>
          </w:p>
        </w:tc>
        <w:tc>
          <w:p w14:paraId="06E5F5E7">
            <w:pPr>
              <w:pStyle w:val="26"/>
              <w:jc w:val="left"/>
            </w:pPr>
            <w:r>
              <w:rPr>
                <w:sz w:val="20"/>
                <w:szCs w:val="20"/>
              </w:rPr>
              <w:t>Set aside. It concerns retention rather than transfer, and it cannot be tested within this engagement. Retained for A2 scoping.</w:t>
            </w:r>
          </w:p>
        </w:tc>
      </w:tr>
    </w:tbl>
    <w:p w14:paraId="37D4D5A3">
      <w:pPr>
        <w:pStyle w:val="3"/>
      </w:pPr>
      <w:r>
        <w:t>H1 is the key hypothesis for this deliverable. It carries the framing because it tests whether the failure is one of process design rather than of individual performance. If H1 holds, the problem is systemic and a process remedy is justified. If it does not, the analysis moves to H2 and H3 to establish whether what is being lost is tacit knowledge that documentation could not carry, or simply capacity in the receiving teams.</w:t>
      </w:r>
    </w:p>
    <w:bookmarkEnd w:id="11"/>
    <w:p w14:paraId="11AD8B82">
      <w:pPr>
        <w:pStyle w:val="4"/>
      </w:pPr>
      <w:bookmarkStart w:id="12" w:name="_Toc31211"/>
      <w:bookmarkStart w:id="13" w:name="revised-as-is-process-model"/>
      <w:r>
        <w:rPr>
          <w:color w:val="1F3864"/>
        </w:rPr>
        <w:t>1.6 Revised AS-IS process model</w:t>
      </w:r>
      <w:bookmarkEnd w:id="12"/>
    </w:p>
    <w:p w14:paraId="73076F0B">
      <w:pPr>
        <w:pStyle w:val="25"/>
      </w:pPr>
      <w:r>
        <w:t>Figure 2 models the current process in BPMN 2.0 across four lanes: line manager, departing employee, people function and receiving team. The model was built in SAP Signavio and is presented as a BPMN 2.0 export so that the control points are readable to the client.</w:t>
      </w:r>
    </w:p>
    <w:p w14:paraId="0C135137">
      <w:pPr>
        <w:pStyle w:val="3"/>
        <w:jc w:val="center"/>
      </w:pPr>
      <w:r>
        <w:drawing>
          <wp:inline distT="0" distB="0" distL="114300" distR="114300">
            <wp:extent cx="5760720" cy="2350135"/>
            <wp:effectExtent l="0" t="0" r="0" b="0"/>
            <wp:docPr id="2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pic:cNvPicPr>
                      <a:picLocks noChangeAspect="1" noChangeArrowheads="1"/>
                    </pic:cNvPicPr>
                  </pic:nvPicPr>
                  <pic:blipFill>
                    <a:blip r:embed="rId7"/>
                    <a:stretch>
                      <a:fillRect/>
                    </a:stretch>
                  </pic:blipFill>
                  <pic:spPr>
                    <a:xfrm>
                      <a:off x="0" y="0"/>
                      <a:ext cx="5760720" cy="2350763"/>
                    </a:xfrm>
                    <a:prstGeom prst="rect">
                      <a:avLst/>
                    </a:prstGeom>
                    <a:noFill/>
                    <a:ln w="9525">
                      <a:noFill/>
                    </a:ln>
                  </pic:spPr>
                </pic:pic>
              </a:graphicData>
            </a:graphic>
          </wp:inline>
        </w:drawing>
      </w:r>
    </w:p>
    <w:p w14:paraId="77DA05EB">
      <w:pPr>
        <w:pStyle w:val="3"/>
        <w:spacing w:before="60" w:after="160" w:line="240" w:lineRule="auto"/>
        <w:jc w:val="center"/>
      </w:pPr>
      <w:r>
        <w:rPr>
          <w:b/>
          <w:bCs/>
          <w:sz w:val="22"/>
          <w:szCs w:val="22"/>
        </w:rPr>
        <w:t>Figure 2.</w:t>
      </w:r>
      <w:r>
        <w:rPr>
          <w:i/>
          <w:iCs/>
          <w:sz w:val="22"/>
          <w:szCs w:val="22"/>
        </w:rPr>
        <w:t xml:space="preserve"> Revised AS-IS employee exit and knowledge handover process (BPMN 2.0), across four lanes. Every exclusive gateway carries an explicit Yes/No condition, and the model is laid out so that no two sequence flows share a path.</w:t>
      </w:r>
    </w:p>
    <w:p w14:paraId="2CDD56DE">
      <w:pPr>
        <w:pStyle w:val="3"/>
      </w:pPr>
      <w:r>
        <w:t>Four features of the model carry the dysfunction, and each maps to a change in the TO-BE model in Section 8.</w:t>
      </w:r>
    </w:p>
    <w:p w14:paraId="328923B6">
      <w:pPr>
        <w:pStyle w:val="3"/>
      </w:pPr>
      <w:r>
        <w:t>First, the task “prepare handover at own discretion” has no template and no completion criterion, so its output depends entirely on the individual and quality varies without anyone being able to see that it has varied. Second, the timer boundary event on “conduct verbal handover” allows the notice period to expire before the handover ends; in an involuntary exit that window is set by employment process rather than by how complex the knowledge is. Third, the offboarding gateway asks only whether the checklist covering payroll, assets and access is complete, so revocation is triggered by a date rather than by readiness and knowledge transfer is not represented in the decision at all. Fourth, the receiving team’s loop is where the cost is actually incurred: “knowledge available? No” leads to “reconstruct knowledge and escalate”, and where that fails, to “engage contractor”, which is the branch that erodes the saving.</w:t>
      </w:r>
    </w:p>
    <w:bookmarkEnd w:id="0"/>
    <w:bookmarkEnd w:id="13"/>
    <w:p w14:paraId="3E263D95">
      <w:pPr>
        <w:pStyle w:val="2"/>
      </w:pPr>
      <w:bookmarkStart w:id="14" w:name="_Toc14250"/>
      <w:bookmarkStart w:id="15" w:name="defining-the-kpi"/>
      <w:r>
        <w:rPr>
          <w:color w:val="1F3864"/>
        </w:rPr>
        <w:t>2. Defining the KPI</w:t>
      </w:r>
      <w:bookmarkEnd w:id="14"/>
    </w:p>
    <w:p w14:paraId="6108818E">
      <w:pPr>
        <w:pStyle w:val="4"/>
      </w:pPr>
      <w:bookmarkStart w:id="16" w:name="_Toc2806"/>
      <w:bookmarkStart w:id="17" w:name="Xa494b7d196f8cc23ea86e2540a7160f28f73083"/>
      <w:r>
        <w:rPr>
          <w:color w:val="1F3864"/>
        </w:rPr>
        <w:t>2.1 Identifying and quantifying the dysfunction</w:t>
      </w:r>
      <w:bookmarkEnd w:id="16"/>
    </w:p>
    <w:p w14:paraId="6CA10F5B">
      <w:pPr>
        <w:pStyle w:val="25"/>
      </w:pPr>
      <w:r>
        <w:t>The dysfunction is the absence of any step at which someone confirms that the knowledge actually arrived. Because Spark does not publish offboarding data, the scale is estimated below from public workforce figures and stated assumptions. The estimate is deliberately conservative and is presented as an order of magnitude rather than a precise figure, which is consistent with the guidance that analysis should aim at a defensible ballpark and avoid getting lost in the data (Rasiel &amp; Friga, 2001). Refining it is the first end product of the work plan in Section 3.</w:t>
      </w:r>
    </w:p>
    <w:p w14:paraId="5D5CE0AD">
      <w:pPr>
        <w:pStyle w:val="3"/>
        <w:keepNext/>
        <w:spacing w:before="80" w:after="80" w:line="240" w:lineRule="auto"/>
        <w:jc w:val="left"/>
      </w:pPr>
      <w:r>
        <w:rPr>
          <w:b/>
          <w:bCs/>
          <w:sz w:val="22"/>
          <w:szCs w:val="22"/>
        </w:rPr>
        <w:t>Table 5.</w:t>
      </w:r>
      <w:r>
        <w:rPr>
          <w:i/>
          <w:iCs/>
          <w:sz w:val="22"/>
          <w:szCs w:val="22"/>
        </w:rPr>
        <w:t xml:space="preserve"> Indicative quantification of the dysfunction, FY24–FY26</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322"/>
        <w:gridCol w:w="2231"/>
        <w:gridCol w:w="1854"/>
        <w:gridCol w:w="4377"/>
      </w:tblGrid>
      <w:tr w14:paraId="7F16472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2CD391B6">
            <w:pPr>
              <w:pStyle w:val="26"/>
              <w:keepNext/>
              <w:jc w:val="left"/>
            </w:pPr>
            <w:r>
              <w:rPr>
                <w:b/>
                <w:bCs/>
                <w:color w:val="FFFFFF"/>
                <w:sz w:val="20"/>
                <w:szCs w:val="20"/>
              </w:rPr>
              <w:t>#</w:t>
            </w:r>
          </w:p>
        </w:tc>
        <w:tc>
          <w:tcPr>
            <w:shd w:val="clear" w:color="auto" w:fill="1F3864"/>
          </w:tcPr>
          <w:p w14:paraId="2256404A">
            <w:pPr>
              <w:pStyle w:val="26"/>
              <w:keepNext/>
              <w:jc w:val="left"/>
            </w:pPr>
            <w:r>
              <w:rPr>
                <w:b/>
                <w:bCs/>
                <w:color w:val="FFFFFF"/>
                <w:sz w:val="20"/>
                <w:szCs w:val="20"/>
              </w:rPr>
              <w:t>Line</w:t>
            </w:r>
          </w:p>
        </w:tc>
        <w:tc>
          <w:tcPr>
            <w:shd w:val="clear" w:color="auto" w:fill="1F3864"/>
          </w:tcPr>
          <w:p w14:paraId="7831F952">
            <w:pPr>
              <w:pStyle w:val="26"/>
              <w:keepNext/>
              <w:jc w:val="left"/>
            </w:pPr>
            <w:r>
              <w:rPr>
                <w:b/>
                <w:bCs/>
                <w:color w:val="FFFFFF"/>
                <w:sz w:val="20"/>
                <w:szCs w:val="20"/>
              </w:rPr>
              <w:t>Value</w:t>
            </w:r>
          </w:p>
        </w:tc>
        <w:tc>
          <w:tcPr>
            <w:shd w:val="clear" w:color="auto" w:fill="1F3864"/>
          </w:tcPr>
          <w:p w14:paraId="73AC4A83">
            <w:pPr>
              <w:pStyle w:val="26"/>
              <w:keepNext/>
              <w:jc w:val="left"/>
            </w:pPr>
            <w:r>
              <w:rPr>
                <w:b/>
                <w:bCs/>
                <w:color w:val="FFFFFF"/>
                <w:sz w:val="20"/>
                <w:szCs w:val="20"/>
              </w:rPr>
              <w:t>Basis</w:t>
            </w:r>
          </w:p>
        </w:tc>
      </w:tr>
      <w:tr w14:paraId="49584F7B">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76E1DA08">
            <w:pPr>
              <w:pStyle w:val="26"/>
              <w:keepNext/>
              <w:jc w:val="left"/>
            </w:pPr>
            <w:r>
              <w:rPr>
                <w:sz w:val="20"/>
                <w:szCs w:val="20"/>
              </w:rPr>
              <w:t>A</w:t>
            </w:r>
          </w:p>
        </w:tc>
        <w:tc>
          <w:p w14:paraId="238867B5">
            <w:pPr>
              <w:pStyle w:val="26"/>
              <w:keepNext/>
              <w:jc w:val="left"/>
            </w:pPr>
            <w:r>
              <w:rPr>
                <w:sz w:val="20"/>
                <w:szCs w:val="20"/>
              </w:rPr>
              <w:t>Role exits in scope, FY24–FY26</w:t>
            </w:r>
          </w:p>
        </w:tc>
        <w:tc>
          <w:p w14:paraId="6AF19E5C">
            <w:pPr>
              <w:pStyle w:val="26"/>
              <w:keepNext/>
              <w:jc w:val="left"/>
            </w:pPr>
            <w:r>
              <w:rPr>
                <w:sz w:val="20"/>
                <w:szCs w:val="20"/>
              </w:rPr>
              <w:t>~1,500</w:t>
            </w:r>
          </w:p>
        </w:tc>
        <w:tc>
          <w:p w14:paraId="36D18C13">
            <w:pPr>
              <w:pStyle w:val="26"/>
              <w:keepNext/>
              <w:jc w:val="left"/>
            </w:pPr>
            <w:r>
              <w:rPr>
                <w:sz w:val="20"/>
                <w:szCs w:val="20"/>
              </w:rPr>
              <w:t>Headcount decline from c. 5,300 to 3,847 FTE (Spark New Zealand, 2025a); gross exits assumed slightly above the net reduction.</w:t>
            </w:r>
          </w:p>
        </w:tc>
      </w:tr>
      <w:tr w14:paraId="1AAA385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73C82A48">
            <w:pPr>
              <w:pStyle w:val="26"/>
              <w:jc w:val="left"/>
            </w:pPr>
            <w:r>
              <w:rPr>
                <w:sz w:val="20"/>
                <w:szCs w:val="20"/>
              </w:rPr>
              <w:t>B</w:t>
            </w:r>
          </w:p>
        </w:tc>
        <w:tc>
          <w:tcPr>
            <w:shd w:val="clear" w:color="auto" w:fill="F2F5F9"/>
          </w:tcPr>
          <w:p w14:paraId="6B3B7EEE">
            <w:pPr>
              <w:pStyle w:val="26"/>
              <w:jc w:val="left"/>
            </w:pPr>
            <w:r>
              <w:rPr>
                <w:sz w:val="20"/>
                <w:szCs w:val="20"/>
              </w:rPr>
              <w:t>Share of exits from knowledge-critical roles</w:t>
            </w:r>
          </w:p>
        </w:tc>
        <w:tc>
          <w:tcPr>
            <w:shd w:val="clear" w:color="auto" w:fill="F2F5F9"/>
          </w:tcPr>
          <w:p w14:paraId="26FF452D">
            <w:pPr>
              <w:pStyle w:val="26"/>
              <w:jc w:val="left"/>
            </w:pPr>
            <w:r>
              <w:rPr>
                <w:sz w:val="20"/>
                <w:szCs w:val="20"/>
              </w:rPr>
              <w:t>25%</w:t>
            </w:r>
          </w:p>
        </w:tc>
        <w:tc>
          <w:tcPr>
            <w:shd w:val="clear" w:color="auto" w:fill="F2F5F9"/>
          </w:tcPr>
          <w:p w14:paraId="6B6E1B6F">
            <w:pPr>
              <w:pStyle w:val="26"/>
              <w:jc w:val="left"/>
            </w:pPr>
            <w:r>
              <w:rPr>
                <w:sz w:val="20"/>
                <w:szCs w:val="20"/>
              </w:rPr>
              <w:t>Assumption covering network operations, legacy platform support and enterprise service roles. To be validated by the criticality review in §3.</w:t>
            </w:r>
          </w:p>
        </w:tc>
      </w:tr>
      <w:tr w14:paraId="0C8F43EB">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236643D6">
            <w:pPr>
              <w:pStyle w:val="26"/>
              <w:jc w:val="left"/>
            </w:pPr>
            <w:r>
              <w:rPr>
                <w:sz w:val="20"/>
                <w:szCs w:val="20"/>
              </w:rPr>
              <w:t>C</w:t>
            </w:r>
          </w:p>
        </w:tc>
        <w:tc>
          <w:p w14:paraId="533225B3">
            <w:pPr>
              <w:pStyle w:val="26"/>
              <w:jc w:val="left"/>
            </w:pPr>
            <w:r>
              <w:rPr>
                <w:sz w:val="20"/>
                <w:szCs w:val="20"/>
              </w:rPr>
              <w:t>Knowledge-critical exits (A × B)</w:t>
            </w:r>
          </w:p>
        </w:tc>
        <w:tc>
          <w:p w14:paraId="32D7EC15">
            <w:pPr>
              <w:pStyle w:val="26"/>
              <w:jc w:val="left"/>
            </w:pPr>
            <w:r>
              <w:rPr>
                <w:sz w:val="20"/>
                <w:szCs w:val="20"/>
              </w:rPr>
              <w:t>~375</w:t>
            </w:r>
          </w:p>
        </w:tc>
        <w:tc>
          <w:p w14:paraId="5FB1577C">
            <w:pPr>
              <w:pStyle w:val="26"/>
              <w:jc w:val="left"/>
            </w:pPr>
            <w:r>
              <w:rPr>
                <w:sz w:val="20"/>
                <w:szCs w:val="20"/>
              </w:rPr>
              <w:t>Calculated.</w:t>
            </w:r>
          </w:p>
        </w:tc>
      </w:tr>
      <w:tr w14:paraId="0E485BA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5A595B49">
            <w:pPr>
              <w:pStyle w:val="26"/>
              <w:jc w:val="left"/>
            </w:pPr>
            <w:r>
              <w:rPr>
                <w:sz w:val="20"/>
                <w:szCs w:val="20"/>
              </w:rPr>
              <w:t>D</w:t>
            </w:r>
          </w:p>
        </w:tc>
        <w:tc>
          <w:tcPr>
            <w:shd w:val="clear" w:color="auto" w:fill="F2F5F9"/>
          </w:tcPr>
          <w:p w14:paraId="3775E39B">
            <w:pPr>
              <w:pStyle w:val="26"/>
              <w:jc w:val="left"/>
            </w:pPr>
            <w:r>
              <w:rPr>
                <w:sz w:val="20"/>
                <w:szCs w:val="20"/>
              </w:rPr>
              <w:t>Share completing without verified handover (H1)</w:t>
            </w:r>
          </w:p>
        </w:tc>
        <w:tc>
          <w:tcPr>
            <w:shd w:val="clear" w:color="auto" w:fill="F2F5F9"/>
          </w:tcPr>
          <w:p w14:paraId="32CF5A68">
            <w:pPr>
              <w:pStyle w:val="26"/>
              <w:jc w:val="left"/>
            </w:pPr>
            <w:r>
              <w:rPr>
                <w:sz w:val="20"/>
                <w:szCs w:val="20"/>
              </w:rPr>
              <w:t>&gt;50%</w:t>
            </w:r>
          </w:p>
        </w:tc>
        <w:tc>
          <w:tcPr>
            <w:shd w:val="clear" w:color="auto" w:fill="F2F5F9"/>
          </w:tcPr>
          <w:p w14:paraId="7CFF6692">
            <w:pPr>
              <w:pStyle w:val="26"/>
              <w:jc w:val="left"/>
            </w:pPr>
            <w:r>
              <w:rPr>
                <w:sz w:val="20"/>
                <w:szCs w:val="20"/>
              </w:rPr>
              <w:t>The hypothesis under test.</w:t>
            </w:r>
          </w:p>
        </w:tc>
      </w:tr>
      <w:tr w14:paraId="4A4AF64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3010F5D9">
            <w:pPr>
              <w:pStyle w:val="26"/>
              <w:jc w:val="left"/>
            </w:pPr>
            <w:r>
              <w:rPr>
                <w:sz w:val="20"/>
                <w:szCs w:val="20"/>
              </w:rPr>
              <w:t>E</w:t>
            </w:r>
          </w:p>
        </w:tc>
        <w:tc>
          <w:p w14:paraId="302D7B28">
            <w:pPr>
              <w:pStyle w:val="26"/>
              <w:jc w:val="left"/>
            </w:pPr>
            <w:r>
              <w:rPr>
                <w:sz w:val="20"/>
                <w:szCs w:val="20"/>
              </w:rPr>
              <w:t>Unverified critical exits (C × D)</w:t>
            </w:r>
          </w:p>
        </w:tc>
        <w:tc>
          <w:p w14:paraId="73C4F96E">
            <w:pPr>
              <w:pStyle w:val="26"/>
              <w:jc w:val="left"/>
            </w:pPr>
            <w:r>
              <w:rPr>
                <w:sz w:val="20"/>
                <w:szCs w:val="20"/>
              </w:rPr>
              <w:t>~190</w:t>
            </w:r>
          </w:p>
        </w:tc>
        <w:tc>
          <w:p w14:paraId="1B4DFC2F">
            <w:pPr>
              <w:pStyle w:val="26"/>
              <w:jc w:val="left"/>
            </w:pPr>
            <w:r>
              <w:rPr>
                <w:sz w:val="20"/>
                <w:szCs w:val="20"/>
              </w:rPr>
              <w:t>Calculated.</w:t>
            </w:r>
          </w:p>
        </w:tc>
      </w:tr>
      <w:tr w14:paraId="5BB25DB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1728399B">
            <w:pPr>
              <w:pStyle w:val="26"/>
              <w:jc w:val="left"/>
            </w:pPr>
            <w:r>
              <w:rPr>
                <w:sz w:val="20"/>
                <w:szCs w:val="20"/>
              </w:rPr>
              <w:t>F</w:t>
            </w:r>
          </w:p>
        </w:tc>
        <w:tc>
          <w:tcPr>
            <w:shd w:val="clear" w:color="auto" w:fill="F2F5F9"/>
          </w:tcPr>
          <w:p w14:paraId="5749913A">
            <w:pPr>
              <w:pStyle w:val="26"/>
              <w:jc w:val="left"/>
            </w:pPr>
            <w:r>
              <w:rPr>
                <w:sz w:val="20"/>
                <w:szCs w:val="20"/>
              </w:rPr>
              <w:t>Receiving-team rework per unverified exit</w:t>
            </w:r>
          </w:p>
        </w:tc>
        <w:tc>
          <w:tcPr>
            <w:shd w:val="clear" w:color="auto" w:fill="F2F5F9"/>
          </w:tcPr>
          <w:p w14:paraId="0E5E7010">
            <w:pPr>
              <w:pStyle w:val="26"/>
              <w:jc w:val="left"/>
            </w:pPr>
            <w:r>
              <w:rPr>
                <w:sz w:val="20"/>
                <w:szCs w:val="20"/>
              </w:rPr>
              <w:t>30 days @ NZ$550 = NZ$16,500</w:t>
            </w:r>
          </w:p>
        </w:tc>
        <w:tc>
          <w:tcPr>
            <w:shd w:val="clear" w:color="auto" w:fill="F2F5F9"/>
          </w:tcPr>
          <w:p w14:paraId="2CAC0221">
            <w:pPr>
              <w:pStyle w:val="26"/>
              <w:jc w:val="left"/>
            </w:pPr>
            <w:r>
              <w:rPr>
                <w:sz w:val="20"/>
                <w:szCs w:val="20"/>
              </w:rPr>
              <w:t>Assumption: fully loaded internal day rate, covering relearning and trial-and-error effort.</w:t>
            </w:r>
          </w:p>
        </w:tc>
      </w:tr>
      <w:tr w14:paraId="3F8059D5">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595744D2">
            <w:pPr>
              <w:pStyle w:val="26"/>
              <w:jc w:val="left"/>
            </w:pPr>
            <w:r>
              <w:rPr>
                <w:sz w:val="20"/>
                <w:szCs w:val="20"/>
              </w:rPr>
              <w:t>G</w:t>
            </w:r>
          </w:p>
        </w:tc>
        <w:tc>
          <w:p w14:paraId="739E23D1">
            <w:pPr>
              <w:pStyle w:val="26"/>
              <w:jc w:val="left"/>
            </w:pPr>
            <w:r>
              <w:rPr>
                <w:sz w:val="20"/>
                <w:szCs w:val="20"/>
              </w:rPr>
              <w:t>Extended resolution and escalation per exit</w:t>
            </w:r>
          </w:p>
        </w:tc>
        <w:tc>
          <w:p w14:paraId="03A430FC">
            <w:pPr>
              <w:pStyle w:val="26"/>
              <w:jc w:val="left"/>
            </w:pPr>
            <w:r>
              <w:rPr>
                <w:sz w:val="20"/>
                <w:szCs w:val="20"/>
              </w:rPr>
              <w:t>NZ$3,500</w:t>
            </w:r>
          </w:p>
        </w:tc>
        <w:tc>
          <w:p w14:paraId="634A7C8C">
            <w:pPr>
              <w:pStyle w:val="26"/>
              <w:jc w:val="left"/>
            </w:pPr>
            <w:r>
              <w:rPr>
                <w:sz w:val="20"/>
                <w:szCs w:val="20"/>
              </w:rPr>
              <w:t>Assumption: incremental escalation handling.</w:t>
            </w:r>
          </w:p>
        </w:tc>
      </w:tr>
      <w:tr w14:paraId="7B863AB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2B46CF16">
            <w:pPr>
              <w:pStyle w:val="26"/>
              <w:jc w:val="left"/>
            </w:pPr>
            <w:r>
              <w:rPr>
                <w:sz w:val="20"/>
                <w:szCs w:val="20"/>
              </w:rPr>
              <w:t>H</w:t>
            </w:r>
          </w:p>
        </w:tc>
        <w:tc>
          <w:tcPr>
            <w:shd w:val="clear" w:color="auto" w:fill="F2F5F9"/>
          </w:tcPr>
          <w:p w14:paraId="20FC032A">
            <w:pPr>
              <w:pStyle w:val="26"/>
              <w:jc w:val="left"/>
            </w:pPr>
            <w:r>
              <w:rPr>
                <w:sz w:val="20"/>
                <w:szCs w:val="20"/>
              </w:rPr>
              <w:t>Internal cost of the dysfunction (E × (F+G))</w:t>
            </w:r>
          </w:p>
        </w:tc>
        <w:tc>
          <w:tcPr>
            <w:shd w:val="clear" w:color="auto" w:fill="F2F5F9"/>
          </w:tcPr>
          <w:p w14:paraId="0DBDC5CA">
            <w:pPr>
              <w:pStyle w:val="26"/>
              <w:jc w:val="left"/>
            </w:pPr>
            <w:r>
              <w:rPr>
                <w:b/>
                <w:bCs/>
                <w:sz w:val="20"/>
                <w:szCs w:val="20"/>
              </w:rPr>
              <w:t>~NZ$3.8m</w:t>
            </w:r>
          </w:p>
        </w:tc>
        <w:tc>
          <w:tcPr>
            <w:shd w:val="clear" w:color="auto" w:fill="F2F5F9"/>
          </w:tcPr>
          <w:p w14:paraId="5E304531">
            <w:pPr>
              <w:pStyle w:val="26"/>
              <w:jc w:val="left"/>
            </w:pPr>
            <w:r>
              <w:rPr>
                <w:sz w:val="20"/>
                <w:szCs w:val="20"/>
              </w:rPr>
              <w:t>Calculated.</w:t>
            </w:r>
          </w:p>
        </w:tc>
      </w:tr>
      <w:tr w14:paraId="4CBCA1E5">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78A35BF7">
            <w:pPr>
              <w:pStyle w:val="26"/>
              <w:jc w:val="left"/>
            </w:pPr>
            <w:r>
              <w:rPr>
                <w:sz w:val="20"/>
                <w:szCs w:val="20"/>
              </w:rPr>
              <w:t>I</w:t>
            </w:r>
          </w:p>
        </w:tc>
        <w:tc>
          <w:p w14:paraId="42A269F3">
            <w:pPr>
              <w:pStyle w:val="26"/>
              <w:jc w:val="left"/>
            </w:pPr>
            <w:r>
              <w:rPr>
                <w:sz w:val="20"/>
                <w:szCs w:val="20"/>
              </w:rPr>
              <w:t>Share of unverified exits triggering contractor recovery</w:t>
            </w:r>
          </w:p>
        </w:tc>
        <w:tc>
          <w:p w14:paraId="238CEF4B">
            <w:pPr>
              <w:pStyle w:val="26"/>
              <w:jc w:val="left"/>
            </w:pPr>
            <w:r>
              <w:rPr>
                <w:sz w:val="20"/>
                <w:szCs w:val="20"/>
              </w:rPr>
              <w:t>15%</w:t>
            </w:r>
          </w:p>
        </w:tc>
        <w:tc>
          <w:p w14:paraId="5F076CBB">
            <w:pPr>
              <w:pStyle w:val="26"/>
              <w:jc w:val="left"/>
            </w:pPr>
            <w:r>
              <w:rPr>
                <w:sz w:val="20"/>
                <w:szCs w:val="20"/>
              </w:rPr>
              <w:t>Assumption.</w:t>
            </w:r>
          </w:p>
        </w:tc>
      </w:tr>
      <w:tr w14:paraId="48E590A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372F67C8">
            <w:pPr>
              <w:pStyle w:val="26"/>
              <w:jc w:val="left"/>
            </w:pPr>
            <w:r>
              <w:rPr>
                <w:sz w:val="20"/>
                <w:szCs w:val="20"/>
              </w:rPr>
              <w:t>J</w:t>
            </w:r>
          </w:p>
        </w:tc>
        <w:tc>
          <w:tcPr>
            <w:shd w:val="clear" w:color="auto" w:fill="F2F5F9"/>
          </w:tcPr>
          <w:p w14:paraId="47972E35">
            <w:pPr>
              <w:pStyle w:val="26"/>
              <w:jc w:val="left"/>
            </w:pPr>
            <w:r>
              <w:rPr>
                <w:sz w:val="20"/>
                <w:szCs w:val="20"/>
              </w:rPr>
              <w:t>Contractor recovery cost per engagement</w:t>
            </w:r>
          </w:p>
        </w:tc>
        <w:tc>
          <w:tcPr>
            <w:shd w:val="clear" w:color="auto" w:fill="F2F5F9"/>
          </w:tcPr>
          <w:p w14:paraId="4B36F706">
            <w:pPr>
              <w:pStyle w:val="26"/>
              <w:jc w:val="left"/>
            </w:pPr>
            <w:r>
              <w:rPr>
                <w:sz w:val="20"/>
                <w:szCs w:val="20"/>
              </w:rPr>
              <w:t>50 days @ NZ$700 premium = NZ$35,000</w:t>
            </w:r>
          </w:p>
        </w:tc>
        <w:tc>
          <w:tcPr>
            <w:shd w:val="clear" w:color="auto" w:fill="F2F5F9"/>
          </w:tcPr>
          <w:p w14:paraId="6ACE2C21">
            <w:pPr>
              <w:pStyle w:val="26"/>
              <w:jc w:val="left"/>
            </w:pPr>
            <w:r>
              <w:rPr>
                <w:sz w:val="20"/>
                <w:szCs w:val="20"/>
              </w:rPr>
              <w:t>Assumption: premium over the equivalent internal loaded cost.</w:t>
            </w:r>
          </w:p>
        </w:tc>
      </w:tr>
      <w:tr w14:paraId="49D104F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3C0AD81">
            <w:pPr>
              <w:pStyle w:val="26"/>
              <w:jc w:val="left"/>
            </w:pPr>
            <w:r>
              <w:rPr>
                <w:sz w:val="20"/>
                <w:szCs w:val="20"/>
              </w:rPr>
              <w:t>K</w:t>
            </w:r>
          </w:p>
        </w:tc>
        <w:tc>
          <w:p w14:paraId="6BA33A4A">
            <w:pPr>
              <w:pStyle w:val="26"/>
              <w:jc w:val="left"/>
            </w:pPr>
            <w:r>
              <w:rPr>
                <w:sz w:val="20"/>
                <w:szCs w:val="20"/>
              </w:rPr>
              <w:t>Contractor recovery cost (E × I × J)</w:t>
            </w:r>
          </w:p>
        </w:tc>
        <w:tc>
          <w:p w14:paraId="50C8124C">
            <w:pPr>
              <w:pStyle w:val="26"/>
              <w:jc w:val="left"/>
            </w:pPr>
            <w:r>
              <w:rPr>
                <w:b/>
                <w:bCs/>
                <w:sz w:val="20"/>
                <w:szCs w:val="20"/>
              </w:rPr>
              <w:t>~NZ$1.0m</w:t>
            </w:r>
          </w:p>
        </w:tc>
        <w:tc>
          <w:p w14:paraId="25055DD5">
            <w:pPr>
              <w:pStyle w:val="26"/>
              <w:jc w:val="left"/>
            </w:pPr>
            <w:r>
              <w:rPr>
                <w:sz w:val="20"/>
                <w:szCs w:val="20"/>
              </w:rPr>
              <w:t>Calculated.</w:t>
            </w:r>
          </w:p>
        </w:tc>
      </w:tr>
      <w:tr w14:paraId="4C5F88A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4BFD454E">
            <w:pPr>
              <w:pStyle w:val="26"/>
              <w:jc w:val="left"/>
            </w:pPr>
            <w:r>
              <w:rPr>
                <w:sz w:val="20"/>
                <w:szCs w:val="20"/>
              </w:rPr>
              <w:t>L</w:t>
            </w:r>
          </w:p>
        </w:tc>
        <w:tc>
          <w:tcPr>
            <w:shd w:val="clear" w:color="auto" w:fill="F2F5F9"/>
          </w:tcPr>
          <w:p w14:paraId="5FC87D3C">
            <w:pPr>
              <w:pStyle w:val="26"/>
              <w:jc w:val="left"/>
            </w:pPr>
            <w:r>
              <w:rPr>
                <w:b/>
                <w:bCs/>
                <w:sz w:val="20"/>
                <w:szCs w:val="20"/>
              </w:rPr>
              <w:t>Total indicative cost, FY24–FY26 (H + K)</w:t>
            </w:r>
          </w:p>
        </w:tc>
        <w:tc>
          <w:tcPr>
            <w:shd w:val="clear" w:color="auto" w:fill="F2F5F9"/>
          </w:tcPr>
          <w:p w14:paraId="6C3E2DF2">
            <w:pPr>
              <w:pStyle w:val="26"/>
              <w:jc w:val="left"/>
            </w:pPr>
            <w:r>
              <w:rPr>
                <w:b/>
                <w:bCs/>
                <w:sz w:val="20"/>
                <w:szCs w:val="20"/>
              </w:rPr>
              <w:t>~NZ$4.8m</w:t>
            </w:r>
          </w:p>
        </w:tc>
        <w:tc>
          <w:tcPr>
            <w:shd w:val="clear" w:color="auto" w:fill="F2F5F9"/>
          </w:tcPr>
          <w:p w14:paraId="5894EE92">
            <w:pPr>
              <w:pStyle w:val="26"/>
              <w:jc w:val="left"/>
            </w:pPr>
            <w:r>
              <w:rPr>
                <w:sz w:val="20"/>
                <w:szCs w:val="20"/>
              </w:rPr>
              <w:t>Calculated.</w:t>
            </w:r>
          </w:p>
        </w:tc>
      </w:tr>
      <w:tr w14:paraId="2A8B90F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7CC87C91">
            <w:pPr>
              <w:pStyle w:val="26"/>
              <w:jc w:val="left"/>
            </w:pPr>
            <w:r>
              <w:rPr>
                <w:sz w:val="20"/>
                <w:szCs w:val="20"/>
              </w:rPr>
              <w:t>M</w:t>
            </w:r>
          </w:p>
        </w:tc>
        <w:tc>
          <w:p w14:paraId="123B8256">
            <w:pPr>
              <w:pStyle w:val="26"/>
              <w:jc w:val="left"/>
            </w:pPr>
            <w:r>
              <w:rPr>
                <w:b/>
                <w:bCs/>
                <w:sz w:val="20"/>
                <w:szCs w:val="20"/>
              </w:rPr>
              <w:t>Annualised (L ÷ 2)</w:t>
            </w:r>
          </w:p>
        </w:tc>
        <w:tc>
          <w:p w14:paraId="202659AC">
            <w:pPr>
              <w:pStyle w:val="26"/>
              <w:jc w:val="left"/>
            </w:pPr>
            <w:r>
              <w:rPr>
                <w:b/>
                <w:bCs/>
                <w:sz w:val="20"/>
                <w:szCs w:val="20"/>
              </w:rPr>
              <w:t>~NZ$2.4m a year</w:t>
            </w:r>
          </w:p>
        </w:tc>
        <w:tc>
          <w:p w14:paraId="56AD5988">
            <w:pPr>
              <w:pStyle w:val="26"/>
              <w:jc w:val="left"/>
            </w:pPr>
            <w:r>
              <w:rPr>
                <w:sz w:val="20"/>
                <w:szCs w:val="20"/>
              </w:rPr>
              <w:t>Calculated.</w:t>
            </w:r>
          </w:p>
        </w:tc>
      </w:tr>
    </w:tbl>
    <w:p w14:paraId="1CD4D584">
      <w:pPr>
        <w:pStyle w:val="3"/>
      </w:pPr>
      <w:r>
        <w:t>Three points follow from this. At roughly NZ$2.4 million a year against a programme delivering around NZ$50 million of savings, the leakage is material but not dramatic, which is probably why it has stayed invisible. It is large enough to matter to the FY26 result and small enough to disappear into contractor and overtime lines that nobody reconciles against the cost-out. The figure is also the basis on which H3 was redefined in Table 4: it implies an offset of 5–10% of realised savings, against the 15–25% the financial-domain interview attributes to total post-exit contractor spend (Q19). The two are reconcilable because the interview counts planned backfill and this estimate does not, and that distinction is what H3 now tests.</w:t>
      </w:r>
    </w:p>
    <w:p w14:paraId="3523D248">
      <w:pPr>
        <w:pStyle w:val="3"/>
      </w:pPr>
      <w:r>
        <w:t>The estimate is also conservative in one identified respect. It counts receiving-team rework and external contractors but not internal reassignment, which the interview identified as a third recovery route carrying a real opportunity cost with no corresponding line item (Q16). The true figure is therefore likely to sit above NZ$2.4 million a year rather than below it.</w:t>
      </w:r>
    </w:p>
    <w:p w14:paraId="2E60C216">
      <w:pPr>
        <w:pStyle w:val="3"/>
      </w:pPr>
      <w:r>
        <w:t>The figure rests on two assumptions that carry most of the uncertainty: the share of exits from knowledge-critical roles (line B) and the rework days per unverified exit (line F). Neither is observed, both are set by judgement, and a reader is entitled to ask how far the conclusion depends on them. Table 6 varies each across a plausible range and holds everything else at the base case.</w:t>
      </w:r>
    </w:p>
    <w:p w14:paraId="37D19E60">
      <w:pPr>
        <w:pStyle w:val="3"/>
        <w:keepNext/>
        <w:spacing w:before="80" w:after="80" w:line="240" w:lineRule="auto"/>
        <w:jc w:val="left"/>
      </w:pPr>
      <w:r>
        <w:rPr>
          <w:b/>
          <w:bCs/>
          <w:sz w:val="22"/>
          <w:szCs w:val="22"/>
        </w:rPr>
        <w:t>Table 6.</w:t>
      </w:r>
      <w:r>
        <w:rPr>
          <w:i/>
          <w:iCs/>
          <w:sz w:val="22"/>
          <w:szCs w:val="22"/>
        </w:rPr>
        <w:t xml:space="preserve"> Sensitivity of the annualised cost to the two dominant assumptions</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2130"/>
        <w:gridCol w:w="2048"/>
        <w:gridCol w:w="2558"/>
        <w:gridCol w:w="2048"/>
      </w:tblGrid>
      <w:tr w14:paraId="37B0BAE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21459F51">
            <w:pPr>
              <w:pStyle w:val="26"/>
              <w:keepNext/>
              <w:jc w:val="left"/>
            </w:pPr>
            <w:r>
              <w:rPr>
                <w:b/>
                <w:bCs/>
                <w:color w:val="FFFFFF"/>
                <w:sz w:val="20"/>
                <w:szCs w:val="20"/>
              </w:rPr>
              <w:t>Rework days per exit (F)</w:t>
            </w:r>
          </w:p>
        </w:tc>
        <w:tc>
          <w:tcPr>
            <w:shd w:val="clear" w:color="auto" w:fill="1F3864"/>
          </w:tcPr>
          <w:p w14:paraId="78AF1892">
            <w:pPr>
              <w:pStyle w:val="26"/>
              <w:keepNext/>
              <w:jc w:val="left"/>
            </w:pPr>
            <w:r>
              <w:rPr>
                <w:b/>
                <w:bCs/>
                <w:color w:val="FFFFFF"/>
                <w:sz w:val="20"/>
                <w:szCs w:val="20"/>
              </w:rPr>
              <w:t>Critical-role share 15%</w:t>
            </w:r>
          </w:p>
        </w:tc>
        <w:tc>
          <w:tcPr>
            <w:shd w:val="clear" w:color="auto" w:fill="1F3864"/>
          </w:tcPr>
          <w:p w14:paraId="49902CF0">
            <w:pPr>
              <w:pStyle w:val="26"/>
              <w:keepNext/>
              <w:jc w:val="left"/>
            </w:pPr>
            <w:r>
              <w:rPr>
                <w:b/>
                <w:bCs/>
                <w:color w:val="FFFFFF"/>
                <w:sz w:val="20"/>
                <w:szCs w:val="20"/>
              </w:rPr>
              <w:t>Critical-role share 25% (base)</w:t>
            </w:r>
          </w:p>
        </w:tc>
        <w:tc>
          <w:tcPr>
            <w:shd w:val="clear" w:color="auto" w:fill="1F3864"/>
          </w:tcPr>
          <w:p w14:paraId="6EFF0468">
            <w:pPr>
              <w:pStyle w:val="26"/>
              <w:keepNext/>
              <w:jc w:val="left"/>
            </w:pPr>
            <w:r>
              <w:rPr>
                <w:b/>
                <w:bCs/>
                <w:color w:val="FFFFFF"/>
                <w:sz w:val="20"/>
                <w:szCs w:val="20"/>
              </w:rPr>
              <w:t>Critical-role share 35%</w:t>
            </w:r>
          </w:p>
        </w:tc>
      </w:tr>
      <w:tr w14:paraId="1BD8C1E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19DFEEE1">
            <w:pPr>
              <w:pStyle w:val="26"/>
              <w:keepNext/>
              <w:jc w:val="left"/>
            </w:pPr>
            <w:r>
              <w:rPr>
                <w:sz w:val="20"/>
                <w:szCs w:val="20"/>
              </w:rPr>
              <w:t>20 days</w:t>
            </w:r>
          </w:p>
        </w:tc>
        <w:tc>
          <w:p w14:paraId="72A48D60">
            <w:pPr>
              <w:pStyle w:val="26"/>
              <w:keepNext/>
              <w:jc w:val="left"/>
            </w:pPr>
            <w:r>
              <w:rPr>
                <w:sz w:val="20"/>
                <w:szCs w:val="20"/>
              </w:rPr>
              <w:t>NZ$1.1m</w:t>
            </w:r>
          </w:p>
        </w:tc>
        <w:tc>
          <w:p w14:paraId="2208312F">
            <w:pPr>
              <w:pStyle w:val="26"/>
              <w:keepNext/>
              <w:jc w:val="left"/>
            </w:pPr>
            <w:r>
              <w:rPr>
                <w:sz w:val="20"/>
                <w:szCs w:val="20"/>
              </w:rPr>
              <w:t>NZ$1.9m</w:t>
            </w:r>
          </w:p>
        </w:tc>
        <w:tc>
          <w:p w14:paraId="6E57D95A">
            <w:pPr>
              <w:pStyle w:val="26"/>
              <w:keepNext/>
              <w:jc w:val="left"/>
            </w:pPr>
            <w:r>
              <w:rPr>
                <w:sz w:val="20"/>
                <w:szCs w:val="20"/>
              </w:rPr>
              <w:t>NZ$2.6m</w:t>
            </w:r>
          </w:p>
        </w:tc>
      </w:tr>
      <w:tr w14:paraId="3212542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40DF0DAC">
            <w:pPr>
              <w:pStyle w:val="26"/>
              <w:jc w:val="left"/>
            </w:pPr>
            <w:r>
              <w:rPr>
                <w:sz w:val="20"/>
                <w:szCs w:val="20"/>
              </w:rPr>
              <w:t>30 days (base)</w:t>
            </w:r>
          </w:p>
        </w:tc>
        <w:tc>
          <w:tcPr>
            <w:shd w:val="clear" w:color="auto" w:fill="F2F5F9"/>
          </w:tcPr>
          <w:p w14:paraId="4BAF6DA2">
            <w:pPr>
              <w:pStyle w:val="26"/>
              <w:jc w:val="left"/>
            </w:pPr>
            <w:r>
              <w:rPr>
                <w:sz w:val="20"/>
                <w:szCs w:val="20"/>
              </w:rPr>
              <w:t>NZ$1.4m</w:t>
            </w:r>
          </w:p>
        </w:tc>
        <w:tc>
          <w:tcPr>
            <w:shd w:val="clear" w:color="auto" w:fill="F2F5F9"/>
          </w:tcPr>
          <w:p w14:paraId="4641E7A5">
            <w:pPr>
              <w:pStyle w:val="26"/>
              <w:jc w:val="left"/>
            </w:pPr>
            <w:r>
              <w:rPr>
                <w:b/>
                <w:bCs/>
                <w:sz w:val="20"/>
                <w:szCs w:val="20"/>
              </w:rPr>
              <w:t>NZ$2.4m</w:t>
            </w:r>
          </w:p>
        </w:tc>
        <w:tc>
          <w:tcPr>
            <w:shd w:val="clear" w:color="auto" w:fill="F2F5F9"/>
          </w:tcPr>
          <w:p w14:paraId="4B4CBEFF">
            <w:pPr>
              <w:pStyle w:val="26"/>
              <w:jc w:val="left"/>
            </w:pPr>
            <w:r>
              <w:rPr>
                <w:sz w:val="20"/>
                <w:szCs w:val="20"/>
              </w:rPr>
              <w:t>NZ$3.3m</w:t>
            </w:r>
          </w:p>
        </w:tc>
      </w:tr>
      <w:tr w14:paraId="2ABFC67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0DE2E61F">
            <w:pPr>
              <w:pStyle w:val="26"/>
              <w:jc w:val="left"/>
            </w:pPr>
            <w:r>
              <w:rPr>
                <w:sz w:val="20"/>
                <w:szCs w:val="20"/>
              </w:rPr>
              <w:t>40 days</w:t>
            </w:r>
          </w:p>
        </w:tc>
        <w:tc>
          <w:p w14:paraId="72BE2932">
            <w:pPr>
              <w:pStyle w:val="26"/>
              <w:jc w:val="left"/>
            </w:pPr>
            <w:r>
              <w:rPr>
                <w:sz w:val="20"/>
                <w:szCs w:val="20"/>
              </w:rPr>
              <w:t>NZ$1.7m</w:t>
            </w:r>
          </w:p>
        </w:tc>
        <w:tc>
          <w:p w14:paraId="0AFF63CB">
            <w:pPr>
              <w:pStyle w:val="26"/>
              <w:jc w:val="left"/>
            </w:pPr>
            <w:r>
              <w:rPr>
                <w:sz w:val="20"/>
                <w:szCs w:val="20"/>
              </w:rPr>
              <w:t>NZ$2.9m</w:t>
            </w:r>
          </w:p>
        </w:tc>
        <w:tc>
          <w:p w14:paraId="1B55C64C">
            <w:pPr>
              <w:pStyle w:val="26"/>
              <w:jc w:val="left"/>
            </w:pPr>
            <w:r>
              <w:rPr>
                <w:sz w:val="20"/>
                <w:szCs w:val="20"/>
              </w:rPr>
              <w:t>NZ$4.0m</w:t>
            </w:r>
          </w:p>
        </w:tc>
      </w:tr>
    </w:tbl>
    <w:p w14:paraId="7436C374">
      <w:pPr>
        <w:pStyle w:val="3"/>
      </w:pPr>
      <w:r>
        <w:t>Across the whole grid the annualised cost runs from about NZ$1.1m to about NZ$4.0m, a factor of nearly four. Two things follow. The midpoint is not firm enough to put in front of a board, which is why establishing it is Phase 0 of the implementation rather than a finding of this deliverable. But the decision does not turn on the midpoint. Even at the pessimistic corner the leakage is around NZ$1.1m a year against an implementation cost under NZ$100,000, so the case for proceeding holds in every cell of the table. An estimate whose conclusion survives its own worst case is usable even when its central figure is uncertain, and saying which assumptions the answer is sensitive to is more useful to the client than defending a single number.</w:t>
      </w:r>
    </w:p>
    <w:p w14:paraId="3C3BEEF3">
      <w:pPr>
        <w:pStyle w:val="3"/>
      </w:pPr>
      <w:r>
        <w:t xml:space="preserve">Recovering 60% of the annualised cost gives a target of </w:t>
      </w:r>
      <w:r>
        <w:rPr>
          <w:b/>
          <w:bCs/>
        </w:rPr>
        <w:t>NZ$1.4 million a year</w:t>
      </w:r>
      <w:r>
        <w:t>, achieved by raising verified handover completion for critical-role exits from an estimated baseline below 50% to 90%.</w:t>
      </w:r>
    </w:p>
    <w:bookmarkEnd w:id="17"/>
    <w:p w14:paraId="4428DF29">
      <w:pPr>
        <w:pStyle w:val="4"/>
      </w:pPr>
      <w:bookmarkStart w:id="18" w:name="_Toc2281"/>
      <w:bookmarkStart w:id="19" w:name="one-major-kpi-and-two-sub-kpis"/>
      <w:r>
        <w:rPr>
          <w:color w:val="1F3864"/>
        </w:rPr>
        <w:t>2.2 One major KPI and two sub-KPIs</w:t>
      </w:r>
      <w:bookmarkEnd w:id="18"/>
    </w:p>
    <w:p w14:paraId="06B5A942">
      <w:pPr>
        <w:pStyle w:val="25"/>
      </w:pPr>
      <w:r>
        <w:t>The major KPI measures the outcome the redesign exists to produce. The two sub-KPIs are its components: one governs the denominator, that is, whether the right exits are being identified, and one governs the quality of the verification, that is, whether it is genuine or retrospective sign-off. Together they make it difficult to report a good headline number without having done the work, which is a failure mode KPI design has to anticipate (Rosemann, 2001).</w:t>
      </w:r>
    </w:p>
    <w:p w14:paraId="4204B8A6">
      <w:pPr>
        <w:pStyle w:val="3"/>
        <w:keepNext/>
        <w:spacing w:before="80" w:after="80" w:line="240" w:lineRule="auto"/>
        <w:jc w:val="left"/>
      </w:pPr>
      <w:r>
        <w:rPr>
          <w:b/>
          <w:bCs/>
          <w:sz w:val="22"/>
          <w:szCs w:val="22"/>
        </w:rPr>
        <w:t>Table 7.</w:t>
      </w:r>
      <w:r>
        <w:rPr>
          <w:i/>
          <w:iCs/>
          <w:sz w:val="22"/>
          <w:szCs w:val="22"/>
        </w:rPr>
        <w:t xml:space="preserve"> Major KPI and sub-KPIs, defined against the SMART criteria</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1193"/>
        <w:gridCol w:w="2990"/>
        <w:gridCol w:w="2166"/>
        <w:gridCol w:w="2435"/>
      </w:tblGrid>
      <w:tr w14:paraId="540CD6EC">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PrEx>
        <w:trPr>
          <w:tblHeader/>
        </w:trPr>
        <w:tc>
          <w:tcPr>
            <w:shd w:val="clear" w:color="auto" w:fill="1F3864"/>
          </w:tcPr>
          <w:p w14:paraId="006D21DD">
            <w:pPr>
              <w:pStyle w:val="26"/>
              <w:keepNext/>
            </w:pPr>
          </w:p>
        </w:tc>
        <w:tc>
          <w:tcPr>
            <w:shd w:val="clear" w:color="auto" w:fill="1F3864"/>
          </w:tcPr>
          <w:p w14:paraId="4A94DB9D">
            <w:pPr>
              <w:pStyle w:val="26"/>
              <w:keepNext/>
              <w:jc w:val="left"/>
            </w:pPr>
            <w:r>
              <w:rPr>
                <w:b/>
                <w:bCs/>
                <w:color w:val="FFFFFF"/>
                <w:sz w:val="20"/>
                <w:szCs w:val="20"/>
              </w:rPr>
              <w:t>Major KPI — Verified Handover Completion Rate (VHCR)</w:t>
            </w:r>
          </w:p>
        </w:tc>
        <w:tc>
          <w:tcPr>
            <w:shd w:val="clear" w:color="auto" w:fill="1F3864"/>
          </w:tcPr>
          <w:p w14:paraId="5791E4BC">
            <w:pPr>
              <w:pStyle w:val="26"/>
              <w:keepNext/>
              <w:jc w:val="left"/>
            </w:pPr>
            <w:r>
              <w:rPr>
                <w:b/>
                <w:bCs/>
                <w:color w:val="FFFFFF"/>
                <w:sz w:val="20"/>
                <w:szCs w:val="20"/>
              </w:rPr>
              <w:t>Sub-KPI 1 — Criticality Assessment Coverage (CAC)</w:t>
            </w:r>
          </w:p>
        </w:tc>
        <w:tc>
          <w:tcPr>
            <w:shd w:val="clear" w:color="auto" w:fill="1F3864"/>
          </w:tcPr>
          <w:p w14:paraId="510506B2">
            <w:pPr>
              <w:pStyle w:val="26"/>
              <w:keepNext/>
              <w:jc w:val="left"/>
            </w:pPr>
            <w:r>
              <w:rPr>
                <w:b/>
                <w:bCs/>
                <w:color w:val="FFFFFF"/>
                <w:sz w:val="20"/>
                <w:szCs w:val="20"/>
              </w:rPr>
              <w:t>Sub-KPI 2 — Handover Verification Lead Time (HVLT)</w:t>
            </w:r>
          </w:p>
        </w:tc>
      </w:tr>
      <w:tr w14:paraId="52D6F7CA">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8CF50AB">
            <w:pPr>
              <w:pStyle w:val="26"/>
              <w:keepNext/>
              <w:jc w:val="left"/>
            </w:pPr>
            <w:r>
              <w:rPr>
                <w:b/>
                <w:bCs/>
                <w:sz w:val="20"/>
                <w:szCs w:val="20"/>
              </w:rPr>
              <w:t>Definition</w:t>
            </w:r>
          </w:p>
        </w:tc>
        <w:tc>
          <w:p w14:paraId="133E0D7D">
            <w:pPr>
              <w:pStyle w:val="26"/>
              <w:keepNext/>
              <w:jc w:val="left"/>
            </w:pPr>
            <w:r>
              <w:rPr>
                <w:sz w:val="20"/>
                <w:szCs w:val="20"/>
              </w:rPr>
              <w:t>Percentage of exits from knowledge-critical roles for which the receiving owner has passed the competence check and recorded verification before the departing employee’s last working day.</w:t>
            </w:r>
          </w:p>
        </w:tc>
        <w:tc>
          <w:p w14:paraId="0EBBE367">
            <w:pPr>
              <w:pStyle w:val="26"/>
              <w:keepNext/>
              <w:jc w:val="left"/>
            </w:pPr>
            <w:r>
              <w:rPr>
                <w:sz w:val="20"/>
                <w:szCs w:val="20"/>
              </w:rPr>
              <w:t>Percentage of confirmed exits that receive a documented knowledge-criticality assessment within 5 working days of notice acceptance.</w:t>
            </w:r>
          </w:p>
        </w:tc>
        <w:tc>
          <w:p w14:paraId="376837FF">
            <w:pPr>
              <w:pStyle w:val="26"/>
              <w:keepNext/>
              <w:jc w:val="left"/>
            </w:pPr>
            <w:r>
              <w:rPr>
                <w:sz w:val="20"/>
                <w:szCs w:val="20"/>
              </w:rPr>
              <w:t>Median working days between receiving-owner verification and the departing employee’s last working day.</w:t>
            </w:r>
          </w:p>
        </w:tc>
      </w:tr>
      <w:tr w14:paraId="5C6A52F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6A81FCB5">
            <w:pPr>
              <w:pStyle w:val="26"/>
              <w:jc w:val="left"/>
            </w:pPr>
            <w:r>
              <w:rPr>
                <w:b/>
                <w:bCs/>
                <w:sz w:val="20"/>
                <w:szCs w:val="20"/>
              </w:rPr>
              <w:t>Specific</w:t>
            </w:r>
          </w:p>
        </w:tc>
        <w:tc>
          <w:tcPr>
            <w:shd w:val="clear" w:color="auto" w:fill="F2F5F9"/>
          </w:tcPr>
          <w:p w14:paraId="2B27B2CA">
            <w:pPr>
              <w:pStyle w:val="26"/>
              <w:jc w:val="left"/>
            </w:pPr>
            <w:r>
              <w:rPr>
                <w:sz w:val="20"/>
                <w:szCs w:val="20"/>
              </w:rPr>
              <w:t>One population (critical-role exits), one test (the receiver performs sampled tasks unaided), one deadline (the last working day).</w:t>
            </w:r>
          </w:p>
        </w:tc>
        <w:tc>
          <w:tcPr>
            <w:shd w:val="clear" w:color="auto" w:fill="F2F5F9"/>
          </w:tcPr>
          <w:p w14:paraId="579205A7">
            <w:pPr>
              <w:pStyle w:val="26"/>
              <w:jc w:val="left"/>
            </w:pPr>
            <w:r>
              <w:rPr>
                <w:sz w:val="20"/>
                <w:szCs w:val="20"/>
              </w:rPr>
              <w:t>One population (all confirmed exits), one artefact (criticality assessment), one deadline.</w:t>
            </w:r>
          </w:p>
        </w:tc>
        <w:tc>
          <w:tcPr>
            <w:shd w:val="clear" w:color="auto" w:fill="F2F5F9"/>
          </w:tcPr>
          <w:p w14:paraId="08008121">
            <w:pPr>
              <w:pStyle w:val="26"/>
              <w:jc w:val="left"/>
            </w:pPr>
            <w:r>
              <w:rPr>
                <w:sz w:val="20"/>
                <w:szCs w:val="20"/>
              </w:rPr>
              <w:t>One population (verified critical exits), one interval, one measure of central tendency.</w:t>
            </w:r>
          </w:p>
        </w:tc>
      </w:tr>
      <w:tr w14:paraId="180E8BF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2433DE0B">
            <w:pPr>
              <w:pStyle w:val="26"/>
              <w:jc w:val="left"/>
            </w:pPr>
            <w:r>
              <w:rPr>
                <w:b/>
                <w:bCs/>
                <w:sz w:val="20"/>
                <w:szCs w:val="20"/>
              </w:rPr>
              <w:t>Measurable</w:t>
            </w:r>
          </w:p>
        </w:tc>
        <w:tc>
          <w:p w14:paraId="4462AEBA">
            <w:pPr>
              <w:pStyle w:val="26"/>
              <w:jc w:val="left"/>
            </w:pPr>
            <w:r>
              <w:rPr>
                <w:sz w:val="20"/>
                <w:szCs w:val="20"/>
              </w:rPr>
              <w:t>Signed-off packs ÷ critical-role exits, from HRIS exit records.</w:t>
            </w:r>
          </w:p>
        </w:tc>
        <w:tc>
          <w:p w14:paraId="4CA30241">
            <w:pPr>
              <w:pStyle w:val="26"/>
              <w:jc w:val="left"/>
            </w:pPr>
            <w:r>
              <w:rPr>
                <w:sz w:val="20"/>
                <w:szCs w:val="20"/>
              </w:rPr>
              <w:t>Completed assessments ÷ confirmed exits, from HRIS.</w:t>
            </w:r>
          </w:p>
        </w:tc>
        <w:tc>
          <w:p w14:paraId="1B046F92">
            <w:pPr>
              <w:pStyle w:val="26"/>
              <w:jc w:val="left"/>
            </w:pPr>
            <w:r>
              <w:rPr>
                <w:sz w:val="20"/>
                <w:szCs w:val="20"/>
              </w:rPr>
              <w:t>Date arithmetic on two events already recorded in HRIS.</w:t>
            </w:r>
          </w:p>
        </w:tc>
      </w:tr>
      <w:tr w14:paraId="0F4D9CE5">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635FFA29">
            <w:pPr>
              <w:pStyle w:val="26"/>
              <w:jc w:val="left"/>
            </w:pPr>
            <w:r>
              <w:rPr>
                <w:b/>
                <w:bCs/>
                <w:sz w:val="20"/>
                <w:szCs w:val="20"/>
              </w:rPr>
              <w:t>Acceptable</w:t>
            </w:r>
          </w:p>
        </w:tc>
        <w:tc>
          <w:tcPr>
            <w:shd w:val="clear" w:color="auto" w:fill="F2F5F9"/>
          </w:tcPr>
          <w:p w14:paraId="3DF82CC3">
            <w:pPr>
              <w:pStyle w:val="26"/>
              <w:jc w:val="left"/>
            </w:pPr>
            <w:r>
              <w:rPr>
                <w:sz w:val="20"/>
                <w:szCs w:val="20"/>
              </w:rPr>
              <w:t>Owned by the People function with line-manager accountability. Requires no new system, only two new mandatory fields on an existing record.</w:t>
            </w:r>
          </w:p>
        </w:tc>
        <w:tc>
          <w:tcPr>
            <w:shd w:val="clear" w:color="auto" w:fill="F2F5F9"/>
          </w:tcPr>
          <w:p w14:paraId="477B72E9">
            <w:pPr>
              <w:pStyle w:val="26"/>
              <w:jc w:val="left"/>
            </w:pPr>
            <w:r>
              <w:rPr>
                <w:sz w:val="20"/>
                <w:szCs w:val="20"/>
              </w:rPr>
              <w:t>Adds a single triage step to an existing workflow.</w:t>
            </w:r>
          </w:p>
        </w:tc>
        <w:tc>
          <w:tcPr>
            <w:shd w:val="clear" w:color="auto" w:fill="F2F5F9"/>
          </w:tcPr>
          <w:p w14:paraId="03765455">
            <w:pPr>
              <w:pStyle w:val="26"/>
              <w:jc w:val="left"/>
            </w:pPr>
            <w:r>
              <w:rPr>
                <w:sz w:val="20"/>
                <w:szCs w:val="20"/>
              </w:rPr>
              <w:t>Derived automatically from data already captured for VHCR.</w:t>
            </w:r>
          </w:p>
        </w:tc>
      </w:tr>
      <w:tr w14:paraId="51555FE5">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010778BB">
            <w:pPr>
              <w:pStyle w:val="26"/>
              <w:jc w:val="left"/>
            </w:pPr>
            <w:r>
              <w:rPr>
                <w:b/>
                <w:bCs/>
                <w:sz w:val="20"/>
                <w:szCs w:val="20"/>
              </w:rPr>
              <w:t>Realistic</w:t>
            </w:r>
          </w:p>
        </w:tc>
        <w:tc>
          <w:p w14:paraId="0E43D76E">
            <w:pPr>
              <w:pStyle w:val="26"/>
              <w:jc w:val="left"/>
            </w:pPr>
            <w:r>
              <w:rPr>
                <w:sz w:val="20"/>
                <w:szCs w:val="20"/>
              </w:rPr>
              <w:t xml:space="preserve">Baseline estimated below 50%; </w:t>
            </w:r>
            <w:r>
              <w:rPr>
                <w:b/>
                <w:bCs/>
                <w:sz w:val="20"/>
                <w:szCs w:val="20"/>
              </w:rPr>
              <w:t>Year 1 target 90%</w:t>
            </w:r>
            <w:r>
              <w:rPr>
                <w:sz w:val="20"/>
                <w:szCs w:val="20"/>
              </w:rPr>
              <w:t>, staged at 60% by Q1, 75% by Q2, 90% by Q4.</w:t>
            </w:r>
          </w:p>
        </w:tc>
        <w:tc>
          <w:p w14:paraId="2CD68B91">
            <w:pPr>
              <w:pStyle w:val="26"/>
              <w:jc w:val="left"/>
            </w:pPr>
            <w:r>
              <w:rPr>
                <w:b/>
                <w:bCs/>
                <w:sz w:val="20"/>
                <w:szCs w:val="20"/>
              </w:rPr>
              <w:t>Target 100%</w:t>
            </w:r>
            <w:r>
              <w:rPr>
                <w:sz w:val="20"/>
                <w:szCs w:val="20"/>
              </w:rPr>
              <w:t>, staged at 80% by Q1. Full coverage is achievable because the trigger is automatic.</w:t>
            </w:r>
          </w:p>
        </w:tc>
        <w:tc>
          <w:p w14:paraId="71109672">
            <w:pPr>
              <w:pStyle w:val="26"/>
              <w:jc w:val="left"/>
            </w:pPr>
            <w:r>
              <w:rPr>
                <w:b/>
                <w:bCs/>
                <w:sz w:val="20"/>
                <w:szCs w:val="20"/>
              </w:rPr>
              <w:t>Target median of at least 5 working days</w:t>
            </w:r>
            <w:r>
              <w:rPr>
                <w:sz w:val="20"/>
                <w:szCs w:val="20"/>
              </w:rPr>
              <w:t xml:space="preserve">, with </w:t>
            </w:r>
            <w:r>
              <w:rPr>
                <w:b/>
                <w:bCs/>
                <w:sz w:val="20"/>
                <w:szCs w:val="20"/>
              </w:rPr>
              <w:t>no more than 10% of critical exits at negative lead time</w:t>
            </w:r>
            <w:r>
              <w:rPr>
                <w:sz w:val="20"/>
                <w:szCs w:val="20"/>
              </w:rPr>
              <w:t>, that is, signed off after the final day.</w:t>
            </w:r>
          </w:p>
        </w:tc>
      </w:tr>
      <w:tr w14:paraId="2D4793F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17042324">
            <w:pPr>
              <w:pStyle w:val="26"/>
              <w:jc w:val="left"/>
            </w:pPr>
            <w:r>
              <w:rPr>
                <w:b/>
                <w:bCs/>
                <w:sz w:val="20"/>
                <w:szCs w:val="20"/>
              </w:rPr>
              <w:t>Time-related</w:t>
            </w:r>
          </w:p>
        </w:tc>
        <w:tc>
          <w:tcPr>
            <w:shd w:val="clear" w:color="auto" w:fill="F2F5F9"/>
          </w:tcPr>
          <w:p w14:paraId="5899954E">
            <w:pPr>
              <w:pStyle w:val="26"/>
              <w:jc w:val="left"/>
            </w:pPr>
            <w:r>
              <w:rPr>
                <w:sz w:val="20"/>
                <w:szCs w:val="20"/>
              </w:rPr>
              <w:t>Measured monthly, reported quarterly, target reached within 12 months of implementation and before H1 FY27.</w:t>
            </w:r>
          </w:p>
        </w:tc>
        <w:tc>
          <w:tcPr>
            <w:shd w:val="clear" w:color="auto" w:fill="F2F5F9"/>
          </w:tcPr>
          <w:p w14:paraId="55E8ED93">
            <w:pPr>
              <w:pStyle w:val="26"/>
              <w:jc w:val="left"/>
            </w:pPr>
            <w:r>
              <w:rPr>
                <w:sz w:val="20"/>
                <w:szCs w:val="20"/>
              </w:rPr>
              <w:t>Monthly from month 1.</w:t>
            </w:r>
          </w:p>
        </w:tc>
        <w:tc>
          <w:tcPr>
            <w:shd w:val="clear" w:color="auto" w:fill="F2F5F9"/>
          </w:tcPr>
          <w:p w14:paraId="719981C4">
            <w:pPr>
              <w:pStyle w:val="26"/>
              <w:jc w:val="left"/>
            </w:pPr>
            <w:r>
              <w:rPr>
                <w:sz w:val="20"/>
                <w:szCs w:val="20"/>
              </w:rPr>
              <w:t>Monthly from month 3, once volume allows a stable median.</w:t>
            </w:r>
          </w:p>
        </w:tc>
      </w:tr>
      <w:tr w14:paraId="4D1941C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25D22E8E">
            <w:pPr>
              <w:pStyle w:val="26"/>
              <w:jc w:val="left"/>
            </w:pPr>
            <w:r>
              <w:rPr>
                <w:b/>
                <w:bCs/>
                <w:sz w:val="20"/>
                <w:szCs w:val="20"/>
              </w:rPr>
              <w:t>Why it is needed</w:t>
            </w:r>
          </w:p>
        </w:tc>
        <w:tc>
          <w:p w14:paraId="285C3221">
            <w:pPr>
              <w:pStyle w:val="26"/>
              <w:jc w:val="left"/>
            </w:pPr>
            <w:r>
              <w:rPr>
                <w:sz w:val="20"/>
                <w:szCs w:val="20"/>
              </w:rPr>
              <w:t>Measures directly whether capability is retained, and measures it by demonstrated competence rather than by a document review, which is what stops it becoming a completion rate that reads 98% and means nothing (§8.1, P4).</w:t>
            </w:r>
          </w:p>
        </w:tc>
        <w:tc>
          <w:p w14:paraId="1BE03BA2">
            <w:pPr>
              <w:pStyle w:val="26"/>
              <w:jc w:val="left"/>
            </w:pPr>
            <w:r>
              <w:rPr>
                <w:sz w:val="20"/>
                <w:szCs w:val="20"/>
              </w:rPr>
              <w:t>Protects VHCR from denominator manipulation, since a high VHCR calculated over a shrinking set of “critical” exits means nothing.</w:t>
            </w:r>
          </w:p>
        </w:tc>
        <w:tc>
          <w:p w14:paraId="6DCAD4B9">
            <w:pPr>
              <w:pStyle w:val="26"/>
              <w:jc w:val="left"/>
            </w:pPr>
            <w:r>
              <w:rPr>
                <w:sz w:val="20"/>
                <w:szCs w:val="20"/>
              </w:rPr>
              <w:t>Protects VHCR from becoming a rubber stamp. Sign-off on the final day is administrative; sign-off a week earlier means the receiver had time to find the gaps.</w:t>
            </w:r>
          </w:p>
        </w:tc>
      </w:tr>
    </w:tbl>
    <w:p w14:paraId="3DF1FE60">
      <w:pPr>
        <w:pStyle w:val="3"/>
      </w:pPr>
      <w:r>
        <w:t>The reason for structuring the sub-KPIs this way is that VHCR on its own can be gamed in two ways: by narrowing what counts as critical, and by signing off packs on the last day without reading them. CAC closes the first and HVLT closes the second. This follows the approach of decomposing a strategic target into contributing measures along the value chain, so that the headline measure cannot improve unless the underlying activity does (Rosemann, 2001).</w:t>
      </w:r>
    </w:p>
    <w:bookmarkEnd w:id="15"/>
    <w:bookmarkEnd w:id="19"/>
    <w:p w14:paraId="38A30CAF">
      <w:pPr>
        <w:pStyle w:val="2"/>
      </w:pPr>
      <w:bookmarkStart w:id="20" w:name="_Toc3902"/>
      <w:bookmarkStart w:id="21" w:name="analysis-work-plan"/>
      <w:r>
        <w:rPr>
          <w:color w:val="1F3864"/>
        </w:rPr>
        <w:t>3. Analysis Work Plan</w:t>
      </w:r>
      <w:bookmarkEnd w:id="20"/>
    </w:p>
    <w:p w14:paraId="7F0F2505">
      <w:pPr>
        <w:pStyle w:val="25"/>
      </w:pPr>
      <w:r>
        <w:t>Work planning turns hypotheses into a finite set of analyses, each with a named data source, a named end product and an owner (Rasiel &amp; Friga, 2001). The discipline it enforces is exclusion. The analyses in Table 8 are the ones that have to be done to prove or disprove the hypotheses; analyses that would be interesting but not decisive have been left out on purpose, following the guidance not to boil the ocean.</w:t>
      </w:r>
    </w:p>
    <w:p w14:paraId="139F99CC">
      <w:pPr>
        <w:pStyle w:val="3"/>
        <w:keepNext/>
        <w:spacing w:before="80" w:after="80" w:line="240" w:lineRule="auto"/>
        <w:jc w:val="left"/>
      </w:pPr>
      <w:r>
        <w:rPr>
          <w:b/>
          <w:bCs/>
          <w:sz w:val="22"/>
          <w:szCs w:val="22"/>
        </w:rPr>
        <w:t>Table 8.</w:t>
      </w:r>
      <w:r>
        <w:rPr>
          <w:i/>
          <w:iCs/>
          <w:sz w:val="22"/>
          <w:szCs w:val="22"/>
        </w:rPr>
        <w:t xml:space="preserve"> Analysis work plan</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1494"/>
        <w:gridCol w:w="2098"/>
        <w:gridCol w:w="1537"/>
        <w:gridCol w:w="1710"/>
        <w:gridCol w:w="1416"/>
        <w:gridCol w:w="529"/>
      </w:tblGrid>
      <w:tr w14:paraId="270783C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1B872759">
            <w:pPr>
              <w:pStyle w:val="26"/>
              <w:keepNext/>
              <w:jc w:val="left"/>
            </w:pPr>
            <w:r>
              <w:rPr>
                <w:b/>
                <w:bCs/>
                <w:color w:val="FFFFFF"/>
                <w:sz w:val="20"/>
                <w:szCs w:val="20"/>
              </w:rPr>
              <w:t>Issue / Hypothesis</w:t>
            </w:r>
          </w:p>
        </w:tc>
        <w:tc>
          <w:tcPr>
            <w:shd w:val="clear" w:color="auto" w:fill="1F3864"/>
          </w:tcPr>
          <w:p w14:paraId="0F0A57B0">
            <w:pPr>
              <w:pStyle w:val="26"/>
              <w:keepNext/>
              <w:jc w:val="left"/>
            </w:pPr>
            <w:r>
              <w:rPr>
                <w:b/>
                <w:bCs/>
                <w:color w:val="FFFFFF"/>
                <w:sz w:val="20"/>
                <w:szCs w:val="20"/>
              </w:rPr>
              <w:t>Analyses</w:t>
            </w:r>
          </w:p>
        </w:tc>
        <w:tc>
          <w:tcPr>
            <w:shd w:val="clear" w:color="auto" w:fill="1F3864"/>
          </w:tcPr>
          <w:p w14:paraId="6F300BF0">
            <w:pPr>
              <w:pStyle w:val="26"/>
              <w:keepNext/>
              <w:jc w:val="left"/>
            </w:pPr>
            <w:r>
              <w:rPr>
                <w:b/>
                <w:bCs/>
                <w:color w:val="FFFFFF"/>
                <w:sz w:val="20"/>
                <w:szCs w:val="20"/>
              </w:rPr>
              <w:t>Data sources</w:t>
            </w:r>
          </w:p>
        </w:tc>
        <w:tc>
          <w:tcPr>
            <w:shd w:val="clear" w:color="auto" w:fill="1F3864"/>
          </w:tcPr>
          <w:p w14:paraId="54CB9A40">
            <w:pPr>
              <w:pStyle w:val="26"/>
              <w:keepNext/>
              <w:jc w:val="left"/>
            </w:pPr>
            <w:r>
              <w:rPr>
                <w:b/>
                <w:bCs/>
                <w:color w:val="FFFFFF"/>
                <w:sz w:val="20"/>
                <w:szCs w:val="20"/>
              </w:rPr>
              <w:t>End product</w:t>
            </w:r>
          </w:p>
        </w:tc>
        <w:tc>
          <w:tcPr>
            <w:shd w:val="clear" w:color="auto" w:fill="1F3864"/>
          </w:tcPr>
          <w:p w14:paraId="6495403B">
            <w:pPr>
              <w:pStyle w:val="26"/>
              <w:keepNext/>
              <w:jc w:val="left"/>
            </w:pPr>
            <w:r>
              <w:rPr>
                <w:b/>
                <w:bCs/>
                <w:color w:val="FFFFFF"/>
                <w:sz w:val="20"/>
                <w:szCs w:val="20"/>
              </w:rPr>
              <w:t>Responsibility</w:t>
            </w:r>
          </w:p>
        </w:tc>
        <w:tc>
          <w:tcPr>
            <w:shd w:val="clear" w:color="auto" w:fill="1F3864"/>
          </w:tcPr>
          <w:p w14:paraId="4431319F">
            <w:pPr>
              <w:pStyle w:val="26"/>
              <w:keepNext/>
              <w:jc w:val="left"/>
            </w:pPr>
            <w:r>
              <w:rPr>
                <w:b/>
                <w:bCs/>
                <w:color w:val="FFFFFF"/>
                <w:sz w:val="20"/>
                <w:szCs w:val="20"/>
              </w:rPr>
              <w:t>Due date</w:t>
            </w:r>
          </w:p>
        </w:tc>
      </w:tr>
      <w:tr w14:paraId="2F70403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1A02EA9D">
            <w:pPr>
              <w:pStyle w:val="26"/>
              <w:keepNext/>
              <w:jc w:val="left"/>
            </w:pPr>
            <w:r>
              <w:rPr>
                <w:b/>
                <w:bCs/>
                <w:sz w:val="20"/>
                <w:szCs w:val="20"/>
              </w:rPr>
              <w:t>H1 (KEY)</w:t>
            </w:r>
            <w:r>
              <w:rPr>
                <w:sz w:val="20"/>
                <w:szCs w:val="20"/>
              </w:rPr>
              <w:t xml:space="preserve"> More than half of critical-role exits completed without a handover the receiving team accepted. </w:t>
            </w:r>
            <w:r>
              <w:rPr>
                <w:b/>
                <w:bCs/>
                <w:sz w:val="20"/>
                <w:szCs w:val="20"/>
              </w:rPr>
              <w:t>Believed: Yes</w:t>
            </w:r>
          </w:p>
        </w:tc>
        <w:tc>
          <w:p w14:paraId="4FC09152">
            <w:pPr>
              <w:pStyle w:val="26"/>
              <w:keepNext/>
              <w:jc w:val="left"/>
            </w:pPr>
            <w:r>
              <w:rPr>
                <w:sz w:val="20"/>
                <w:szCs w:val="20"/>
              </w:rPr>
              <w:t>1. Retrieve offboarding records for FY24–FY26 exits and classify by whether a handover artefact exists.</w:t>
            </w:r>
          </w:p>
        </w:tc>
        <w:tc>
          <w:p w14:paraId="1C61F338">
            <w:pPr>
              <w:pStyle w:val="26"/>
              <w:keepNext/>
              <w:jc w:val="left"/>
            </w:pPr>
            <w:r>
              <w:rPr>
                <w:sz w:val="20"/>
                <w:szCs w:val="20"/>
              </w:rPr>
              <w:t>HRIS exit records; SharePoint and Teams handover folders; offboarding checklists (People function).</w:t>
            </w:r>
          </w:p>
        </w:tc>
        <w:tc>
          <w:p w14:paraId="77265E3D">
            <w:pPr>
              <w:pStyle w:val="26"/>
              <w:keepNext/>
              <w:jc w:val="left"/>
            </w:pPr>
            <w:r>
              <w:rPr>
                <w:sz w:val="20"/>
                <w:szCs w:val="20"/>
              </w:rPr>
              <w:t>Completion table: exits by unit, by artefact status.</w:t>
            </w:r>
          </w:p>
        </w:tc>
        <w:tc>
          <w:p w14:paraId="28A5800C">
            <w:pPr>
              <w:pStyle w:val="26"/>
              <w:keepNext/>
              <w:jc w:val="left"/>
            </w:pPr>
            <w:r>
              <w:rPr>
                <w:sz w:val="20"/>
                <w:szCs w:val="20"/>
              </w:rPr>
              <w:t>Consultant</w:t>
            </w:r>
          </w:p>
        </w:tc>
        <w:tc>
          <w:p w14:paraId="5207428A">
            <w:pPr>
              <w:pStyle w:val="26"/>
              <w:keepNext/>
              <w:jc w:val="left"/>
            </w:pPr>
            <w:r>
              <w:rPr>
                <w:sz w:val="20"/>
                <w:szCs w:val="20"/>
              </w:rPr>
              <w:t>4 Sep</w:t>
            </w:r>
          </w:p>
        </w:tc>
      </w:tr>
      <w:tr w14:paraId="3D0FABB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7BE3DDDA">
            <w:pPr>
              <w:pStyle w:val="26"/>
            </w:pPr>
          </w:p>
        </w:tc>
        <w:tc>
          <w:tcPr>
            <w:shd w:val="clear" w:color="auto" w:fill="F2F5F9"/>
          </w:tcPr>
          <w:p w14:paraId="24BA64AD">
            <w:pPr>
              <w:pStyle w:val="26"/>
              <w:jc w:val="left"/>
            </w:pPr>
            <w:r>
              <w:rPr>
                <w:sz w:val="20"/>
                <w:szCs w:val="20"/>
              </w:rPr>
              <w:t>2. Apply a criticality screen to identify knowledge-critical exits.</w:t>
            </w:r>
          </w:p>
        </w:tc>
        <w:tc>
          <w:tcPr>
            <w:shd w:val="clear" w:color="auto" w:fill="F2F5F9"/>
          </w:tcPr>
          <w:p w14:paraId="3E59F539">
            <w:pPr>
              <w:pStyle w:val="26"/>
              <w:jc w:val="left"/>
            </w:pPr>
            <w:r>
              <w:rPr>
                <w:sz w:val="20"/>
                <w:szCs w:val="20"/>
              </w:rPr>
              <w:t>Role descriptions; system-ownership register; on-call and escalation rosters.</w:t>
            </w:r>
          </w:p>
        </w:tc>
        <w:tc>
          <w:tcPr>
            <w:shd w:val="clear" w:color="auto" w:fill="F2F5F9"/>
          </w:tcPr>
          <w:p w14:paraId="13ED4C75">
            <w:pPr>
              <w:pStyle w:val="26"/>
              <w:jc w:val="left"/>
            </w:pPr>
            <w:r>
              <w:rPr>
                <w:sz w:val="20"/>
                <w:szCs w:val="20"/>
              </w:rPr>
              <w:t>Criticality-classified exit list.</w:t>
            </w:r>
          </w:p>
        </w:tc>
        <w:tc>
          <w:tcPr>
            <w:shd w:val="clear" w:color="auto" w:fill="F2F5F9"/>
          </w:tcPr>
          <w:p w14:paraId="296E1D32">
            <w:pPr>
              <w:pStyle w:val="26"/>
              <w:jc w:val="left"/>
            </w:pPr>
            <w:r>
              <w:rPr>
                <w:sz w:val="20"/>
                <w:szCs w:val="20"/>
              </w:rPr>
              <w:t>Consultant with People function</w:t>
            </w:r>
          </w:p>
        </w:tc>
        <w:tc>
          <w:tcPr>
            <w:shd w:val="clear" w:color="auto" w:fill="F2F5F9"/>
          </w:tcPr>
          <w:p w14:paraId="2F1149D5">
            <w:pPr>
              <w:pStyle w:val="26"/>
              <w:jc w:val="left"/>
            </w:pPr>
            <w:r>
              <w:rPr>
                <w:sz w:val="20"/>
                <w:szCs w:val="20"/>
              </w:rPr>
              <w:t>8 Sep</w:t>
            </w:r>
          </w:p>
        </w:tc>
      </w:tr>
      <w:tr w14:paraId="3088E23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0DB7EB84">
            <w:pPr>
              <w:pStyle w:val="26"/>
            </w:pPr>
          </w:p>
        </w:tc>
        <w:tc>
          <w:p w14:paraId="7CA7F94F">
            <w:pPr>
              <w:pStyle w:val="26"/>
              <w:jc w:val="left"/>
            </w:pPr>
            <w:r>
              <w:rPr>
                <w:sz w:val="20"/>
                <w:szCs w:val="20"/>
              </w:rPr>
              <w:t>3. Semi-structured interviews with line managers who released critical roles, and with receiving-team leads.</w:t>
            </w:r>
          </w:p>
        </w:tc>
        <w:tc>
          <w:p w14:paraId="0AD115A7">
            <w:pPr>
              <w:pStyle w:val="26"/>
              <w:jc w:val="left"/>
            </w:pPr>
            <w:r>
              <w:rPr>
                <w:sz w:val="20"/>
                <w:szCs w:val="20"/>
              </w:rPr>
              <w:t>6–8 interviews across Connectivity and Digital Services.</w:t>
            </w:r>
          </w:p>
        </w:tc>
        <w:tc>
          <w:p w14:paraId="1A560A7F">
            <w:pPr>
              <w:pStyle w:val="26"/>
              <w:jc w:val="left"/>
            </w:pPr>
            <w:r>
              <w:rPr>
                <w:sz w:val="20"/>
                <w:szCs w:val="20"/>
              </w:rPr>
              <w:t>Coded interview findings; verbatim evidence log.</w:t>
            </w:r>
          </w:p>
        </w:tc>
        <w:tc>
          <w:p w14:paraId="759D52A8">
            <w:pPr>
              <w:pStyle w:val="26"/>
              <w:jc w:val="left"/>
            </w:pPr>
            <w:r>
              <w:rPr>
                <w:sz w:val="20"/>
                <w:szCs w:val="20"/>
              </w:rPr>
              <w:t>Consultant</w:t>
            </w:r>
          </w:p>
        </w:tc>
        <w:tc>
          <w:p w14:paraId="16016CC7">
            <w:pPr>
              <w:pStyle w:val="26"/>
              <w:jc w:val="left"/>
            </w:pPr>
            <w:r>
              <w:rPr>
                <w:sz w:val="20"/>
                <w:szCs w:val="20"/>
              </w:rPr>
              <w:t>11 Sep</w:t>
            </w:r>
          </w:p>
        </w:tc>
      </w:tr>
      <w:tr w14:paraId="5B0BB89C">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6679C910">
            <w:pPr>
              <w:pStyle w:val="26"/>
            </w:pPr>
          </w:p>
        </w:tc>
        <w:tc>
          <w:tcPr>
            <w:shd w:val="clear" w:color="auto" w:fill="F2F5F9"/>
          </w:tcPr>
          <w:p w14:paraId="24CEB74E">
            <w:pPr>
              <w:pStyle w:val="26"/>
              <w:jc w:val="left"/>
            </w:pPr>
            <w:r>
              <w:rPr>
                <w:sz w:val="20"/>
                <w:szCs w:val="20"/>
              </w:rPr>
              <w:t>4. Verification test: for a sample of 64 exits where an artefact exists, confirm whether the receiving team accepted it.</w:t>
            </w:r>
          </w:p>
        </w:tc>
        <w:tc>
          <w:tcPr>
            <w:shd w:val="clear" w:color="auto" w:fill="F2F5F9"/>
          </w:tcPr>
          <w:p w14:paraId="4E12423D">
            <w:pPr>
              <w:pStyle w:val="26"/>
              <w:jc w:val="left"/>
            </w:pPr>
            <w:r>
              <w:rPr>
                <w:sz w:val="20"/>
                <w:szCs w:val="20"/>
              </w:rPr>
              <w:t>Sampled artefacts; receiver confirmation.</w:t>
            </w:r>
          </w:p>
        </w:tc>
        <w:tc>
          <w:tcPr>
            <w:shd w:val="clear" w:color="auto" w:fill="F2F5F9"/>
          </w:tcPr>
          <w:p w14:paraId="05FDA07C">
            <w:pPr>
              <w:pStyle w:val="26"/>
              <w:jc w:val="left"/>
            </w:pPr>
            <w:r>
              <w:rPr>
                <w:sz w:val="20"/>
                <w:szCs w:val="20"/>
              </w:rPr>
              <w:t>Verified versus nominal completion rate.</w:t>
            </w:r>
          </w:p>
        </w:tc>
        <w:tc>
          <w:tcPr>
            <w:shd w:val="clear" w:color="auto" w:fill="F2F5F9"/>
          </w:tcPr>
          <w:p w14:paraId="12E995A1">
            <w:pPr>
              <w:pStyle w:val="26"/>
              <w:jc w:val="left"/>
            </w:pPr>
            <w:r>
              <w:rPr>
                <w:sz w:val="20"/>
                <w:szCs w:val="20"/>
              </w:rPr>
              <w:t>Consultant</w:t>
            </w:r>
          </w:p>
        </w:tc>
        <w:tc>
          <w:tcPr>
            <w:shd w:val="clear" w:color="auto" w:fill="F2F5F9"/>
          </w:tcPr>
          <w:p w14:paraId="3CD86F9A">
            <w:pPr>
              <w:pStyle w:val="26"/>
              <w:jc w:val="left"/>
            </w:pPr>
            <w:r>
              <w:rPr>
                <w:sz w:val="20"/>
                <w:szCs w:val="20"/>
              </w:rPr>
              <w:t>15 Sep</w:t>
            </w:r>
          </w:p>
        </w:tc>
      </w:tr>
      <w:tr w14:paraId="1D695B1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71C52134">
            <w:pPr>
              <w:pStyle w:val="26"/>
              <w:jc w:val="left"/>
            </w:pPr>
            <w:r>
              <w:rPr>
                <w:b/>
                <w:bCs/>
                <w:sz w:val="20"/>
                <w:szCs w:val="20"/>
              </w:rPr>
              <w:t>H2</w:t>
            </w:r>
            <w:r>
              <w:rPr>
                <w:sz w:val="20"/>
                <w:szCs w:val="20"/>
              </w:rPr>
              <w:t xml:space="preserve"> Units with the largest reductions show larger increases in resolution time, escalation and rework. </w:t>
            </w:r>
            <w:r>
              <w:rPr>
                <w:b/>
                <w:bCs/>
                <w:sz w:val="20"/>
                <w:szCs w:val="20"/>
              </w:rPr>
              <w:t>Believed: Probably</w:t>
            </w:r>
          </w:p>
        </w:tc>
        <w:tc>
          <w:p w14:paraId="75827B71">
            <w:pPr>
              <w:pStyle w:val="26"/>
              <w:jc w:val="left"/>
            </w:pPr>
            <w:r>
              <w:rPr>
                <w:sz w:val="20"/>
                <w:szCs w:val="20"/>
              </w:rPr>
              <w:t>5. Correlate headcount reduction by business unit against service performance, FY24–FY26.</w:t>
            </w:r>
          </w:p>
        </w:tc>
        <w:tc>
          <w:p w14:paraId="57D2064F">
            <w:pPr>
              <w:pStyle w:val="26"/>
              <w:jc w:val="left"/>
            </w:pPr>
            <w:r>
              <w:rPr>
                <w:sz w:val="20"/>
                <w:szCs w:val="20"/>
              </w:rPr>
              <w:t>HRIS headcount by unit; ITSM incident data (MTTR, reopen rate, escalation rate).</w:t>
            </w:r>
          </w:p>
        </w:tc>
        <w:tc>
          <w:p w14:paraId="17A81D91">
            <w:pPr>
              <w:pStyle w:val="26"/>
              <w:jc w:val="left"/>
            </w:pPr>
            <w:r>
              <w:rPr>
                <w:sz w:val="20"/>
                <w:szCs w:val="20"/>
              </w:rPr>
              <w:t>Scatter plot with fitted trend; unit ranking table.</w:t>
            </w:r>
          </w:p>
        </w:tc>
        <w:tc>
          <w:p w14:paraId="31B2632E">
            <w:pPr>
              <w:pStyle w:val="26"/>
              <w:jc w:val="left"/>
            </w:pPr>
            <w:r>
              <w:rPr>
                <w:sz w:val="20"/>
                <w:szCs w:val="20"/>
              </w:rPr>
              <w:t>Consultant</w:t>
            </w:r>
          </w:p>
        </w:tc>
        <w:tc>
          <w:p w14:paraId="0339CC0F">
            <w:pPr>
              <w:pStyle w:val="26"/>
              <w:jc w:val="left"/>
            </w:pPr>
            <w:r>
              <w:rPr>
                <w:sz w:val="20"/>
                <w:szCs w:val="20"/>
              </w:rPr>
              <w:t>18 Sep</w:t>
            </w:r>
          </w:p>
        </w:tc>
      </w:tr>
      <w:tr w14:paraId="4DA66A0B">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660937E2">
            <w:pPr>
              <w:pStyle w:val="26"/>
              <w:jc w:val="left"/>
            </w:pPr>
            <w:r>
              <w:rPr>
                <w:b/>
                <w:bCs/>
                <w:sz w:val="20"/>
                <w:szCs w:val="20"/>
              </w:rPr>
              <w:t>H3</w:t>
            </w:r>
            <w:r>
              <w:rPr>
                <w:sz w:val="20"/>
                <w:szCs w:val="20"/>
              </w:rPr>
              <w:t xml:space="preserve"> At least 10% of realised labour savings offset by </w:t>
            </w:r>
            <w:r>
              <w:rPr>
                <w:i/>
                <w:iCs/>
                <w:sz w:val="20"/>
                <w:szCs w:val="20"/>
              </w:rPr>
              <w:t>unplanned</w:t>
            </w:r>
            <w:r>
              <w:rPr>
                <w:sz w:val="20"/>
                <w:szCs w:val="20"/>
              </w:rPr>
              <w:t xml:space="preserve"> capability-recovery spend. </w:t>
            </w:r>
            <w:r>
              <w:rPr>
                <w:b/>
                <w:bCs/>
                <w:sz w:val="20"/>
                <w:szCs w:val="20"/>
              </w:rPr>
              <w:t>Believed: Uncertain</w:t>
            </w:r>
          </w:p>
        </w:tc>
        <w:tc>
          <w:tcPr>
            <w:shd w:val="clear" w:color="auto" w:fill="F2F5F9"/>
          </w:tcPr>
          <w:p w14:paraId="6C7DCC2E">
            <w:pPr>
              <w:pStyle w:val="26"/>
              <w:jc w:val="left"/>
            </w:pPr>
            <w:r>
              <w:rPr>
                <w:sz w:val="20"/>
                <w:szCs w:val="20"/>
              </w:rPr>
              <w:t>6. Separate post-exit contractor spend into planned backfill and unplanned recovery, using the programme’s own backfill budget as the dividing line.</w:t>
            </w:r>
          </w:p>
        </w:tc>
        <w:tc>
          <w:tcPr>
            <w:shd w:val="clear" w:color="auto" w:fill="F2F5F9"/>
          </w:tcPr>
          <w:p w14:paraId="2E8AA028">
            <w:pPr>
              <w:pStyle w:val="26"/>
              <w:jc w:val="left"/>
            </w:pPr>
            <w:r>
              <w:rPr>
                <w:sz w:val="20"/>
                <w:szCs w:val="20"/>
              </w:rPr>
              <w:t>Cost-out programme plan and backfill budget; accounts payable ledger; purchase orders.</w:t>
            </w:r>
          </w:p>
        </w:tc>
        <w:tc>
          <w:tcPr>
            <w:shd w:val="clear" w:color="auto" w:fill="F2F5F9"/>
          </w:tcPr>
          <w:p w14:paraId="4141C36A">
            <w:pPr>
              <w:pStyle w:val="26"/>
              <w:jc w:val="left"/>
            </w:pPr>
            <w:r>
              <w:rPr>
                <w:sz w:val="20"/>
                <w:szCs w:val="20"/>
              </w:rPr>
              <w:t>Waterfall chart: gross saving → planned backfill → unplanned recovery → net saving.</w:t>
            </w:r>
          </w:p>
        </w:tc>
        <w:tc>
          <w:tcPr>
            <w:shd w:val="clear" w:color="auto" w:fill="F2F5F9"/>
          </w:tcPr>
          <w:p w14:paraId="655B21BA">
            <w:pPr>
              <w:pStyle w:val="26"/>
              <w:jc w:val="left"/>
            </w:pPr>
            <w:r>
              <w:rPr>
                <w:sz w:val="20"/>
                <w:szCs w:val="20"/>
              </w:rPr>
              <w:t>Consultant with Finance</w:t>
            </w:r>
          </w:p>
        </w:tc>
        <w:tc>
          <w:tcPr>
            <w:shd w:val="clear" w:color="auto" w:fill="F2F5F9"/>
          </w:tcPr>
          <w:p w14:paraId="7105A381">
            <w:pPr>
              <w:pStyle w:val="26"/>
              <w:jc w:val="left"/>
            </w:pPr>
            <w:r>
              <w:rPr>
                <w:sz w:val="20"/>
                <w:szCs w:val="20"/>
              </w:rPr>
              <w:t>22 Sep</w:t>
            </w:r>
          </w:p>
        </w:tc>
      </w:tr>
      <w:tr w14:paraId="735191A1">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AE2E298">
            <w:pPr>
              <w:pStyle w:val="26"/>
            </w:pPr>
          </w:p>
        </w:tc>
        <w:tc>
          <w:p w14:paraId="350F3C30">
            <w:pPr>
              <w:pStyle w:val="26"/>
              <w:jc w:val="left"/>
            </w:pPr>
            <w:r>
              <w:rPr>
                <w:sz w:val="20"/>
                <w:szCs w:val="20"/>
              </w:rPr>
              <w:t>7. Timing-and-causality test: match contractor engagement start dates against exit dates within the same function, and check scope overlap with the departed role. Where the coding will not separate the two, sample line managers on why each contractor was engaged.</w:t>
            </w:r>
          </w:p>
        </w:tc>
        <w:tc>
          <w:p w14:paraId="291003C2">
            <w:pPr>
              <w:pStyle w:val="26"/>
              <w:jc w:val="left"/>
            </w:pPr>
            <w:r>
              <w:rPr>
                <w:sz w:val="20"/>
                <w:szCs w:val="20"/>
              </w:rPr>
              <w:t>HRIS exit records; contractor and vendor master; statements of work; 10–15 manager interviews.</w:t>
            </w:r>
          </w:p>
        </w:tc>
        <w:tc>
          <w:p w14:paraId="6CBE87BB">
            <w:pPr>
              <w:pStyle w:val="26"/>
              <w:jc w:val="left"/>
            </w:pPr>
            <w:r>
              <w:rPr>
                <w:sz w:val="20"/>
                <w:szCs w:val="20"/>
              </w:rPr>
              <w:t>Attribution table: engagements mapped to a specific exit, planned backfill, or independent project work.</w:t>
            </w:r>
          </w:p>
        </w:tc>
        <w:tc>
          <w:p w14:paraId="0A3AEF3F">
            <w:pPr>
              <w:pStyle w:val="26"/>
              <w:jc w:val="left"/>
            </w:pPr>
            <w:r>
              <w:rPr>
                <w:sz w:val="20"/>
                <w:szCs w:val="20"/>
              </w:rPr>
              <w:t>Consultant with Finance</w:t>
            </w:r>
          </w:p>
        </w:tc>
        <w:tc>
          <w:p w14:paraId="4F9C4C9A">
            <w:pPr>
              <w:pStyle w:val="26"/>
              <w:jc w:val="left"/>
            </w:pPr>
            <w:r>
              <w:rPr>
                <w:sz w:val="20"/>
                <w:szCs w:val="20"/>
              </w:rPr>
              <w:t>22 Sep</w:t>
            </w:r>
          </w:p>
        </w:tc>
      </w:tr>
      <w:tr w14:paraId="25336EFB">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193595B7">
            <w:pPr>
              <w:pStyle w:val="26"/>
              <w:jc w:val="left"/>
            </w:pPr>
            <w:r>
              <w:rPr>
                <w:b/>
                <w:bCs/>
                <w:sz w:val="20"/>
                <w:szCs w:val="20"/>
              </w:rPr>
              <w:t>H4 (ROOT CAUSE)</w:t>
            </w:r>
            <w:r>
              <w:rPr>
                <w:sz w:val="20"/>
                <w:szCs w:val="20"/>
              </w:rPr>
              <w:t xml:space="preserve"> No KPI tracks transfer completion; no manager objective refers to capability retention. </w:t>
            </w:r>
            <w:r>
              <w:rPr>
                <w:b/>
                <w:bCs/>
                <w:sz w:val="20"/>
                <w:szCs w:val="20"/>
              </w:rPr>
              <w:t>Believed: Yes</w:t>
            </w:r>
          </w:p>
        </w:tc>
        <w:tc>
          <w:tcPr>
            <w:shd w:val="clear" w:color="auto" w:fill="F2F5F9"/>
          </w:tcPr>
          <w:p w14:paraId="5AAF0918">
            <w:pPr>
              <w:pStyle w:val="26"/>
              <w:jc w:val="left"/>
            </w:pPr>
            <w:r>
              <w:rPr>
                <w:sz w:val="20"/>
                <w:szCs w:val="20"/>
              </w:rPr>
              <w:t>8. Review the group KPI framework and a sample of 15 line-manager objective sets.</w:t>
            </w:r>
          </w:p>
        </w:tc>
        <w:tc>
          <w:tcPr>
            <w:shd w:val="clear" w:color="auto" w:fill="F2F5F9"/>
          </w:tcPr>
          <w:p w14:paraId="6997788F">
            <w:pPr>
              <w:pStyle w:val="26"/>
              <w:jc w:val="left"/>
            </w:pPr>
            <w:r>
              <w:rPr>
                <w:sz w:val="20"/>
                <w:szCs w:val="20"/>
              </w:rPr>
              <w:t>Performance framework; balanced scorecard; sampled objectives (People function).</w:t>
            </w:r>
          </w:p>
        </w:tc>
        <w:tc>
          <w:tcPr>
            <w:shd w:val="clear" w:color="auto" w:fill="F2F5F9"/>
          </w:tcPr>
          <w:p w14:paraId="19904E5B">
            <w:pPr>
              <w:pStyle w:val="26"/>
              <w:jc w:val="left"/>
            </w:pPr>
            <w:r>
              <w:rPr>
                <w:sz w:val="20"/>
                <w:szCs w:val="20"/>
              </w:rPr>
              <w:t>Gap statement: measures that exist against measures required.</w:t>
            </w:r>
          </w:p>
        </w:tc>
        <w:tc>
          <w:tcPr>
            <w:shd w:val="clear" w:color="auto" w:fill="F2F5F9"/>
          </w:tcPr>
          <w:p w14:paraId="1127E88D">
            <w:pPr>
              <w:pStyle w:val="26"/>
              <w:jc w:val="left"/>
            </w:pPr>
            <w:r>
              <w:rPr>
                <w:sz w:val="20"/>
                <w:szCs w:val="20"/>
              </w:rPr>
              <w:t>Consultant</w:t>
            </w:r>
          </w:p>
        </w:tc>
        <w:tc>
          <w:tcPr>
            <w:shd w:val="clear" w:color="auto" w:fill="F2F5F9"/>
          </w:tcPr>
          <w:p w14:paraId="2B831CDD">
            <w:pPr>
              <w:pStyle w:val="26"/>
              <w:jc w:val="left"/>
            </w:pPr>
            <w:r>
              <w:rPr>
                <w:sz w:val="20"/>
                <w:szCs w:val="20"/>
              </w:rPr>
              <w:t>12 Sep</w:t>
            </w:r>
          </w:p>
        </w:tc>
      </w:tr>
      <w:tr w14:paraId="60C5F282">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335EE6C9">
            <w:pPr>
              <w:pStyle w:val="26"/>
              <w:jc w:val="left"/>
            </w:pPr>
            <w:r>
              <w:rPr>
                <w:b/>
                <w:bCs/>
                <w:sz w:val="20"/>
                <w:szCs w:val="20"/>
              </w:rPr>
              <w:t>Solution design</w:t>
            </w:r>
          </w:p>
        </w:tc>
        <w:tc>
          <w:p w14:paraId="7F476719">
            <w:pPr>
              <w:pStyle w:val="26"/>
              <w:jc w:val="left"/>
            </w:pPr>
            <w:r>
              <w:rPr>
                <w:sz w:val="20"/>
                <w:szCs w:val="20"/>
              </w:rPr>
              <w:t>9. Benchmark handover governance against comparable practice.</w:t>
            </w:r>
          </w:p>
        </w:tc>
        <w:tc>
          <w:p w14:paraId="380D36D4">
            <w:pPr>
              <w:pStyle w:val="26"/>
              <w:jc w:val="left"/>
            </w:pPr>
            <w:r>
              <w:rPr>
                <w:sz w:val="20"/>
                <w:szCs w:val="20"/>
              </w:rPr>
              <w:t>Published BPM and knowledge-management literature; telco and utility case material.</w:t>
            </w:r>
          </w:p>
        </w:tc>
        <w:tc>
          <w:p w14:paraId="6F7364EB">
            <w:pPr>
              <w:pStyle w:val="26"/>
              <w:jc w:val="left"/>
            </w:pPr>
            <w:r>
              <w:rPr>
                <w:sz w:val="20"/>
                <w:szCs w:val="20"/>
              </w:rPr>
              <w:t>Practice comparison table feeding the solution tree.</w:t>
            </w:r>
          </w:p>
        </w:tc>
        <w:tc>
          <w:p w14:paraId="67D8297D">
            <w:pPr>
              <w:pStyle w:val="26"/>
              <w:jc w:val="left"/>
            </w:pPr>
            <w:r>
              <w:rPr>
                <w:sz w:val="20"/>
                <w:szCs w:val="20"/>
              </w:rPr>
              <w:t>Consultant</w:t>
            </w:r>
          </w:p>
        </w:tc>
        <w:tc>
          <w:p w14:paraId="25660E78">
            <w:pPr>
              <w:pStyle w:val="26"/>
              <w:jc w:val="left"/>
            </w:pPr>
            <w:r>
              <w:rPr>
                <w:sz w:val="20"/>
                <w:szCs w:val="20"/>
              </w:rPr>
              <w:t>25 Sep</w:t>
            </w:r>
          </w:p>
        </w:tc>
      </w:tr>
      <w:tr w14:paraId="13FBF6FC">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65645C5A">
            <w:pPr>
              <w:pStyle w:val="26"/>
            </w:pPr>
          </w:p>
        </w:tc>
        <w:tc>
          <w:tcPr>
            <w:shd w:val="clear" w:color="auto" w:fill="F2F5F9"/>
          </w:tcPr>
          <w:p w14:paraId="57602547">
            <w:pPr>
              <w:pStyle w:val="26"/>
              <w:jc w:val="left"/>
            </w:pPr>
            <w:r>
              <w:rPr>
                <w:sz w:val="20"/>
                <w:szCs w:val="20"/>
              </w:rPr>
              <w:t>10. Model the TO-BE process and quantify the benefit case.</w:t>
            </w:r>
          </w:p>
        </w:tc>
        <w:tc>
          <w:tcPr>
            <w:shd w:val="clear" w:color="auto" w:fill="F2F5F9"/>
          </w:tcPr>
          <w:p w14:paraId="35DD4A31">
            <w:pPr>
              <w:pStyle w:val="26"/>
              <w:jc w:val="left"/>
            </w:pPr>
            <w:r>
              <w:rPr>
                <w:sz w:val="20"/>
                <w:szCs w:val="20"/>
              </w:rPr>
              <w:t>Outputs of analyses 1–9.</w:t>
            </w:r>
          </w:p>
        </w:tc>
        <w:tc>
          <w:tcPr>
            <w:shd w:val="clear" w:color="auto" w:fill="F2F5F9"/>
          </w:tcPr>
          <w:p w14:paraId="678D1921">
            <w:pPr>
              <w:pStyle w:val="26"/>
              <w:jc w:val="left"/>
            </w:pPr>
            <w:r>
              <w:rPr>
                <w:sz w:val="20"/>
                <w:szCs w:val="20"/>
              </w:rPr>
              <w:t>Signavio BPMN 2.0 model; benefit model; implementation roadmap.</w:t>
            </w:r>
          </w:p>
        </w:tc>
        <w:tc>
          <w:tcPr>
            <w:shd w:val="clear" w:color="auto" w:fill="F2F5F9"/>
          </w:tcPr>
          <w:p w14:paraId="436A9FBB">
            <w:pPr>
              <w:pStyle w:val="26"/>
              <w:jc w:val="left"/>
            </w:pPr>
            <w:r>
              <w:rPr>
                <w:sz w:val="20"/>
                <w:szCs w:val="20"/>
              </w:rPr>
              <w:t>Consultant</w:t>
            </w:r>
          </w:p>
        </w:tc>
        <w:tc>
          <w:tcPr>
            <w:shd w:val="clear" w:color="auto" w:fill="F2F5F9"/>
          </w:tcPr>
          <w:p w14:paraId="2805FC66">
            <w:pPr>
              <w:pStyle w:val="26"/>
              <w:jc w:val="left"/>
            </w:pPr>
            <w:r>
              <w:rPr>
                <w:sz w:val="20"/>
                <w:szCs w:val="20"/>
              </w:rPr>
              <w:t>29 Sep</w:t>
            </w:r>
          </w:p>
        </w:tc>
      </w:tr>
    </w:tbl>
    <w:p w14:paraId="0255B146">
      <w:pPr>
        <w:pStyle w:val="3"/>
      </w:pPr>
      <w:r>
        <w:t>The end product of the engagement is a single recommendation, supported by a quantified benefit case and a TO-BE process model, that Spark can implement inside its existing offboarding workflow before the Digital Services review concludes in H1 FY27.</w:t>
      </w:r>
    </w:p>
    <w:p w14:paraId="273862DD">
      <w:pPr>
        <w:pStyle w:val="3"/>
      </w:pPr>
      <w:r>
        <w:t>Three lines of work have been left out on purpose: employee engagement surveying, exit-interview sentiment analysis, and a full knowledge-management maturity assessment. Each would produce interesting material, but none would change the recommendation, and each would push the engagement past the H1 FY27 decision point. Identifying what not to do is part of getting the analytical priorities straight.</w:t>
      </w:r>
    </w:p>
    <w:bookmarkEnd w:id="21"/>
    <w:p w14:paraId="4930B496">
      <w:pPr>
        <w:pStyle w:val="2"/>
      </w:pPr>
      <w:bookmarkStart w:id="22" w:name="_Toc1190"/>
      <w:bookmarkStart w:id="23" w:name="X902f8dc1cf04ddceffce7319daa18805ccbb032"/>
      <w:r>
        <w:rPr>
          <w:color w:val="1F3864"/>
        </w:rPr>
        <w:t>4. Data Gathering and Analysis Plan for the Key Hypothesis</w:t>
      </w:r>
      <w:bookmarkEnd w:id="22"/>
    </w:p>
    <w:p w14:paraId="557008B1">
      <w:pPr>
        <w:pStyle w:val="4"/>
      </w:pPr>
      <w:bookmarkStart w:id="24" w:name="_Toc12390"/>
      <w:bookmarkStart w:id="25" w:name="the-key-hypothesis"/>
      <w:r>
        <w:rPr>
          <w:color w:val="1F3864"/>
        </w:rPr>
        <w:t>4.1 The key hypothesis</w:t>
      </w:r>
      <w:bookmarkEnd w:id="24"/>
    </w:p>
    <w:p w14:paraId="5C978E70">
      <w:pPr>
        <w:pStyle w:val="25"/>
      </w:pPr>
      <w:r>
        <w:rPr>
          <w:b/>
          <w:bCs/>
        </w:rPr>
        <w:t>H1: More than half of the exits from knowledge-critical roles during the FY24–FY26 cost-out completed without a documented handover that the receiving team checked and accepted before system access was revoked.</w:t>
      </w:r>
    </w:p>
    <w:p w14:paraId="594F9A17">
      <w:pPr>
        <w:pStyle w:val="3"/>
      </w:pPr>
      <w:r>
        <w:t>H1 was chosen over H2, H3 and H4 for three reasons. It is decisive, in that if it fails the process-design premise of the whole engagement fails with it. It can be falsified from records rather than from opinion. And it sits upstream of the others, since H2 measures the consequence of H1 and H3 measures its cost, so proving either without H1 would leave the mechanism unidentified.</w:t>
      </w:r>
    </w:p>
    <w:bookmarkEnd w:id="25"/>
    <w:p w14:paraId="44DC1198">
      <w:pPr>
        <w:pStyle w:val="4"/>
      </w:pPr>
      <w:bookmarkStart w:id="26" w:name="_Toc22955"/>
      <w:bookmarkStart w:id="27" w:name="data-to-be-collected"/>
      <w:r>
        <w:rPr>
          <w:color w:val="1F3864"/>
        </w:rPr>
        <w:t>4.2 Data to be collected</w:t>
      </w:r>
      <w:bookmarkEnd w:id="26"/>
    </w:p>
    <w:p w14:paraId="5015D3D8">
      <w:pPr>
        <w:pStyle w:val="25"/>
        <w:keepNext/>
        <w:spacing w:before="80" w:after="80" w:line="240" w:lineRule="auto"/>
        <w:jc w:val="left"/>
      </w:pPr>
      <w:r>
        <w:rPr>
          <w:b/>
          <w:bCs/>
          <w:sz w:val="22"/>
          <w:szCs w:val="22"/>
        </w:rPr>
        <w:t>Table 9.</w:t>
      </w:r>
      <w:r>
        <w:rPr>
          <w:i/>
          <w:iCs/>
          <w:sz w:val="22"/>
          <w:szCs w:val="22"/>
        </w:rPr>
        <w:t xml:space="preserve"> Data requirements for H1</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389"/>
        <w:gridCol w:w="3588"/>
        <w:gridCol w:w="3038"/>
        <w:gridCol w:w="1769"/>
      </w:tblGrid>
      <w:tr w14:paraId="448E64D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25A9954D">
            <w:pPr>
              <w:pStyle w:val="26"/>
              <w:keepNext/>
              <w:jc w:val="left"/>
            </w:pPr>
            <w:r>
              <w:rPr>
                <w:b/>
                <w:bCs/>
                <w:color w:val="FFFFFF"/>
                <w:sz w:val="20"/>
                <w:szCs w:val="20"/>
              </w:rPr>
              <w:t>#</w:t>
            </w:r>
          </w:p>
        </w:tc>
        <w:tc>
          <w:tcPr>
            <w:shd w:val="clear" w:color="auto" w:fill="1F3864"/>
          </w:tcPr>
          <w:p w14:paraId="273E5F6A">
            <w:pPr>
              <w:pStyle w:val="26"/>
              <w:keepNext/>
              <w:jc w:val="left"/>
            </w:pPr>
            <w:r>
              <w:rPr>
                <w:b/>
                <w:bCs/>
                <w:color w:val="FFFFFF"/>
                <w:sz w:val="20"/>
                <w:szCs w:val="20"/>
              </w:rPr>
              <w:t>Data item</w:t>
            </w:r>
          </w:p>
        </w:tc>
        <w:tc>
          <w:tcPr>
            <w:shd w:val="clear" w:color="auto" w:fill="1F3864"/>
          </w:tcPr>
          <w:p w14:paraId="29E29651">
            <w:pPr>
              <w:pStyle w:val="26"/>
              <w:keepNext/>
              <w:jc w:val="left"/>
            </w:pPr>
            <w:r>
              <w:rPr>
                <w:b/>
                <w:bCs/>
                <w:color w:val="FFFFFF"/>
                <w:sz w:val="20"/>
                <w:szCs w:val="20"/>
              </w:rPr>
              <w:t>Why it is needed</w:t>
            </w:r>
          </w:p>
        </w:tc>
        <w:tc>
          <w:tcPr>
            <w:shd w:val="clear" w:color="auto" w:fill="1F3864"/>
          </w:tcPr>
          <w:p w14:paraId="52B407B7">
            <w:pPr>
              <w:pStyle w:val="26"/>
              <w:keepNext/>
              <w:jc w:val="left"/>
            </w:pPr>
            <w:r>
              <w:rPr>
                <w:b/>
                <w:bCs/>
                <w:color w:val="FFFFFF"/>
                <w:sz w:val="20"/>
                <w:szCs w:val="20"/>
              </w:rPr>
              <w:t>Form</w:t>
            </w:r>
          </w:p>
        </w:tc>
      </w:tr>
      <w:tr w14:paraId="721CFFD1">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7D5F33DD">
            <w:pPr>
              <w:pStyle w:val="26"/>
              <w:keepNext/>
              <w:jc w:val="left"/>
            </w:pPr>
            <w:r>
              <w:rPr>
                <w:sz w:val="20"/>
                <w:szCs w:val="20"/>
              </w:rPr>
              <w:t>D1</w:t>
            </w:r>
          </w:p>
        </w:tc>
        <w:tc>
          <w:p w14:paraId="534E7304">
            <w:pPr>
              <w:pStyle w:val="26"/>
              <w:keepNext/>
              <w:jc w:val="left"/>
            </w:pPr>
            <w:r>
              <w:rPr>
                <w:sz w:val="20"/>
                <w:szCs w:val="20"/>
              </w:rPr>
              <w:t>Exit records FY24–FY26: employee ID, unit, role, exit type, notice date, final day, access revocation date</w:t>
            </w:r>
          </w:p>
        </w:tc>
        <w:tc>
          <w:p w14:paraId="463E77B4">
            <w:pPr>
              <w:pStyle w:val="26"/>
              <w:keepNext/>
              <w:jc w:val="left"/>
            </w:pPr>
            <w:r>
              <w:rPr>
                <w:sz w:val="20"/>
                <w:szCs w:val="20"/>
              </w:rPr>
              <w:t>Defines the population and the timeline against which verification is measured.</w:t>
            </w:r>
          </w:p>
        </w:tc>
        <w:tc>
          <w:p w14:paraId="0342FAD3">
            <w:pPr>
              <w:pStyle w:val="26"/>
              <w:keepNext/>
              <w:jc w:val="left"/>
            </w:pPr>
            <w:r>
              <w:rPr>
                <w:sz w:val="20"/>
                <w:szCs w:val="20"/>
              </w:rPr>
              <w:t>Structured extract</w:t>
            </w:r>
          </w:p>
        </w:tc>
      </w:tr>
      <w:tr w14:paraId="65E74DD4">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6AF8B0AD">
            <w:pPr>
              <w:pStyle w:val="26"/>
              <w:jc w:val="left"/>
            </w:pPr>
            <w:r>
              <w:rPr>
                <w:sz w:val="20"/>
                <w:szCs w:val="20"/>
              </w:rPr>
              <w:t>D2</w:t>
            </w:r>
          </w:p>
        </w:tc>
        <w:tc>
          <w:tcPr>
            <w:shd w:val="clear" w:color="auto" w:fill="F2F5F9"/>
          </w:tcPr>
          <w:p w14:paraId="729F1923">
            <w:pPr>
              <w:pStyle w:val="26"/>
              <w:jc w:val="left"/>
            </w:pPr>
            <w:r>
              <w:rPr>
                <w:sz w:val="20"/>
                <w:szCs w:val="20"/>
              </w:rPr>
              <w:t>Role criticality attributes: system ownership, on-call membership, sole-operator status, tenure</w:t>
            </w:r>
          </w:p>
        </w:tc>
        <w:tc>
          <w:tcPr>
            <w:shd w:val="clear" w:color="auto" w:fill="F2F5F9"/>
          </w:tcPr>
          <w:p w14:paraId="6207713E">
            <w:pPr>
              <w:pStyle w:val="26"/>
              <w:jc w:val="left"/>
            </w:pPr>
            <w:r>
              <w:rPr>
                <w:sz w:val="20"/>
                <w:szCs w:val="20"/>
              </w:rPr>
              <w:t>Identifies which exits are knowledge-critical, which is the denominator of VHCR.</w:t>
            </w:r>
          </w:p>
        </w:tc>
        <w:tc>
          <w:tcPr>
            <w:shd w:val="clear" w:color="auto" w:fill="F2F5F9"/>
          </w:tcPr>
          <w:p w14:paraId="574BEA9F">
            <w:pPr>
              <w:pStyle w:val="26"/>
              <w:jc w:val="left"/>
            </w:pPr>
            <w:r>
              <w:rPr>
                <w:sz w:val="20"/>
                <w:szCs w:val="20"/>
              </w:rPr>
              <w:t>Structured extract</w:t>
            </w:r>
          </w:p>
        </w:tc>
      </w:tr>
      <w:tr w14:paraId="7372A3C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D491612">
            <w:pPr>
              <w:pStyle w:val="26"/>
              <w:jc w:val="left"/>
            </w:pPr>
            <w:r>
              <w:rPr>
                <w:sz w:val="20"/>
                <w:szCs w:val="20"/>
              </w:rPr>
              <w:t>D3</w:t>
            </w:r>
          </w:p>
        </w:tc>
        <w:tc>
          <w:p w14:paraId="7402F4A6">
            <w:pPr>
              <w:pStyle w:val="26"/>
              <w:jc w:val="left"/>
            </w:pPr>
            <w:r>
              <w:rPr>
                <w:sz w:val="20"/>
                <w:szCs w:val="20"/>
              </w:rPr>
              <w:t>Handover artefacts: presence, format, location, date created, author</w:t>
            </w:r>
          </w:p>
        </w:tc>
        <w:tc>
          <w:p w14:paraId="2B5C2482">
            <w:pPr>
              <w:pStyle w:val="26"/>
              <w:jc w:val="left"/>
            </w:pPr>
            <w:r>
              <w:rPr>
                <w:sz w:val="20"/>
                <w:szCs w:val="20"/>
              </w:rPr>
              <w:t>Establishes whether anything was captured at all.</w:t>
            </w:r>
          </w:p>
        </w:tc>
        <w:tc>
          <w:p w14:paraId="05349769">
            <w:pPr>
              <w:pStyle w:val="26"/>
              <w:jc w:val="left"/>
            </w:pPr>
            <w:r>
              <w:rPr>
                <w:sz w:val="20"/>
                <w:szCs w:val="20"/>
              </w:rPr>
              <w:t>Document inventory</w:t>
            </w:r>
          </w:p>
        </w:tc>
      </w:tr>
      <w:tr w14:paraId="139DAAF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5DC53B0B">
            <w:pPr>
              <w:pStyle w:val="26"/>
              <w:jc w:val="left"/>
            </w:pPr>
            <w:r>
              <w:rPr>
                <w:sz w:val="20"/>
                <w:szCs w:val="20"/>
              </w:rPr>
              <w:t>D4</w:t>
            </w:r>
          </w:p>
        </w:tc>
        <w:tc>
          <w:tcPr>
            <w:shd w:val="clear" w:color="auto" w:fill="F2F5F9"/>
          </w:tcPr>
          <w:p w14:paraId="26B39C86">
            <w:pPr>
              <w:pStyle w:val="26"/>
              <w:jc w:val="left"/>
            </w:pPr>
            <w:r>
              <w:rPr>
                <w:sz w:val="20"/>
                <w:szCs w:val="20"/>
              </w:rPr>
              <w:t>Receiver acceptance evidence: sign-off, acknowledgement email, checklist entry</w:t>
            </w:r>
          </w:p>
        </w:tc>
        <w:tc>
          <w:tcPr>
            <w:shd w:val="clear" w:color="auto" w:fill="F2F5F9"/>
          </w:tcPr>
          <w:p w14:paraId="675B3EE3">
            <w:pPr>
              <w:pStyle w:val="26"/>
              <w:jc w:val="left"/>
            </w:pPr>
            <w:r>
              <w:rPr>
                <w:sz w:val="20"/>
                <w:szCs w:val="20"/>
              </w:rPr>
              <w:t>Separates nominal completion from verified completion, which is the core of H1.</w:t>
            </w:r>
          </w:p>
        </w:tc>
        <w:tc>
          <w:tcPr>
            <w:shd w:val="clear" w:color="auto" w:fill="F2F5F9"/>
          </w:tcPr>
          <w:p w14:paraId="30679B89">
            <w:pPr>
              <w:pStyle w:val="26"/>
              <w:jc w:val="left"/>
            </w:pPr>
            <w:r>
              <w:rPr>
                <w:sz w:val="20"/>
                <w:szCs w:val="20"/>
              </w:rPr>
              <w:t>Document inventory plus confirmation</w:t>
            </w:r>
          </w:p>
        </w:tc>
      </w:tr>
      <w:tr w14:paraId="16F6C93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04CD337B">
            <w:pPr>
              <w:pStyle w:val="26"/>
              <w:jc w:val="left"/>
            </w:pPr>
            <w:r>
              <w:rPr>
                <w:sz w:val="20"/>
                <w:szCs w:val="20"/>
              </w:rPr>
              <w:t>D5</w:t>
            </w:r>
          </w:p>
        </w:tc>
        <w:tc>
          <w:p w14:paraId="67586528">
            <w:pPr>
              <w:pStyle w:val="26"/>
              <w:jc w:val="left"/>
            </w:pPr>
            <w:r>
              <w:rPr>
                <w:sz w:val="20"/>
                <w:szCs w:val="20"/>
              </w:rPr>
              <w:t>Line-manager and receiving-lead accounts of how handover was managed in practice</w:t>
            </w:r>
          </w:p>
        </w:tc>
        <w:tc>
          <w:p w14:paraId="11B5B25B">
            <w:pPr>
              <w:pStyle w:val="26"/>
              <w:jc w:val="left"/>
            </w:pPr>
            <w:r>
              <w:rPr>
                <w:sz w:val="20"/>
                <w:szCs w:val="20"/>
              </w:rPr>
              <w:t>Explains the mechanism behind the numbers and surfaces practice the records do not capture.</w:t>
            </w:r>
          </w:p>
        </w:tc>
        <w:tc>
          <w:p w14:paraId="077590FE">
            <w:pPr>
              <w:pStyle w:val="26"/>
              <w:jc w:val="left"/>
            </w:pPr>
            <w:r>
              <w:rPr>
                <w:sz w:val="20"/>
                <w:szCs w:val="20"/>
              </w:rPr>
              <w:t>Interview transcripts</w:t>
            </w:r>
          </w:p>
        </w:tc>
      </w:tr>
      <w:tr w14:paraId="44EB093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55F7EAED">
            <w:pPr>
              <w:pStyle w:val="26"/>
              <w:jc w:val="left"/>
            </w:pPr>
            <w:r>
              <w:rPr>
                <w:sz w:val="20"/>
                <w:szCs w:val="20"/>
              </w:rPr>
              <w:t>D6</w:t>
            </w:r>
          </w:p>
        </w:tc>
        <w:tc>
          <w:tcPr>
            <w:shd w:val="clear" w:color="auto" w:fill="F2F5F9"/>
          </w:tcPr>
          <w:p w14:paraId="4668217F">
            <w:pPr>
              <w:pStyle w:val="26"/>
              <w:jc w:val="left"/>
            </w:pPr>
            <w:r>
              <w:rPr>
                <w:sz w:val="20"/>
                <w:szCs w:val="20"/>
              </w:rPr>
              <w:t>Post-exit incident and escalation records for affected teams, 90 days after each exit</w:t>
            </w:r>
          </w:p>
        </w:tc>
        <w:tc>
          <w:tcPr>
            <w:shd w:val="clear" w:color="auto" w:fill="F2F5F9"/>
          </w:tcPr>
          <w:p w14:paraId="14ED7113">
            <w:pPr>
              <w:pStyle w:val="26"/>
              <w:jc w:val="left"/>
            </w:pPr>
            <w:r>
              <w:rPr>
                <w:sz w:val="20"/>
                <w:szCs w:val="20"/>
              </w:rPr>
              <w:t>Links unverified handover to observable consequence, connecting H1 to H2.</w:t>
            </w:r>
          </w:p>
        </w:tc>
        <w:tc>
          <w:tcPr>
            <w:shd w:val="clear" w:color="auto" w:fill="F2F5F9"/>
          </w:tcPr>
          <w:p w14:paraId="186CA619">
            <w:pPr>
              <w:pStyle w:val="26"/>
              <w:jc w:val="left"/>
            </w:pPr>
            <w:r>
              <w:rPr>
                <w:sz w:val="20"/>
                <w:szCs w:val="20"/>
              </w:rPr>
              <w:t>Structured extract</w:t>
            </w:r>
          </w:p>
        </w:tc>
      </w:tr>
      <w:tr w14:paraId="3000B31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29886D5E">
            <w:pPr>
              <w:pStyle w:val="26"/>
              <w:jc w:val="left"/>
            </w:pPr>
            <w:r>
              <w:rPr>
                <w:sz w:val="20"/>
                <w:szCs w:val="20"/>
              </w:rPr>
              <w:t>D7</w:t>
            </w:r>
          </w:p>
        </w:tc>
        <w:tc>
          <w:p w14:paraId="78FBF142">
            <w:pPr>
              <w:pStyle w:val="26"/>
              <w:jc w:val="left"/>
            </w:pPr>
            <w:r>
              <w:rPr>
                <w:sz w:val="20"/>
                <w:szCs w:val="20"/>
              </w:rPr>
              <w:t>Contractor engagements and re-engagements within 12 months of each exit</w:t>
            </w:r>
          </w:p>
        </w:tc>
        <w:tc>
          <w:p w14:paraId="5612DA38">
            <w:pPr>
              <w:pStyle w:val="26"/>
              <w:jc w:val="left"/>
            </w:pPr>
            <w:r>
              <w:rPr>
                <w:sz w:val="20"/>
                <w:szCs w:val="20"/>
              </w:rPr>
              <w:t>Links unverified handover to cost, connecting H1 to H3.</w:t>
            </w:r>
          </w:p>
        </w:tc>
        <w:tc>
          <w:p w14:paraId="48EEA276">
            <w:pPr>
              <w:pStyle w:val="26"/>
              <w:jc w:val="left"/>
            </w:pPr>
            <w:r>
              <w:rPr>
                <w:sz w:val="20"/>
                <w:szCs w:val="20"/>
              </w:rPr>
              <w:t>Ledger extract</w:t>
            </w:r>
          </w:p>
        </w:tc>
      </w:tr>
      <w:bookmarkEnd w:id="27"/>
    </w:tbl>
    <w:p w14:paraId="30C29A65">
      <w:pPr>
        <w:pStyle w:val="4"/>
      </w:pPr>
      <w:bookmarkStart w:id="28" w:name="_Toc9984"/>
      <w:bookmarkStart w:id="29" w:name="sources-of-the-data"/>
      <w:r>
        <w:rPr>
          <w:color w:val="1F3864"/>
        </w:rPr>
        <w:t>4.3 Sources of the data</w:t>
      </w:r>
      <w:bookmarkEnd w:id="28"/>
    </w:p>
    <w:p w14:paraId="2D80F9B9">
      <w:pPr>
        <w:pStyle w:val="25"/>
        <w:keepNext/>
        <w:spacing w:before="80" w:after="80" w:line="240" w:lineRule="auto"/>
        <w:jc w:val="left"/>
      </w:pPr>
      <w:r>
        <w:rPr>
          <w:b/>
          <w:bCs/>
          <w:sz w:val="22"/>
          <w:szCs w:val="22"/>
        </w:rPr>
        <w:t>Table 10.</w:t>
      </w:r>
      <w:r>
        <w:rPr>
          <w:i/>
          <w:iCs/>
          <w:sz w:val="22"/>
          <w:szCs w:val="22"/>
        </w:rPr>
        <w:t xml:space="preserve"> Data sources and access route</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1436"/>
        <w:gridCol w:w="1505"/>
        <w:gridCol w:w="2244"/>
        <w:gridCol w:w="3599"/>
      </w:tblGrid>
      <w:tr w14:paraId="27C2C2DC">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17D74E52">
            <w:pPr>
              <w:pStyle w:val="26"/>
              <w:keepNext/>
              <w:jc w:val="left"/>
            </w:pPr>
            <w:r>
              <w:rPr>
                <w:b/>
                <w:bCs/>
                <w:color w:val="FFFFFF"/>
                <w:sz w:val="20"/>
                <w:szCs w:val="20"/>
              </w:rPr>
              <w:t>Source</w:t>
            </w:r>
          </w:p>
        </w:tc>
        <w:tc>
          <w:tcPr>
            <w:shd w:val="clear" w:color="auto" w:fill="1F3864"/>
          </w:tcPr>
          <w:p w14:paraId="2D57AFB6">
            <w:pPr>
              <w:pStyle w:val="26"/>
              <w:keepNext/>
              <w:jc w:val="left"/>
            </w:pPr>
            <w:r>
              <w:rPr>
                <w:b/>
                <w:bCs/>
                <w:color w:val="FFFFFF"/>
                <w:sz w:val="20"/>
                <w:szCs w:val="20"/>
              </w:rPr>
              <w:t>Items</w:t>
            </w:r>
          </w:p>
        </w:tc>
        <w:tc>
          <w:tcPr>
            <w:shd w:val="clear" w:color="auto" w:fill="1F3864"/>
          </w:tcPr>
          <w:p w14:paraId="4A4156C0">
            <w:pPr>
              <w:pStyle w:val="26"/>
              <w:keepNext/>
              <w:jc w:val="left"/>
            </w:pPr>
            <w:r>
              <w:rPr>
                <w:b/>
                <w:bCs/>
                <w:color w:val="FFFFFF"/>
                <w:sz w:val="20"/>
                <w:szCs w:val="20"/>
              </w:rPr>
              <w:t>Access route</w:t>
            </w:r>
          </w:p>
        </w:tc>
        <w:tc>
          <w:tcPr>
            <w:shd w:val="clear" w:color="auto" w:fill="1F3864"/>
          </w:tcPr>
          <w:p w14:paraId="469134DD">
            <w:pPr>
              <w:pStyle w:val="26"/>
              <w:keepNext/>
              <w:jc w:val="left"/>
            </w:pPr>
            <w:r>
              <w:rPr>
                <w:b/>
                <w:bCs/>
                <w:color w:val="FFFFFF"/>
                <w:sz w:val="20"/>
                <w:szCs w:val="20"/>
              </w:rPr>
              <w:t>Risk to access</w:t>
            </w:r>
          </w:p>
        </w:tc>
      </w:tr>
      <w:tr w14:paraId="4FEB501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B0DDCB4">
            <w:pPr>
              <w:pStyle w:val="26"/>
              <w:keepNext/>
              <w:jc w:val="left"/>
            </w:pPr>
            <w:r>
              <w:rPr>
                <w:sz w:val="20"/>
                <w:szCs w:val="20"/>
              </w:rPr>
              <w:t>HRIS / People function</w:t>
            </w:r>
          </w:p>
        </w:tc>
        <w:tc>
          <w:p w14:paraId="6D8B5154">
            <w:pPr>
              <w:pStyle w:val="26"/>
              <w:keepNext/>
              <w:jc w:val="left"/>
            </w:pPr>
            <w:r>
              <w:rPr>
                <w:sz w:val="20"/>
                <w:szCs w:val="20"/>
              </w:rPr>
              <w:t>D1, D2, D7 (re-engagements)</w:t>
            </w:r>
          </w:p>
        </w:tc>
        <w:tc>
          <w:p w14:paraId="6344AB1D">
            <w:pPr>
              <w:pStyle w:val="26"/>
              <w:keepNext/>
              <w:jc w:val="left"/>
            </w:pPr>
            <w:r>
              <w:rPr>
                <w:sz w:val="20"/>
                <w:szCs w:val="20"/>
              </w:rPr>
              <w:t>Engagement sponsor; data-sharing agreement; pseudonymised extract</w:t>
            </w:r>
          </w:p>
        </w:tc>
        <w:tc>
          <w:p w14:paraId="22CE07A0">
            <w:pPr>
              <w:pStyle w:val="26"/>
              <w:keepNext/>
              <w:jc w:val="left"/>
            </w:pPr>
            <w:r>
              <w:rPr>
                <w:sz w:val="20"/>
                <w:szCs w:val="20"/>
              </w:rPr>
              <w:t>Low. These records exist for payroll and compliance reasons.</w:t>
            </w:r>
          </w:p>
        </w:tc>
      </w:tr>
      <w:tr w14:paraId="094AC6DC">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094EFA86">
            <w:pPr>
              <w:pStyle w:val="26"/>
              <w:jc w:val="left"/>
            </w:pPr>
            <w:r>
              <w:rPr>
                <w:sz w:val="20"/>
                <w:szCs w:val="20"/>
              </w:rPr>
              <w:t>SharePoint, Teams, shared drives</w:t>
            </w:r>
          </w:p>
        </w:tc>
        <w:tc>
          <w:tcPr>
            <w:shd w:val="clear" w:color="auto" w:fill="F2F5F9"/>
          </w:tcPr>
          <w:p w14:paraId="27578AB0">
            <w:pPr>
              <w:pStyle w:val="26"/>
              <w:jc w:val="left"/>
            </w:pPr>
            <w:r>
              <w:rPr>
                <w:sz w:val="20"/>
                <w:szCs w:val="20"/>
              </w:rPr>
              <w:t>D3, D4</w:t>
            </w:r>
          </w:p>
        </w:tc>
        <w:tc>
          <w:tcPr>
            <w:shd w:val="clear" w:color="auto" w:fill="F2F5F9"/>
          </w:tcPr>
          <w:p w14:paraId="3ECCC610">
            <w:pPr>
              <w:pStyle w:val="26"/>
              <w:jc w:val="left"/>
            </w:pPr>
            <w:r>
              <w:rPr>
                <w:sz w:val="20"/>
                <w:szCs w:val="20"/>
              </w:rPr>
              <w:t>Search across team sites for the exit population</w:t>
            </w:r>
          </w:p>
        </w:tc>
        <w:tc>
          <w:tcPr>
            <w:shd w:val="clear" w:color="auto" w:fill="F2F5F9"/>
          </w:tcPr>
          <w:p w14:paraId="1FBEB717">
            <w:pPr>
              <w:pStyle w:val="26"/>
              <w:jc w:val="left"/>
            </w:pPr>
            <w:r>
              <w:rPr>
                <w:b/>
                <w:bCs/>
                <w:sz w:val="20"/>
                <w:szCs w:val="20"/>
              </w:rPr>
              <w:t>High.</w:t>
            </w:r>
            <w:r>
              <w:rPr>
                <w:sz w:val="20"/>
                <w:szCs w:val="20"/>
              </w:rPr>
              <w:t xml:space="preserve"> If handover material sits in personal drives it cannot be recovered, which is itself evidence for H1 and should be recorded as a finding rather than as missing data.</w:t>
            </w:r>
          </w:p>
        </w:tc>
      </w:tr>
      <w:tr w14:paraId="2DE7793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5C1755A7">
            <w:pPr>
              <w:pStyle w:val="26"/>
              <w:jc w:val="left"/>
            </w:pPr>
            <w:r>
              <w:rPr>
                <w:sz w:val="20"/>
                <w:szCs w:val="20"/>
              </w:rPr>
              <w:t>ITSM platform</w:t>
            </w:r>
          </w:p>
        </w:tc>
        <w:tc>
          <w:p w14:paraId="026B52DF">
            <w:pPr>
              <w:pStyle w:val="26"/>
              <w:jc w:val="left"/>
            </w:pPr>
            <w:r>
              <w:rPr>
                <w:sz w:val="20"/>
                <w:szCs w:val="20"/>
              </w:rPr>
              <w:t>D6</w:t>
            </w:r>
          </w:p>
        </w:tc>
        <w:tc>
          <w:p w14:paraId="1E402E5D">
            <w:pPr>
              <w:pStyle w:val="26"/>
              <w:jc w:val="left"/>
            </w:pPr>
            <w:r>
              <w:rPr>
                <w:sz w:val="20"/>
                <w:szCs w:val="20"/>
              </w:rPr>
              <w:t>Standard incident reporting</w:t>
            </w:r>
          </w:p>
        </w:tc>
        <w:tc>
          <w:p w14:paraId="0B5E8E17">
            <w:pPr>
              <w:pStyle w:val="26"/>
              <w:jc w:val="left"/>
            </w:pPr>
            <w:r>
              <w:rPr>
                <w:sz w:val="20"/>
                <w:szCs w:val="20"/>
              </w:rPr>
              <w:t>Low.</w:t>
            </w:r>
          </w:p>
        </w:tc>
      </w:tr>
      <w:tr w14:paraId="036013C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54109059">
            <w:pPr>
              <w:pStyle w:val="26"/>
              <w:jc w:val="left"/>
            </w:pPr>
            <w:r>
              <w:rPr>
                <w:sz w:val="20"/>
                <w:szCs w:val="20"/>
              </w:rPr>
              <w:t>Finance / accounts payable</w:t>
            </w:r>
          </w:p>
        </w:tc>
        <w:tc>
          <w:tcPr>
            <w:shd w:val="clear" w:color="auto" w:fill="F2F5F9"/>
          </w:tcPr>
          <w:p w14:paraId="0381946A">
            <w:pPr>
              <w:pStyle w:val="26"/>
              <w:jc w:val="left"/>
            </w:pPr>
            <w:r>
              <w:rPr>
                <w:sz w:val="20"/>
                <w:szCs w:val="20"/>
              </w:rPr>
              <w:t>D7</w:t>
            </w:r>
          </w:p>
        </w:tc>
        <w:tc>
          <w:tcPr>
            <w:shd w:val="clear" w:color="auto" w:fill="F2F5F9"/>
          </w:tcPr>
          <w:p w14:paraId="0D14401C">
            <w:pPr>
              <w:pStyle w:val="26"/>
              <w:jc w:val="left"/>
            </w:pPr>
            <w:r>
              <w:rPr>
                <w:sz w:val="20"/>
                <w:szCs w:val="20"/>
              </w:rPr>
              <w:t>Finance business partner</w:t>
            </w:r>
          </w:p>
        </w:tc>
        <w:tc>
          <w:tcPr>
            <w:shd w:val="clear" w:color="auto" w:fill="F2F5F9"/>
          </w:tcPr>
          <w:p w14:paraId="32D972A8">
            <w:pPr>
              <w:pStyle w:val="26"/>
              <w:jc w:val="left"/>
            </w:pPr>
            <w:r>
              <w:rPr>
                <w:sz w:val="20"/>
                <w:szCs w:val="20"/>
              </w:rPr>
              <w:t>Medium. Coding may not separate capability recovery from project work, which §6.3 discusses.</w:t>
            </w:r>
          </w:p>
        </w:tc>
      </w:tr>
      <w:tr w14:paraId="0B6B91D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1FB451D6">
            <w:pPr>
              <w:pStyle w:val="26"/>
              <w:jc w:val="left"/>
            </w:pPr>
            <w:r>
              <w:rPr>
                <w:sz w:val="20"/>
                <w:szCs w:val="20"/>
              </w:rPr>
              <w:t>Line managers and receiving leads</w:t>
            </w:r>
          </w:p>
        </w:tc>
        <w:tc>
          <w:p w14:paraId="1DF731DA">
            <w:pPr>
              <w:pStyle w:val="26"/>
              <w:jc w:val="left"/>
            </w:pPr>
            <w:r>
              <w:rPr>
                <w:sz w:val="20"/>
                <w:szCs w:val="20"/>
              </w:rPr>
              <w:t>D5</w:t>
            </w:r>
          </w:p>
        </w:tc>
        <w:tc>
          <w:p w14:paraId="44E1F79B">
            <w:pPr>
              <w:pStyle w:val="26"/>
              <w:jc w:val="left"/>
            </w:pPr>
            <w:r>
              <w:rPr>
                <w:sz w:val="20"/>
                <w:szCs w:val="20"/>
              </w:rPr>
              <w:t>Interviews arranged by the sponsor</w:t>
            </w:r>
          </w:p>
        </w:tc>
        <w:tc>
          <w:p w14:paraId="63330F31">
            <w:pPr>
              <w:pStyle w:val="26"/>
              <w:jc w:val="left"/>
            </w:pPr>
            <w:r>
              <w:rPr>
                <w:sz w:val="20"/>
                <w:szCs w:val="20"/>
              </w:rPr>
              <w:t>Medium. Availability, and some reluctance to describe a process failure.</w:t>
            </w:r>
          </w:p>
        </w:tc>
      </w:tr>
      <w:tr w14:paraId="1CC7A01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5C2C7767">
            <w:pPr>
              <w:pStyle w:val="26"/>
              <w:jc w:val="left"/>
            </w:pPr>
            <w:r>
              <w:rPr>
                <w:sz w:val="20"/>
                <w:szCs w:val="20"/>
              </w:rPr>
              <w:t>Rae Huang and GenAI</w:t>
            </w:r>
          </w:p>
        </w:tc>
        <w:tc>
          <w:tcPr>
            <w:shd w:val="clear" w:color="auto" w:fill="F2F5F9"/>
          </w:tcPr>
          <w:p w14:paraId="127ADC86">
            <w:pPr>
              <w:pStyle w:val="26"/>
              <w:jc w:val="left"/>
            </w:pPr>
            <w:r>
              <w:rPr>
                <w:sz w:val="20"/>
                <w:szCs w:val="20"/>
              </w:rPr>
              <w:t>D5 (this deliverable)</w:t>
            </w:r>
          </w:p>
        </w:tc>
        <w:tc>
          <w:tcPr>
            <w:shd w:val="clear" w:color="auto" w:fill="F2F5F9"/>
          </w:tcPr>
          <w:p w14:paraId="630CADCF">
            <w:pPr>
              <w:pStyle w:val="26"/>
              <w:jc w:val="left"/>
            </w:pPr>
            <w:r>
              <w:rPr>
                <w:sz w:val="20"/>
                <w:szCs w:val="20"/>
              </w:rPr>
              <w:t>Semi-structured interview per §5</w:t>
            </w:r>
          </w:p>
        </w:tc>
        <w:tc>
          <w:tcPr>
            <w:shd w:val="clear" w:color="auto" w:fill="F2F5F9"/>
          </w:tcPr>
          <w:p w14:paraId="151A34EA">
            <w:pPr>
              <w:pStyle w:val="26"/>
              <w:jc w:val="left"/>
            </w:pPr>
            <w:r>
              <w:rPr>
                <w:sz w:val="20"/>
                <w:szCs w:val="20"/>
              </w:rPr>
              <w:t>Completed; see §6.</w:t>
            </w:r>
          </w:p>
        </w:tc>
      </w:tr>
    </w:tbl>
    <w:p w14:paraId="6CC91248">
      <w:pPr>
        <w:pStyle w:val="3"/>
      </w:pPr>
      <w:r>
        <w:t>One assumption has to be checked before anything else. H1 is only testable if offboarding records exist and can be retrieved. If they cannot, H1 is unprovable as written and the engagement pivots to H2, which relies on ITSM data that certainly exists. Checking this takes half a day and should precede everything else.</w:t>
      </w:r>
    </w:p>
    <w:bookmarkEnd w:id="29"/>
    <w:p w14:paraId="54DBAB3C">
      <w:pPr>
        <w:pStyle w:val="4"/>
      </w:pPr>
      <w:bookmarkStart w:id="30" w:name="_Toc14213"/>
      <w:bookmarkStart w:id="31" w:name="how-the-data-will-be-collected"/>
      <w:r>
        <w:rPr>
          <w:color w:val="1F3864"/>
        </w:rPr>
        <w:t>4.4 How the data will be collected</w:t>
      </w:r>
      <w:bookmarkEnd w:id="30"/>
    </w:p>
    <w:p w14:paraId="17B986A1">
      <w:pPr>
        <w:pStyle w:val="25"/>
      </w:pPr>
      <w:r>
        <w:t>The collection runs over three weeks and has six parts.</w:t>
      </w:r>
    </w:p>
    <w:p w14:paraId="0731B3EA">
      <w:pPr>
        <w:pStyle w:val="3"/>
      </w:pPr>
      <w:r>
        <w:t>In week 1 a pseudonymised HRIS extract is taken for all FY24–FY26 exits, keyed by an anonymised employee reference so that records can be joined across HRIS, ITSM and the ledger without handling identifiable data. Over weeks 1 and 2 a rules-based criticality screen is applied to D2: an exit counts as knowledge-critical if the employee was the named owner of a production system, or was a sole on-call responder for any service, or had more than five years’ tenure in a specialist technical role. Marginal cases are decided with the relevant line manager, and the rule set is documented so that the classification can be reproduced.</w:t>
      </w:r>
    </w:p>
    <w:p w14:paraId="42BBA702">
      <w:pPr>
        <w:pStyle w:val="3"/>
      </w:pPr>
      <w:r>
        <w:t>In week 2 a structured search of team sites and shared drives records, for each critical exit, whether an artefact exists and in what form. Where nothing is found, that absence is recorded as a finding rather than treated as missing data. In weeks 2 and 3, for a sample of 64 exits where an artefact does exist, the receiving team is asked to confirm whether they received, read and accepted it, which separates artefacts that were filed from artefacts that were actually transferred. Six to eight semi-structured interviews are conducted over the same period using the guide in Section 5, covering both divisions and both voluntary and involuntary exits, recorded with consent, transcribed, and coded against the issue-tree branches. In week 3 the consequence and cost data, D6 and D7, are joined to the exit population on the anonymised key.</w:t>
      </w:r>
    </w:p>
    <w:p w14:paraId="324DF7EA">
      <w:pPr>
        <w:pStyle w:val="3"/>
      </w:pPr>
      <w:r>
        <w:t>The sample of 64 is calculated rather than chosen. Artefact presence is established by census across the whole critical-exit population, so it carries no sampling error; only the second question, whether the receiving team accepted what was left, has to be sampled, because it requires contacting a person for each case. Taking the artefact-present subset as roughly 190 records and setting the proportion at 0.5, which is the most demanding assumption, a 95% confidence interval of plus or minus 10 percentage points requires 96 records before the finite population correction and 64 after it. Sixty-four is therefore the smallest sample that resolves the decision rule in §4.5: if the verified rate comes in near 30%, the upper bound of the interval sits around 40% and stays clear of the 50% threshold, so H1 can be supported or rejected rather than left open. A sample of 20, which was the working figure before this was calculated, would give an interval of roughly plus or minus 21 points and could not separate 30% from 50% at all. Sizing the sample to the decision rather than to convenience is the difference between a test and an illustration.</w:t>
      </w:r>
    </w:p>
    <w:p w14:paraId="61212B5A">
      <w:pPr>
        <w:pStyle w:val="3"/>
      </w:pPr>
      <w:r>
        <w:t>On ethics and privacy, all extracts are pseudonymised at source, no individual is named in any output, and findings are reported at unit level or above with a minimum cell size of five, so that no individual’s exit can be identified by inference. This is a condition of the engagement rather than a courtesy, because the analysis concerns people who have already lost their jobs.</w:t>
      </w:r>
    </w:p>
    <w:bookmarkEnd w:id="31"/>
    <w:p w14:paraId="4E1605E2">
      <w:pPr>
        <w:pStyle w:val="4"/>
      </w:pPr>
      <w:bookmarkStart w:id="32" w:name="_Toc24732"/>
      <w:bookmarkStart w:id="33" w:name="analysis-to-be-conducted"/>
      <w:r>
        <w:rPr>
          <w:color w:val="1F3864"/>
        </w:rPr>
        <w:t>4.5 Analysis to be conducted</w:t>
      </w:r>
      <w:bookmarkEnd w:id="32"/>
    </w:p>
    <w:p w14:paraId="665B56D8">
      <w:pPr>
        <w:pStyle w:val="25"/>
        <w:keepNext/>
        <w:spacing w:before="80" w:after="80" w:line="240" w:lineRule="auto"/>
        <w:jc w:val="left"/>
      </w:pPr>
      <w:r>
        <w:rPr>
          <w:b/>
          <w:bCs/>
          <w:sz w:val="22"/>
          <w:szCs w:val="22"/>
        </w:rPr>
        <w:t>Table 11.</w:t>
      </w:r>
      <w:r>
        <w:rPr>
          <w:i/>
          <w:iCs/>
          <w:sz w:val="22"/>
          <w:szCs w:val="22"/>
        </w:rPr>
        <w:t xml:space="preserve"> Analysis method for H1</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1410"/>
        <w:gridCol w:w="4862"/>
        <w:gridCol w:w="2512"/>
      </w:tblGrid>
      <w:tr w14:paraId="349B9135">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4EC58E5E">
            <w:pPr>
              <w:pStyle w:val="26"/>
              <w:keepNext/>
              <w:jc w:val="left"/>
            </w:pPr>
            <w:r>
              <w:rPr>
                <w:b/>
                <w:bCs/>
                <w:color w:val="FFFFFF"/>
                <w:sz w:val="20"/>
                <w:szCs w:val="20"/>
              </w:rPr>
              <w:t>Analysis</w:t>
            </w:r>
          </w:p>
        </w:tc>
        <w:tc>
          <w:tcPr>
            <w:shd w:val="clear" w:color="auto" w:fill="1F3864"/>
          </w:tcPr>
          <w:p w14:paraId="5AAFEA9D">
            <w:pPr>
              <w:pStyle w:val="26"/>
              <w:keepNext/>
              <w:jc w:val="left"/>
            </w:pPr>
            <w:r>
              <w:rPr>
                <w:b/>
                <w:bCs/>
                <w:color w:val="FFFFFF"/>
                <w:sz w:val="20"/>
                <w:szCs w:val="20"/>
              </w:rPr>
              <w:t>Method</w:t>
            </w:r>
          </w:p>
        </w:tc>
        <w:tc>
          <w:tcPr>
            <w:shd w:val="clear" w:color="auto" w:fill="1F3864"/>
          </w:tcPr>
          <w:p w14:paraId="546C5418">
            <w:pPr>
              <w:pStyle w:val="26"/>
              <w:keepNext/>
              <w:jc w:val="left"/>
            </w:pPr>
            <w:r>
              <w:rPr>
                <w:b/>
                <w:bCs/>
                <w:color w:val="FFFFFF"/>
                <w:sz w:val="20"/>
                <w:szCs w:val="20"/>
              </w:rPr>
              <w:t>Decision rule</w:t>
            </w:r>
          </w:p>
        </w:tc>
      </w:tr>
      <w:tr w14:paraId="5A237BE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6923B701">
            <w:pPr>
              <w:pStyle w:val="26"/>
              <w:keepNext/>
              <w:jc w:val="left"/>
            </w:pPr>
            <w:r>
              <w:rPr>
                <w:sz w:val="20"/>
                <w:szCs w:val="20"/>
              </w:rPr>
              <w:t>Completion rate</w:t>
            </w:r>
          </w:p>
        </w:tc>
        <w:tc>
          <w:p w14:paraId="545D356D">
            <w:pPr>
              <w:pStyle w:val="26"/>
              <w:keepNext/>
              <w:jc w:val="left"/>
            </w:pPr>
            <w:r>
              <w:rPr>
                <w:sz w:val="20"/>
                <w:szCs w:val="20"/>
              </w:rPr>
              <w:t>Descriptive. VHCR = verified critical exits ÷ all critical exits, with a 95% confidence interval.</w:t>
            </w:r>
          </w:p>
        </w:tc>
        <w:tc>
          <w:p w14:paraId="50CC26F3">
            <w:pPr>
              <w:pStyle w:val="26"/>
              <w:keepNext/>
              <w:jc w:val="left"/>
            </w:pPr>
            <w:r>
              <w:rPr>
                <w:b/>
                <w:bCs/>
                <w:sz w:val="20"/>
                <w:szCs w:val="20"/>
              </w:rPr>
              <w:t>H1 is supported if the verified completion rate is below 50% and the upper confidence bound stays below 50%.</w:t>
            </w:r>
          </w:p>
        </w:tc>
      </w:tr>
      <w:tr w14:paraId="274B23C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06CD7C3A">
            <w:pPr>
              <w:pStyle w:val="26"/>
              <w:jc w:val="left"/>
            </w:pPr>
            <w:r>
              <w:rPr>
                <w:sz w:val="20"/>
                <w:szCs w:val="20"/>
              </w:rPr>
              <w:t>Nominal against verified gap</w:t>
            </w:r>
          </w:p>
        </w:tc>
        <w:tc>
          <w:tcPr>
            <w:shd w:val="clear" w:color="auto" w:fill="F2F5F9"/>
          </w:tcPr>
          <w:p w14:paraId="3DCB44FE">
            <w:pPr>
              <w:pStyle w:val="26"/>
              <w:jc w:val="left"/>
            </w:pPr>
            <w:r>
              <w:rPr>
                <w:sz w:val="20"/>
                <w:szCs w:val="20"/>
              </w:rPr>
              <w:t>Compare the artefact-present rate with the receiver-accepted rate.</w:t>
            </w:r>
          </w:p>
        </w:tc>
        <w:tc>
          <w:tcPr>
            <w:shd w:val="clear" w:color="auto" w:fill="F2F5F9"/>
          </w:tcPr>
          <w:p w14:paraId="411D5FA8">
            <w:pPr>
              <w:pStyle w:val="26"/>
              <w:jc w:val="left"/>
            </w:pPr>
            <w:r>
              <w:rPr>
                <w:sz w:val="20"/>
                <w:szCs w:val="20"/>
              </w:rPr>
              <w:t>A large gap indicates the failure is verification rather than capture, which changes the solution.</w:t>
            </w:r>
          </w:p>
        </w:tc>
      </w:tr>
      <w:tr w14:paraId="5E127A6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692774F5">
            <w:pPr>
              <w:pStyle w:val="26"/>
              <w:jc w:val="left"/>
            </w:pPr>
            <w:r>
              <w:rPr>
                <w:sz w:val="20"/>
                <w:szCs w:val="20"/>
              </w:rPr>
              <w:t>Segmentation</w:t>
            </w:r>
          </w:p>
        </w:tc>
        <w:tc>
          <w:p w14:paraId="1E719C14">
            <w:pPr>
              <w:pStyle w:val="26"/>
              <w:jc w:val="left"/>
            </w:pPr>
            <w:r>
              <w:rPr>
                <w:sz w:val="20"/>
                <w:szCs w:val="20"/>
              </w:rPr>
              <w:t>Cross-tabulate VHCR by division, exit type (voluntary or involuntary) and notice length.</w:t>
            </w:r>
          </w:p>
        </w:tc>
        <w:tc>
          <w:p w14:paraId="701EED21">
            <w:pPr>
              <w:pStyle w:val="26"/>
              <w:jc w:val="left"/>
            </w:pPr>
            <w:r>
              <w:rPr>
                <w:sz w:val="20"/>
                <w:szCs w:val="20"/>
              </w:rPr>
              <w:t>Tests the competing explanation that short notice drives the failure rather than process design, that is, Branch 1 against Branch 2.</w:t>
            </w:r>
          </w:p>
        </w:tc>
      </w:tr>
      <w:tr w14:paraId="5A8BFC6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61AE7A87">
            <w:pPr>
              <w:pStyle w:val="26"/>
              <w:jc w:val="left"/>
            </w:pPr>
            <w:r>
              <w:rPr>
                <w:sz w:val="20"/>
                <w:szCs w:val="20"/>
              </w:rPr>
              <w:t>Timing</w:t>
            </w:r>
          </w:p>
        </w:tc>
        <w:tc>
          <w:tcPr>
            <w:shd w:val="clear" w:color="auto" w:fill="F2F5F9"/>
          </w:tcPr>
          <w:p w14:paraId="1FB3B559">
            <w:pPr>
              <w:pStyle w:val="26"/>
              <w:jc w:val="left"/>
            </w:pPr>
            <w:r>
              <w:rPr>
                <w:sz w:val="20"/>
                <w:szCs w:val="20"/>
              </w:rPr>
              <w:t>Distribution of days between artefact creation and final day.</w:t>
            </w:r>
          </w:p>
        </w:tc>
        <w:tc>
          <w:tcPr>
            <w:shd w:val="clear" w:color="auto" w:fill="F2F5F9"/>
          </w:tcPr>
          <w:p w14:paraId="4E429D45">
            <w:pPr>
              <w:pStyle w:val="26"/>
              <w:jc w:val="left"/>
            </w:pPr>
            <w:r>
              <w:rPr>
                <w:sz w:val="20"/>
                <w:szCs w:val="20"/>
              </w:rPr>
              <w:t>Clustering in the final 48 hours suggests compliance behaviour rather than transfer.</w:t>
            </w:r>
          </w:p>
        </w:tc>
      </w:tr>
      <w:tr w14:paraId="77DD4BC2">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09E13B78">
            <w:pPr>
              <w:pStyle w:val="26"/>
              <w:jc w:val="left"/>
            </w:pPr>
            <w:r>
              <w:rPr>
                <w:sz w:val="20"/>
                <w:szCs w:val="20"/>
              </w:rPr>
              <w:t>Consequence link</w:t>
            </w:r>
          </w:p>
        </w:tc>
        <w:tc>
          <w:p w14:paraId="35DCB48D">
            <w:pPr>
              <w:pStyle w:val="26"/>
              <w:jc w:val="left"/>
            </w:pPr>
            <w:r>
              <w:rPr>
                <w:sz w:val="20"/>
                <w:szCs w:val="20"/>
              </w:rPr>
              <w:t>Compare 90-day post-exit incident and escalation rates for teams receiving verified and unverified handovers.</w:t>
            </w:r>
          </w:p>
        </w:tc>
        <w:tc>
          <w:p w14:paraId="569D8FD3">
            <w:pPr>
              <w:pStyle w:val="26"/>
              <w:jc w:val="left"/>
            </w:pPr>
            <w:r>
              <w:rPr>
                <w:sz w:val="20"/>
                <w:szCs w:val="20"/>
              </w:rPr>
              <w:t>Establishes whether the gap has an observable operational cost.</w:t>
            </w:r>
          </w:p>
        </w:tc>
      </w:tr>
      <w:tr w14:paraId="6187C3D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76C56CC5">
            <w:pPr>
              <w:pStyle w:val="26"/>
              <w:jc w:val="left"/>
            </w:pPr>
            <w:r>
              <w:rPr>
                <w:sz w:val="20"/>
                <w:szCs w:val="20"/>
              </w:rPr>
              <w:t>Cost link</w:t>
            </w:r>
          </w:p>
        </w:tc>
        <w:tc>
          <w:tcPr>
            <w:shd w:val="clear" w:color="auto" w:fill="F2F5F9"/>
          </w:tcPr>
          <w:p w14:paraId="41051C7B">
            <w:pPr>
              <w:pStyle w:val="26"/>
              <w:jc w:val="left"/>
            </w:pPr>
            <w:r>
              <w:rPr>
                <w:sz w:val="20"/>
                <w:szCs w:val="20"/>
              </w:rPr>
              <w:t>Timing and causality: contractor engagements starting in the same function within 90 days of a critical exit, with scope overlapping the departed role, compared for verified against unverified handovers. Where the ledger coding cannot separate planned backfill from unplanned recovery, line managers are sampled on why each contractor was engaged.</w:t>
            </w:r>
          </w:p>
        </w:tc>
        <w:tc>
          <w:tcPr>
            <w:shd w:val="clear" w:color="auto" w:fill="F2F5F9"/>
          </w:tcPr>
          <w:p w14:paraId="4DBF32BA">
            <w:pPr>
              <w:pStyle w:val="26"/>
              <w:jc w:val="left"/>
            </w:pPr>
            <w:r>
              <w:rPr>
                <w:sz w:val="20"/>
                <w:szCs w:val="20"/>
              </w:rPr>
              <w:t>Converts the finding into financial terms while surviving the objection that contractor spend rose for unrelated project reasons (§6.1, Q20).</w:t>
            </w:r>
          </w:p>
        </w:tc>
      </w:tr>
      <w:tr w14:paraId="4E6B3C0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691EE12A">
            <w:pPr>
              <w:pStyle w:val="26"/>
              <w:jc w:val="left"/>
            </w:pPr>
            <w:r>
              <w:rPr>
                <w:sz w:val="20"/>
                <w:szCs w:val="20"/>
              </w:rPr>
              <w:t>Qualitative</w:t>
            </w:r>
          </w:p>
        </w:tc>
        <w:tc>
          <w:p w14:paraId="22F83F1B">
            <w:pPr>
              <w:pStyle w:val="26"/>
              <w:jc w:val="left"/>
            </w:pPr>
            <w:r>
              <w:rPr>
                <w:sz w:val="20"/>
                <w:szCs w:val="20"/>
              </w:rPr>
              <w:t>Thematic coding of transcripts against the four issue-tree branches, recording frequency and salience.</w:t>
            </w:r>
          </w:p>
        </w:tc>
        <w:tc>
          <w:p w14:paraId="1B5769E2">
            <w:pPr>
              <w:pStyle w:val="26"/>
              <w:jc w:val="left"/>
            </w:pPr>
            <w:r>
              <w:rPr>
                <w:sz w:val="20"/>
                <w:szCs w:val="20"/>
              </w:rPr>
              <w:t>Triangulates the quantitative result and explains the mechanism.</w:t>
            </w:r>
          </w:p>
        </w:tc>
      </w:tr>
    </w:tbl>
    <w:p w14:paraId="0EA0CA34">
      <w:pPr>
        <w:pStyle w:val="3"/>
      </w:pPr>
      <w:r>
        <w:t>The sequence follows the standard analysis cycle of understanding the business situation, preparing and exploring the data, interpreting the patterns found, and returning to earlier steps where the interpretation requires it (Fayyad et al., 1996). The design deliberately tests H1 three ways, through records, interviews and consequence data. Where a hypothesis rests on data the client may not hold in usable form, converging evidence from independent sources is more defensible than apparent precision from a single source, and triangulating around a difficult data problem is standard practice.</w:t>
      </w:r>
    </w:p>
    <w:bookmarkEnd w:id="33"/>
    <w:p w14:paraId="294B90EB">
      <w:pPr>
        <w:pStyle w:val="4"/>
      </w:pPr>
      <w:bookmarkStart w:id="34" w:name="_Toc18643"/>
      <w:bookmarkStart w:id="35" w:name="visualisations-proposed"/>
      <w:r>
        <w:rPr>
          <w:color w:val="1F3864"/>
        </w:rPr>
        <w:t>4.6 Visualisations proposed</w:t>
      </w:r>
      <w:bookmarkEnd w:id="34"/>
    </w:p>
    <w:p w14:paraId="7E21AF76">
      <w:pPr>
        <w:pStyle w:val="25"/>
        <w:keepNext/>
        <w:spacing w:before="80" w:after="80" w:line="240" w:lineRule="auto"/>
        <w:jc w:val="left"/>
      </w:pPr>
      <w:r>
        <w:rPr>
          <w:b/>
          <w:bCs/>
          <w:sz w:val="22"/>
          <w:szCs w:val="22"/>
        </w:rPr>
        <w:t>Table 12.</w:t>
      </w:r>
      <w:r>
        <w:rPr>
          <w:i/>
          <w:iCs/>
          <w:sz w:val="22"/>
          <w:szCs w:val="22"/>
        </w:rPr>
        <w:t xml:space="preserve"> Visualisations and their purpose</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389"/>
        <w:gridCol w:w="3721"/>
        <w:gridCol w:w="3348"/>
        <w:gridCol w:w="1326"/>
      </w:tblGrid>
      <w:tr w14:paraId="759956B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511E5754">
            <w:pPr>
              <w:pStyle w:val="26"/>
              <w:keepNext/>
              <w:jc w:val="left"/>
            </w:pPr>
            <w:r>
              <w:rPr>
                <w:b/>
                <w:bCs/>
                <w:color w:val="FFFFFF"/>
                <w:sz w:val="20"/>
                <w:szCs w:val="20"/>
              </w:rPr>
              <w:t>#</w:t>
            </w:r>
          </w:p>
        </w:tc>
        <w:tc>
          <w:tcPr>
            <w:shd w:val="clear" w:color="auto" w:fill="1F3864"/>
          </w:tcPr>
          <w:p w14:paraId="4238C9FA">
            <w:pPr>
              <w:pStyle w:val="26"/>
              <w:keepNext/>
              <w:jc w:val="left"/>
            </w:pPr>
            <w:r>
              <w:rPr>
                <w:b/>
                <w:bCs/>
                <w:color w:val="FFFFFF"/>
                <w:sz w:val="20"/>
                <w:szCs w:val="20"/>
              </w:rPr>
              <w:t>Visualisation</w:t>
            </w:r>
          </w:p>
        </w:tc>
        <w:tc>
          <w:tcPr>
            <w:shd w:val="clear" w:color="auto" w:fill="1F3864"/>
          </w:tcPr>
          <w:p w14:paraId="106075B9">
            <w:pPr>
              <w:pStyle w:val="26"/>
              <w:keepNext/>
              <w:jc w:val="left"/>
            </w:pPr>
            <w:r>
              <w:rPr>
                <w:b/>
                <w:bCs/>
                <w:color w:val="FFFFFF"/>
                <w:sz w:val="20"/>
                <w:szCs w:val="20"/>
              </w:rPr>
              <w:t>Shows</w:t>
            </w:r>
          </w:p>
        </w:tc>
        <w:tc>
          <w:tcPr>
            <w:shd w:val="clear" w:color="auto" w:fill="1F3864"/>
          </w:tcPr>
          <w:p w14:paraId="2AADBBAE">
            <w:pPr>
              <w:pStyle w:val="26"/>
              <w:keepNext/>
              <w:jc w:val="left"/>
            </w:pPr>
            <w:r>
              <w:rPr>
                <w:b/>
                <w:bCs/>
                <w:color w:val="FFFFFF"/>
                <w:sz w:val="20"/>
                <w:szCs w:val="20"/>
              </w:rPr>
              <w:t>Audience</w:t>
            </w:r>
          </w:p>
        </w:tc>
      </w:tr>
      <w:tr w14:paraId="749E207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1D0A683">
            <w:pPr>
              <w:pStyle w:val="26"/>
              <w:keepNext/>
              <w:jc w:val="left"/>
            </w:pPr>
            <w:r>
              <w:rPr>
                <w:sz w:val="20"/>
                <w:szCs w:val="20"/>
              </w:rPr>
              <w:t>V1</w:t>
            </w:r>
          </w:p>
        </w:tc>
        <w:tc>
          <w:p w14:paraId="339ACDD9">
            <w:pPr>
              <w:pStyle w:val="26"/>
              <w:keepNext/>
              <w:jc w:val="left"/>
            </w:pPr>
            <w:r>
              <w:rPr>
                <w:sz w:val="20"/>
                <w:szCs w:val="20"/>
              </w:rPr>
              <w:t>100% stacked bar: critical exits by division, split verified / artefact-only / no artefact</w:t>
            </w:r>
          </w:p>
        </w:tc>
        <w:tc>
          <w:p w14:paraId="5EAE12DF">
            <w:pPr>
              <w:pStyle w:val="26"/>
              <w:keepNext/>
              <w:jc w:val="left"/>
            </w:pPr>
            <w:r>
              <w:rPr>
                <w:sz w:val="20"/>
                <w:szCs w:val="20"/>
              </w:rPr>
              <w:t>The headline result for H1 in one image, with the nominal-versus-verified gap visible</w:t>
            </w:r>
          </w:p>
        </w:tc>
        <w:tc>
          <w:p w14:paraId="41B67183">
            <w:pPr>
              <w:pStyle w:val="26"/>
              <w:keepNext/>
              <w:jc w:val="left"/>
            </w:pPr>
            <w:r>
              <w:rPr>
                <w:sz w:val="20"/>
                <w:szCs w:val="20"/>
              </w:rPr>
              <w:t>Steering group</w:t>
            </w:r>
          </w:p>
        </w:tc>
      </w:tr>
      <w:tr w14:paraId="20790CAA">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39F547E9">
            <w:pPr>
              <w:pStyle w:val="26"/>
              <w:jc w:val="left"/>
            </w:pPr>
            <w:r>
              <w:rPr>
                <w:sz w:val="20"/>
                <w:szCs w:val="20"/>
              </w:rPr>
              <w:t>V2</w:t>
            </w:r>
          </w:p>
        </w:tc>
        <w:tc>
          <w:tcPr>
            <w:shd w:val="clear" w:color="auto" w:fill="F2F5F9"/>
          </w:tcPr>
          <w:p w14:paraId="6C5CF8D8">
            <w:pPr>
              <w:pStyle w:val="26"/>
              <w:jc w:val="left"/>
            </w:pPr>
            <w:r>
              <w:rPr>
                <w:sz w:val="20"/>
                <w:szCs w:val="20"/>
              </w:rPr>
              <w:t>Waterfall chart: gross labour saving → rework cost → contractor recovery → net saving</w:t>
            </w:r>
          </w:p>
        </w:tc>
        <w:tc>
          <w:tcPr>
            <w:shd w:val="clear" w:color="auto" w:fill="F2F5F9"/>
          </w:tcPr>
          <w:p w14:paraId="1A9D2EA6">
            <w:pPr>
              <w:pStyle w:val="26"/>
              <w:jc w:val="left"/>
            </w:pPr>
            <w:r>
              <w:rPr>
                <w:sz w:val="20"/>
                <w:szCs w:val="20"/>
              </w:rPr>
              <w:t>Converts the organisational finding into financial terms the CFO will act on (H3)</w:t>
            </w:r>
          </w:p>
        </w:tc>
        <w:tc>
          <w:tcPr>
            <w:shd w:val="clear" w:color="auto" w:fill="F2F5F9"/>
          </w:tcPr>
          <w:p w14:paraId="28BEEACA">
            <w:pPr>
              <w:pStyle w:val="26"/>
              <w:jc w:val="left"/>
            </w:pPr>
            <w:r>
              <w:rPr>
                <w:sz w:val="20"/>
                <w:szCs w:val="20"/>
              </w:rPr>
              <w:t>CFO, sponsor</w:t>
            </w:r>
          </w:p>
        </w:tc>
      </w:tr>
      <w:tr w14:paraId="6D0F443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5C30A9BC">
            <w:pPr>
              <w:pStyle w:val="26"/>
              <w:jc w:val="left"/>
            </w:pPr>
            <w:r>
              <w:rPr>
                <w:sz w:val="20"/>
                <w:szCs w:val="20"/>
              </w:rPr>
              <w:t>V3</w:t>
            </w:r>
          </w:p>
        </w:tc>
        <w:tc>
          <w:p w14:paraId="1ECA4F8C">
            <w:pPr>
              <w:pStyle w:val="26"/>
              <w:jc w:val="left"/>
            </w:pPr>
            <w:r>
              <w:rPr>
                <w:sz w:val="20"/>
                <w:szCs w:val="20"/>
              </w:rPr>
              <w:t>Scatter plot: headcount reduction (%) by unit against change in mean resolution time, with fitted trend</w:t>
            </w:r>
          </w:p>
        </w:tc>
        <w:tc>
          <w:p w14:paraId="138A9C94">
            <w:pPr>
              <w:pStyle w:val="26"/>
              <w:jc w:val="left"/>
            </w:pPr>
            <w:r>
              <w:rPr>
                <w:sz w:val="20"/>
                <w:szCs w:val="20"/>
              </w:rPr>
              <w:t>Whether capability loss shows up in service outcomes (H2)</w:t>
            </w:r>
          </w:p>
        </w:tc>
        <w:tc>
          <w:p w14:paraId="5FCD0E82">
            <w:pPr>
              <w:pStyle w:val="26"/>
              <w:jc w:val="left"/>
            </w:pPr>
            <w:r>
              <w:rPr>
                <w:sz w:val="20"/>
                <w:szCs w:val="20"/>
              </w:rPr>
              <w:t>Operations leadership</w:t>
            </w:r>
          </w:p>
        </w:tc>
      </w:tr>
      <w:tr w14:paraId="2C0E1C6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0BBAA509">
            <w:pPr>
              <w:pStyle w:val="26"/>
              <w:jc w:val="left"/>
            </w:pPr>
            <w:r>
              <w:rPr>
                <w:sz w:val="20"/>
                <w:szCs w:val="20"/>
              </w:rPr>
              <w:t>V4</w:t>
            </w:r>
          </w:p>
        </w:tc>
        <w:tc>
          <w:tcPr>
            <w:shd w:val="clear" w:color="auto" w:fill="F2F5F9"/>
          </w:tcPr>
          <w:p w14:paraId="7950519F">
            <w:pPr>
              <w:pStyle w:val="26"/>
              <w:jc w:val="left"/>
            </w:pPr>
            <w:r>
              <w:rPr>
                <w:sz w:val="20"/>
                <w:szCs w:val="20"/>
              </w:rPr>
              <w:t>Histogram: days between handover artefact creation and final day</w:t>
            </w:r>
          </w:p>
        </w:tc>
        <w:tc>
          <w:tcPr>
            <w:shd w:val="clear" w:color="auto" w:fill="F2F5F9"/>
          </w:tcPr>
          <w:p w14:paraId="72CAF6A1">
            <w:pPr>
              <w:pStyle w:val="26"/>
              <w:jc w:val="left"/>
            </w:pPr>
            <w:r>
              <w:rPr>
                <w:sz w:val="20"/>
                <w:szCs w:val="20"/>
              </w:rPr>
              <w:t>Whether handover is planned or done under deadline pressure</w:t>
            </w:r>
          </w:p>
        </w:tc>
        <w:tc>
          <w:tcPr>
            <w:shd w:val="clear" w:color="auto" w:fill="F2F5F9"/>
          </w:tcPr>
          <w:p w14:paraId="6F7276DC">
            <w:pPr>
              <w:pStyle w:val="26"/>
              <w:jc w:val="left"/>
            </w:pPr>
            <w:r>
              <w:rPr>
                <w:sz w:val="20"/>
                <w:szCs w:val="20"/>
              </w:rPr>
              <w:t>Process owner</w:t>
            </w:r>
          </w:p>
        </w:tc>
      </w:tr>
      <w:tr w14:paraId="0FB650F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3782F8F5">
            <w:pPr>
              <w:pStyle w:val="26"/>
              <w:jc w:val="left"/>
            </w:pPr>
            <w:r>
              <w:rPr>
                <w:sz w:val="20"/>
                <w:szCs w:val="20"/>
              </w:rPr>
              <w:t>V5</w:t>
            </w:r>
          </w:p>
        </w:tc>
        <w:tc>
          <w:p w14:paraId="7D39FCF3">
            <w:pPr>
              <w:pStyle w:val="26"/>
              <w:jc w:val="left"/>
            </w:pPr>
            <w:r>
              <w:rPr>
                <w:sz w:val="20"/>
                <w:szCs w:val="20"/>
              </w:rPr>
              <w:t>Heat map: VHCR by division and quarter</w:t>
            </w:r>
          </w:p>
        </w:tc>
        <w:tc>
          <w:p w14:paraId="6FAB3E76">
            <w:pPr>
              <w:pStyle w:val="26"/>
              <w:jc w:val="left"/>
            </w:pPr>
            <w:r>
              <w:rPr>
                <w:sz w:val="20"/>
                <w:szCs w:val="20"/>
              </w:rPr>
              <w:t>Where and when the gap is worst; the monitoring view after implementation</w:t>
            </w:r>
          </w:p>
        </w:tc>
        <w:tc>
          <w:p w14:paraId="0A4554C3">
            <w:pPr>
              <w:pStyle w:val="26"/>
              <w:jc w:val="left"/>
            </w:pPr>
            <w:r>
              <w:rPr>
                <w:sz w:val="20"/>
                <w:szCs w:val="20"/>
              </w:rPr>
              <w:t>Process owner</w:t>
            </w:r>
          </w:p>
        </w:tc>
      </w:tr>
      <w:tr w14:paraId="16BAF16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34CD8DD8">
            <w:pPr>
              <w:pStyle w:val="26"/>
              <w:jc w:val="left"/>
            </w:pPr>
            <w:r>
              <w:rPr>
                <w:sz w:val="20"/>
                <w:szCs w:val="20"/>
              </w:rPr>
              <w:t>V6</w:t>
            </w:r>
          </w:p>
        </w:tc>
        <w:tc>
          <w:tcPr>
            <w:shd w:val="clear" w:color="auto" w:fill="F2F5F9"/>
          </w:tcPr>
          <w:p w14:paraId="28BA0804">
            <w:pPr>
              <w:pStyle w:val="26"/>
              <w:jc w:val="left"/>
            </w:pPr>
            <w:r>
              <w:rPr>
                <w:sz w:val="20"/>
                <w:szCs w:val="20"/>
              </w:rPr>
              <w:t>Annotated BPMN overlay: AS-IS model with the four failure points marked</w:t>
            </w:r>
          </w:p>
        </w:tc>
        <w:tc>
          <w:tcPr>
            <w:shd w:val="clear" w:color="auto" w:fill="F2F5F9"/>
          </w:tcPr>
          <w:p w14:paraId="0B84AEE5">
            <w:pPr>
              <w:pStyle w:val="26"/>
              <w:jc w:val="left"/>
            </w:pPr>
            <w:r>
              <w:rPr>
                <w:sz w:val="20"/>
                <w:szCs w:val="20"/>
              </w:rPr>
              <w:t>Locates each finding on the process, connecting the analysis to the redesign</w:t>
            </w:r>
          </w:p>
        </w:tc>
        <w:tc>
          <w:tcPr>
            <w:shd w:val="clear" w:color="auto" w:fill="F2F5F9"/>
          </w:tcPr>
          <w:p w14:paraId="56502708">
            <w:pPr>
              <w:pStyle w:val="26"/>
              <w:jc w:val="left"/>
            </w:pPr>
            <w:r>
              <w:rPr>
                <w:sz w:val="20"/>
                <w:szCs w:val="20"/>
              </w:rPr>
              <w:t>All</w:t>
            </w:r>
          </w:p>
        </w:tc>
      </w:tr>
    </w:tbl>
    <w:p w14:paraId="16245C01">
      <w:pPr>
        <w:pStyle w:val="3"/>
      </w:pPr>
      <w:r>
        <w:t>V1 and V2 carry the argument, since V1 establishes that the problem exists and V2 establishes that it is worth fixing. The rest are supporting exhibits, following the principle of one message per exhibit. Figures 3 and 4 show the two that carry the argument, drawn in the form they will take once the data is in. The numbers in them are placeholders and are labelled as such; what is being proposed here is the exhibit, not the result.</w:t>
      </w:r>
    </w:p>
    <w:p w14:paraId="0E9822EC">
      <w:pPr>
        <w:pStyle w:val="3"/>
        <w:jc w:val="center"/>
      </w:pPr>
      <w:r>
        <w:drawing>
          <wp:inline distT="0" distB="0" distL="114300" distR="114300">
            <wp:extent cx="5334000" cy="2583180"/>
            <wp:effectExtent l="0" t="0" r="0" b="0"/>
            <wp:docPr id="4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8"/>
                    <a:stretch>
                      <a:fillRect/>
                    </a:stretch>
                  </pic:blipFill>
                  <pic:spPr>
                    <a:xfrm>
                      <a:off x="0" y="0"/>
                      <a:ext cx="5334000" cy="2583656"/>
                    </a:xfrm>
                    <a:prstGeom prst="rect">
                      <a:avLst/>
                    </a:prstGeom>
                    <a:noFill/>
                    <a:ln w="9525">
                      <a:noFill/>
                    </a:ln>
                  </pic:spPr>
                </pic:pic>
              </a:graphicData>
            </a:graphic>
          </wp:inline>
        </w:drawing>
      </w:r>
    </w:p>
    <w:p w14:paraId="0E961D1A">
      <w:pPr>
        <w:pStyle w:val="3"/>
        <w:spacing w:before="60" w:after="160" w:line="240" w:lineRule="auto"/>
        <w:jc w:val="center"/>
      </w:pPr>
      <w:r>
        <w:rPr>
          <w:b/>
          <w:bCs/>
          <w:sz w:val="22"/>
          <w:szCs w:val="22"/>
        </w:rPr>
        <w:t>Figure 3.</w:t>
      </w:r>
      <w:r>
        <w:rPr>
          <w:i/>
          <w:iCs/>
          <w:sz w:val="22"/>
          <w:szCs w:val="22"/>
        </w:rPr>
        <w:t xml:space="preserve"> V1, proposed exhibit for the H1 finding. Structure only; populated from the record review.</w:t>
      </w:r>
    </w:p>
    <w:p w14:paraId="68005958">
      <w:pPr>
        <w:pStyle w:val="3"/>
        <w:jc w:val="center"/>
      </w:pPr>
      <w:r>
        <w:drawing>
          <wp:inline distT="0" distB="0" distL="114300" distR="114300">
            <wp:extent cx="5334000" cy="2750185"/>
            <wp:effectExtent l="0" t="0" r="0" b="0"/>
            <wp:docPr id="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pic:cNvPicPr>
                      <a:picLocks noChangeAspect="1" noChangeArrowheads="1"/>
                    </pic:cNvPicPr>
                  </pic:nvPicPr>
                  <pic:blipFill>
                    <a:blip r:embed="rId9"/>
                    <a:stretch>
                      <a:fillRect/>
                    </a:stretch>
                  </pic:blipFill>
                  <pic:spPr>
                    <a:xfrm>
                      <a:off x="0" y="0"/>
                      <a:ext cx="5334000" cy="2750343"/>
                    </a:xfrm>
                    <a:prstGeom prst="rect">
                      <a:avLst/>
                    </a:prstGeom>
                    <a:noFill/>
                    <a:ln w="9525">
                      <a:noFill/>
                    </a:ln>
                  </pic:spPr>
                </pic:pic>
              </a:graphicData>
            </a:graphic>
          </wp:inline>
        </w:drawing>
      </w:r>
    </w:p>
    <w:p w14:paraId="400FBD15">
      <w:pPr>
        <w:pStyle w:val="3"/>
        <w:spacing w:before="60" w:after="160" w:line="240" w:lineRule="auto"/>
        <w:jc w:val="center"/>
      </w:pPr>
      <w:r>
        <w:rPr>
          <w:b/>
          <w:bCs/>
          <w:sz w:val="22"/>
          <w:szCs w:val="22"/>
        </w:rPr>
        <w:t>Figure 4.</w:t>
      </w:r>
      <w:r>
        <w:rPr>
          <w:i/>
          <w:iCs/>
          <w:sz w:val="22"/>
          <w:szCs w:val="22"/>
        </w:rPr>
        <w:t xml:space="preserve"> V2, proposed exhibit for the H3 finding. Structure only; populated from analyses 6 and 7.</w:t>
      </w:r>
    </w:p>
    <w:p w14:paraId="0CEF9BCD">
      <w:pPr>
        <w:pStyle w:val="3"/>
      </w:pPr>
      <w:r>
        <w:t>Drawing them now rather than describing them has a practical purpose beyond presentation. V1 forces a decision about what counts as a verified handover before the data is collected, because the exhibit needs three mutually exclusive categories and the middle one, an artefact that exists but was never accepted, only appears if the collection asks two separate questions rather than one. V2 does the same for H3: the exhibit cannot be drawn unless planned backfill and unplanned recovery are separated in the ledger work, which is exactly the distinction Rae Huang’s interview said the coding would not make on its own. An exhibit designed in advance is a specification for the data collection, not just a way of reporting it.</w:t>
      </w:r>
    </w:p>
    <w:bookmarkEnd w:id="23"/>
    <w:bookmarkEnd w:id="35"/>
    <w:p w14:paraId="298E7636">
      <w:pPr>
        <w:pStyle w:val="2"/>
      </w:pPr>
      <w:bookmarkStart w:id="36" w:name="_Toc19301"/>
      <w:bookmarkStart w:id="37" w:name="semi-structured-interview-guide"/>
      <w:r>
        <w:rPr>
          <w:color w:val="1F3864"/>
        </w:rPr>
        <w:t>5. Semi-Structured Interview Guide</w:t>
      </w:r>
      <w:bookmarkEnd w:id="36"/>
    </w:p>
    <w:p w14:paraId="7F6B6A76">
      <w:pPr>
        <w:pStyle w:val="4"/>
      </w:pPr>
      <w:bookmarkStart w:id="38" w:name="_Toc8443"/>
      <w:bookmarkStart w:id="39" w:name="purpose-and-design-of-the-guide"/>
      <w:r>
        <w:rPr>
          <w:color w:val="1F3864"/>
        </w:rPr>
        <w:t>5.1 Purpose and design of the guide</w:t>
      </w:r>
      <w:bookmarkEnd w:id="38"/>
    </w:p>
    <w:p w14:paraId="19509764">
      <w:pPr>
        <w:pStyle w:val="25"/>
      </w:pPr>
      <w:r>
        <w:t>The guide below is written for the stakeholders who would live with the process. Its questions come from this engagement’s problem and its key hypothesis, and the people it is designed for are Spark stakeholders: line managers who have released roles, team leads who have inherited someone’s work, the People function, and a finance business partner who owns a divisional cost line.</w:t>
      </w:r>
    </w:p>
    <w:p w14:paraId="2B1D7E9C">
      <w:pPr>
        <w:pStyle w:val="3"/>
      </w:pPr>
      <w:r>
        <w:t>Because a student engagement cannot access those stakeholders, Step 6 substitutes two proxy respondents: Rae Huang and a generative AI system. Both answer the same guide. This is stated openly in the covering note issued with the guide, and it changes how the answers are used rather than what is asked, the respondents are asked what they would expect to happen in an organisation of this size and why, so the answers establish the mechanism and sharpen the record review in Section 4 rather than acting as evidence about Spark itself.</w:t>
      </w:r>
    </w:p>
    <w:p w14:paraId="3D33B804">
      <w:pPr>
        <w:pStyle w:val="3"/>
      </w:pPr>
      <w:r>
        <w:t>The structure follows Lecture 5: a short opening that establishes context and consent, a sequence that moves from low-sensitivity to high-sensitivity material, two to five core questions per section rather than an exhaustive list, and a close that asks what the interviewer failed to ask. It is semi-structured, so the sections and core questions are fixed and comparable across respondents while follow-up probes are used only where an answer needs opening up.</w:t>
      </w:r>
    </w:p>
    <w:p w14:paraId="783D6CF3">
      <w:pPr>
        <w:pStyle w:val="3"/>
      </w:pPr>
      <w:r>
        <w:t>Three further design choices follow from the subject matter. The process is described before its failures, so the respondent sets out what happens before being asked what goes wrong. No question asks anyone to judge a named individual, because the real stakeholder population includes managers who made people redundant and teams who absorbed the consequences. And the guide is issued with a written background, hypothesis and scenario attached, so every respondent answers against the same stated facts.</w:t>
      </w:r>
    </w:p>
    <w:p w14:paraId="0DB20BF2">
      <w:pPr>
        <w:pStyle w:val="3"/>
      </w:pPr>
      <w:r>
        <w:t>The guide is sent in advance, consistent with the recommended practice of circulating it ahead of time so the interview is spent on substance. Questions are numbered 1 to 28, and both transcripts in Section 6 keep that numbering.</w:t>
      </w:r>
    </w:p>
    <w:p w14:paraId="765E76BF">
      <w:pPr>
        <w:pStyle w:val="3"/>
        <w:keepNext/>
        <w:spacing w:before="80" w:after="80" w:line="240" w:lineRule="auto"/>
        <w:jc w:val="left"/>
      </w:pPr>
      <w:r>
        <w:rPr>
          <w:b/>
          <w:bCs/>
          <w:sz w:val="22"/>
          <w:szCs w:val="22"/>
        </w:rPr>
        <w:t>Table 13.</w:t>
      </w:r>
      <w:r>
        <w:rPr>
          <w:i/>
          <w:iCs/>
          <w:sz w:val="22"/>
          <w:szCs w:val="22"/>
        </w:rPr>
        <w:t xml:space="preserve"> Interview guide structure</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344"/>
        <w:gridCol w:w="2674"/>
        <w:gridCol w:w="989"/>
        <w:gridCol w:w="3664"/>
        <w:gridCol w:w="1113"/>
      </w:tblGrid>
      <w:tr w14:paraId="3F30B01B">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110FE2B8">
            <w:pPr>
              <w:pStyle w:val="26"/>
              <w:keepNext/>
              <w:jc w:val="left"/>
            </w:pPr>
            <w:r>
              <w:rPr>
                <w:b/>
                <w:bCs/>
                <w:color w:val="FFFFFF"/>
                <w:sz w:val="20"/>
                <w:szCs w:val="20"/>
              </w:rPr>
              <w:t>§</w:t>
            </w:r>
          </w:p>
        </w:tc>
        <w:tc>
          <w:tcPr>
            <w:shd w:val="clear" w:color="auto" w:fill="1F3864"/>
          </w:tcPr>
          <w:p w14:paraId="2BCF0CE8">
            <w:pPr>
              <w:pStyle w:val="26"/>
              <w:keepNext/>
              <w:jc w:val="left"/>
            </w:pPr>
            <w:r>
              <w:rPr>
                <w:b/>
                <w:bCs/>
                <w:color w:val="FFFFFF"/>
                <w:sz w:val="20"/>
                <w:szCs w:val="20"/>
              </w:rPr>
              <w:t>Section</w:t>
            </w:r>
          </w:p>
        </w:tc>
        <w:tc>
          <w:tcPr>
            <w:shd w:val="clear" w:color="auto" w:fill="1F3864"/>
          </w:tcPr>
          <w:p w14:paraId="005B9270">
            <w:pPr>
              <w:pStyle w:val="26"/>
              <w:keepNext/>
              <w:jc w:val="left"/>
            </w:pPr>
            <w:r>
              <w:rPr>
                <w:b/>
                <w:bCs/>
                <w:color w:val="FFFFFF"/>
                <w:sz w:val="20"/>
                <w:szCs w:val="20"/>
              </w:rPr>
              <w:t>Questions</w:t>
            </w:r>
          </w:p>
        </w:tc>
        <w:tc>
          <w:tcPr>
            <w:shd w:val="clear" w:color="auto" w:fill="1F3864"/>
          </w:tcPr>
          <w:p w14:paraId="272E1E79">
            <w:pPr>
              <w:pStyle w:val="26"/>
              <w:keepNext/>
              <w:jc w:val="left"/>
            </w:pPr>
            <w:r>
              <w:rPr>
                <w:b/>
                <w:bCs/>
                <w:color w:val="FFFFFF"/>
                <w:sz w:val="20"/>
                <w:szCs w:val="20"/>
              </w:rPr>
              <w:t>Purpose</w:t>
            </w:r>
          </w:p>
        </w:tc>
        <w:tc>
          <w:tcPr>
            <w:shd w:val="clear" w:color="auto" w:fill="1F3864"/>
          </w:tcPr>
          <w:p w14:paraId="7D1B1A5F">
            <w:pPr>
              <w:pStyle w:val="26"/>
              <w:keepNext/>
              <w:jc w:val="left"/>
            </w:pPr>
            <w:r>
              <w:rPr>
                <w:b/>
                <w:bCs/>
                <w:color w:val="FFFFFF"/>
                <w:sz w:val="20"/>
                <w:szCs w:val="20"/>
              </w:rPr>
              <w:t>Links to</w:t>
            </w:r>
          </w:p>
        </w:tc>
      </w:tr>
      <w:tr w14:paraId="409B256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63BAC8CA">
            <w:pPr>
              <w:pStyle w:val="26"/>
              <w:keepNext/>
              <w:jc w:val="left"/>
            </w:pPr>
            <w:r>
              <w:rPr>
                <w:sz w:val="20"/>
                <w:szCs w:val="20"/>
              </w:rPr>
              <w:t>1</w:t>
            </w:r>
          </w:p>
        </w:tc>
        <w:tc>
          <w:p w14:paraId="38D754E7">
            <w:pPr>
              <w:pStyle w:val="26"/>
              <w:keepNext/>
              <w:jc w:val="left"/>
            </w:pPr>
            <w:r>
              <w:rPr>
                <w:sz w:val="20"/>
                <w:szCs w:val="20"/>
              </w:rPr>
              <w:t>Consent</w:t>
            </w:r>
          </w:p>
        </w:tc>
        <w:tc>
          <w:p w14:paraId="7BAFD89B">
            <w:pPr>
              <w:pStyle w:val="26"/>
              <w:keepNext/>
              <w:jc w:val="left"/>
            </w:pPr>
            <w:r>
              <w:rPr>
                <w:sz w:val="20"/>
                <w:szCs w:val="20"/>
              </w:rPr>
              <w:t>1–2</w:t>
            </w:r>
          </w:p>
        </w:tc>
        <w:tc>
          <w:p w14:paraId="03E84FCD">
            <w:pPr>
              <w:pStyle w:val="26"/>
              <w:keepNext/>
              <w:jc w:val="left"/>
            </w:pPr>
            <w:r>
              <w:rPr>
                <w:sz w:val="20"/>
                <w:szCs w:val="20"/>
              </w:rPr>
              <w:t>Consent, attribution, confidentiality</w:t>
            </w:r>
          </w:p>
        </w:tc>
        <w:tc>
          <w:p w14:paraId="478535C0">
            <w:pPr>
              <w:pStyle w:val="26"/>
              <w:keepNext/>
              <w:jc w:val="left"/>
            </w:pPr>
            <w:r>
              <w:rPr>
                <w:sz w:val="20"/>
                <w:szCs w:val="20"/>
              </w:rPr>
              <w:t>—</w:t>
            </w:r>
          </w:p>
        </w:tc>
      </w:tr>
      <w:tr w14:paraId="2AADF592">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3A7145E5">
            <w:pPr>
              <w:pStyle w:val="26"/>
              <w:jc w:val="left"/>
            </w:pPr>
            <w:r>
              <w:rPr>
                <w:sz w:val="20"/>
                <w:szCs w:val="20"/>
              </w:rPr>
              <w:t>2</w:t>
            </w:r>
          </w:p>
        </w:tc>
        <w:tc>
          <w:tcPr>
            <w:shd w:val="clear" w:color="auto" w:fill="F2F5F9"/>
          </w:tcPr>
          <w:p w14:paraId="707F724A">
            <w:pPr>
              <w:pStyle w:val="26"/>
              <w:jc w:val="left"/>
            </w:pPr>
            <w:r>
              <w:rPr>
                <w:sz w:val="20"/>
                <w:szCs w:val="20"/>
              </w:rPr>
              <w:t>Your perspective</w:t>
            </w:r>
          </w:p>
        </w:tc>
        <w:tc>
          <w:tcPr>
            <w:shd w:val="clear" w:color="auto" w:fill="F2F5F9"/>
          </w:tcPr>
          <w:p w14:paraId="610960B3">
            <w:pPr>
              <w:pStyle w:val="26"/>
              <w:jc w:val="left"/>
            </w:pPr>
            <w:r>
              <w:rPr>
                <w:sz w:val="20"/>
                <w:szCs w:val="20"/>
              </w:rPr>
              <w:t>3–4</w:t>
            </w:r>
          </w:p>
        </w:tc>
        <w:tc>
          <w:tcPr>
            <w:shd w:val="clear" w:color="auto" w:fill="F2F5F9"/>
          </w:tcPr>
          <w:p w14:paraId="2BDAFEFA">
            <w:pPr>
              <w:pStyle w:val="26"/>
              <w:jc w:val="left"/>
            </w:pPr>
            <w:r>
              <w:rPr>
                <w:sz w:val="20"/>
                <w:szCs w:val="20"/>
              </w:rPr>
              <w:t>Establish what the respondent can and cannot speak to</w:t>
            </w:r>
          </w:p>
        </w:tc>
        <w:tc>
          <w:tcPr>
            <w:shd w:val="clear" w:color="auto" w:fill="F2F5F9"/>
          </w:tcPr>
          <w:p w14:paraId="1B551B46">
            <w:pPr>
              <w:pStyle w:val="26"/>
              <w:jc w:val="left"/>
            </w:pPr>
            <w:r>
              <w:rPr>
                <w:sz w:val="20"/>
                <w:szCs w:val="20"/>
              </w:rPr>
              <w:t>—</w:t>
            </w:r>
          </w:p>
        </w:tc>
      </w:tr>
      <w:tr w14:paraId="148035D1">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2E9376A7">
            <w:pPr>
              <w:pStyle w:val="26"/>
              <w:jc w:val="left"/>
            </w:pPr>
            <w:r>
              <w:rPr>
                <w:sz w:val="20"/>
                <w:szCs w:val="20"/>
              </w:rPr>
              <w:t>3</w:t>
            </w:r>
          </w:p>
        </w:tc>
        <w:tc>
          <w:p w14:paraId="216379BD">
            <w:pPr>
              <w:pStyle w:val="26"/>
              <w:jc w:val="left"/>
            </w:pPr>
            <w:r>
              <w:rPr>
                <w:sz w:val="20"/>
                <w:szCs w:val="20"/>
              </w:rPr>
              <w:t>How the process runs today</w:t>
            </w:r>
          </w:p>
        </w:tc>
        <w:tc>
          <w:p w14:paraId="7CFB89E6">
            <w:pPr>
              <w:pStyle w:val="26"/>
              <w:jc w:val="left"/>
            </w:pPr>
            <w:r>
              <w:rPr>
                <w:sz w:val="20"/>
                <w:szCs w:val="20"/>
              </w:rPr>
              <w:t>5–7</w:t>
            </w:r>
          </w:p>
        </w:tc>
        <w:tc>
          <w:p w14:paraId="6E28E8A9">
            <w:pPr>
              <w:pStyle w:val="26"/>
              <w:jc w:val="left"/>
            </w:pPr>
            <w:r>
              <w:rPr>
                <w:sz w:val="20"/>
                <w:szCs w:val="20"/>
              </w:rPr>
              <w:t>Map the AS-IS from the respondent’s view</w:t>
            </w:r>
          </w:p>
        </w:tc>
        <w:tc>
          <w:p w14:paraId="7D511948">
            <w:pPr>
              <w:pStyle w:val="26"/>
              <w:jc w:val="left"/>
            </w:pPr>
            <w:r>
              <w:rPr>
                <w:sz w:val="20"/>
                <w:szCs w:val="20"/>
              </w:rPr>
              <w:t>Branch 1, 2</w:t>
            </w:r>
          </w:p>
        </w:tc>
      </w:tr>
      <w:tr w14:paraId="2E71E98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23FE8A39">
            <w:pPr>
              <w:pStyle w:val="26"/>
              <w:jc w:val="left"/>
            </w:pPr>
            <w:r>
              <w:rPr>
                <w:sz w:val="20"/>
                <w:szCs w:val="20"/>
              </w:rPr>
              <w:t>4</w:t>
            </w:r>
          </w:p>
        </w:tc>
        <w:tc>
          <w:tcPr>
            <w:shd w:val="clear" w:color="auto" w:fill="F2F5F9"/>
          </w:tcPr>
          <w:p w14:paraId="635B9BE1">
            <w:pPr>
              <w:pStyle w:val="26"/>
              <w:jc w:val="left"/>
            </w:pPr>
            <w:r>
              <w:rPr>
                <w:sz w:val="20"/>
                <w:szCs w:val="20"/>
              </w:rPr>
              <w:t>What actually gets handed over</w:t>
            </w:r>
          </w:p>
        </w:tc>
        <w:tc>
          <w:tcPr>
            <w:shd w:val="clear" w:color="auto" w:fill="F2F5F9"/>
          </w:tcPr>
          <w:p w14:paraId="39D84C52">
            <w:pPr>
              <w:pStyle w:val="26"/>
              <w:jc w:val="left"/>
            </w:pPr>
            <w:r>
              <w:rPr>
                <w:sz w:val="20"/>
                <w:szCs w:val="20"/>
              </w:rPr>
              <w:t>8–11</w:t>
            </w:r>
          </w:p>
        </w:tc>
        <w:tc>
          <w:tcPr>
            <w:shd w:val="clear" w:color="auto" w:fill="F2F5F9"/>
          </w:tcPr>
          <w:p w14:paraId="27A1A453">
            <w:pPr>
              <w:pStyle w:val="26"/>
              <w:jc w:val="left"/>
            </w:pPr>
            <w:r>
              <w:rPr>
                <w:b/>
                <w:bCs/>
                <w:sz w:val="20"/>
                <w:szCs w:val="20"/>
              </w:rPr>
              <w:t>Core section for H1</w:t>
            </w:r>
          </w:p>
        </w:tc>
        <w:tc>
          <w:tcPr>
            <w:shd w:val="clear" w:color="auto" w:fill="F2F5F9"/>
          </w:tcPr>
          <w:p w14:paraId="123DCF7C">
            <w:pPr>
              <w:pStyle w:val="26"/>
              <w:jc w:val="left"/>
            </w:pPr>
            <w:r>
              <w:rPr>
                <w:b/>
                <w:bCs/>
                <w:sz w:val="20"/>
                <w:szCs w:val="20"/>
              </w:rPr>
              <w:t>H1</w:t>
            </w:r>
          </w:p>
        </w:tc>
      </w:tr>
      <w:tr w14:paraId="7EF7AEA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032F88A0">
            <w:pPr>
              <w:pStyle w:val="26"/>
              <w:jc w:val="left"/>
            </w:pPr>
            <w:r>
              <w:rPr>
                <w:sz w:val="20"/>
                <w:szCs w:val="20"/>
              </w:rPr>
              <w:t>5</w:t>
            </w:r>
          </w:p>
        </w:tc>
        <w:tc>
          <w:p w14:paraId="52333F88">
            <w:pPr>
              <w:pStyle w:val="26"/>
              <w:jc w:val="left"/>
            </w:pPr>
            <w:r>
              <w:rPr>
                <w:sz w:val="20"/>
                <w:szCs w:val="20"/>
              </w:rPr>
              <w:t>Who is critical, and does anyone know</w:t>
            </w:r>
          </w:p>
        </w:tc>
        <w:tc>
          <w:p w14:paraId="52B5116B">
            <w:pPr>
              <w:pStyle w:val="26"/>
              <w:jc w:val="left"/>
            </w:pPr>
            <w:r>
              <w:rPr>
                <w:sz w:val="20"/>
                <w:szCs w:val="20"/>
              </w:rPr>
              <w:t>12–13</w:t>
            </w:r>
          </w:p>
        </w:tc>
        <w:tc>
          <w:p w14:paraId="1B871D30">
            <w:pPr>
              <w:pStyle w:val="26"/>
              <w:jc w:val="left"/>
            </w:pPr>
            <w:r>
              <w:rPr>
                <w:sz w:val="20"/>
                <w:szCs w:val="20"/>
              </w:rPr>
              <w:t>Test whether criticality is assessed at all</w:t>
            </w:r>
          </w:p>
        </w:tc>
        <w:tc>
          <w:p w14:paraId="0B1779C4">
            <w:pPr>
              <w:pStyle w:val="26"/>
              <w:jc w:val="left"/>
            </w:pPr>
            <w:r>
              <w:rPr>
                <w:sz w:val="20"/>
                <w:szCs w:val="20"/>
              </w:rPr>
              <w:t>H1, Branch 2</w:t>
            </w:r>
          </w:p>
        </w:tc>
      </w:tr>
      <w:tr w14:paraId="6AC2196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3A1F0CDC">
            <w:pPr>
              <w:pStyle w:val="26"/>
              <w:jc w:val="left"/>
            </w:pPr>
            <w:r>
              <w:rPr>
                <w:sz w:val="20"/>
                <w:szCs w:val="20"/>
              </w:rPr>
              <w:t>6</w:t>
            </w:r>
          </w:p>
        </w:tc>
        <w:tc>
          <w:tcPr>
            <w:shd w:val="clear" w:color="auto" w:fill="F2F5F9"/>
          </w:tcPr>
          <w:p w14:paraId="244303B3">
            <w:pPr>
              <w:pStyle w:val="26"/>
              <w:jc w:val="left"/>
            </w:pPr>
            <w:r>
              <w:rPr>
                <w:sz w:val="20"/>
                <w:szCs w:val="20"/>
              </w:rPr>
              <w:t>What happens to the team left behind</w:t>
            </w:r>
          </w:p>
        </w:tc>
        <w:tc>
          <w:tcPr>
            <w:shd w:val="clear" w:color="auto" w:fill="F2F5F9"/>
          </w:tcPr>
          <w:p w14:paraId="783197EA">
            <w:pPr>
              <w:pStyle w:val="26"/>
              <w:jc w:val="left"/>
            </w:pPr>
            <w:r>
              <w:rPr>
                <w:sz w:val="20"/>
                <w:szCs w:val="20"/>
              </w:rPr>
              <w:t>14–15</w:t>
            </w:r>
          </w:p>
        </w:tc>
        <w:tc>
          <w:tcPr>
            <w:shd w:val="clear" w:color="auto" w:fill="F2F5F9"/>
          </w:tcPr>
          <w:p w14:paraId="2EDDFBC7">
            <w:pPr>
              <w:pStyle w:val="26"/>
              <w:jc w:val="left"/>
            </w:pPr>
            <w:r>
              <w:rPr>
                <w:sz w:val="20"/>
                <w:szCs w:val="20"/>
              </w:rPr>
              <w:t>Establish observable operational impact</w:t>
            </w:r>
          </w:p>
        </w:tc>
        <w:tc>
          <w:tcPr>
            <w:shd w:val="clear" w:color="auto" w:fill="F2F5F9"/>
          </w:tcPr>
          <w:p w14:paraId="5E49318A">
            <w:pPr>
              <w:pStyle w:val="26"/>
              <w:jc w:val="left"/>
            </w:pPr>
            <w:r>
              <w:rPr>
                <w:sz w:val="20"/>
                <w:szCs w:val="20"/>
              </w:rPr>
              <w:t>H2, Branch 3</w:t>
            </w:r>
          </w:p>
        </w:tc>
      </w:tr>
      <w:tr w14:paraId="4DA81F9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DBFE43B">
            <w:pPr>
              <w:pStyle w:val="26"/>
              <w:jc w:val="left"/>
            </w:pPr>
            <w:r>
              <w:rPr>
                <w:sz w:val="20"/>
                <w:szCs w:val="20"/>
              </w:rPr>
              <w:t>7</w:t>
            </w:r>
          </w:p>
        </w:tc>
        <w:tc>
          <w:p w14:paraId="63A20311">
            <w:pPr>
              <w:pStyle w:val="26"/>
              <w:jc w:val="left"/>
            </w:pPr>
            <w:r>
              <w:rPr>
                <w:sz w:val="20"/>
                <w:szCs w:val="20"/>
              </w:rPr>
              <w:t>The cost, and whether anyone sees it</w:t>
            </w:r>
          </w:p>
        </w:tc>
        <w:tc>
          <w:p w14:paraId="76A31647">
            <w:pPr>
              <w:pStyle w:val="26"/>
              <w:jc w:val="left"/>
            </w:pPr>
            <w:r>
              <w:rPr>
                <w:sz w:val="20"/>
                <w:szCs w:val="20"/>
              </w:rPr>
              <w:t>16–20</w:t>
            </w:r>
          </w:p>
        </w:tc>
        <w:tc>
          <w:p w14:paraId="51D19AB0">
            <w:pPr>
              <w:pStyle w:val="26"/>
              <w:jc w:val="left"/>
            </w:pPr>
            <w:r>
              <w:rPr>
                <w:sz w:val="20"/>
                <w:szCs w:val="20"/>
              </w:rPr>
              <w:t>Size the gap and find a defensible way to isolate it</w:t>
            </w:r>
          </w:p>
        </w:tc>
        <w:tc>
          <w:p w14:paraId="5F1D41D8">
            <w:pPr>
              <w:pStyle w:val="26"/>
              <w:jc w:val="left"/>
            </w:pPr>
            <w:r>
              <w:rPr>
                <w:sz w:val="20"/>
                <w:szCs w:val="20"/>
              </w:rPr>
              <w:t>H3</w:t>
            </w:r>
          </w:p>
        </w:tc>
      </w:tr>
      <w:tr w14:paraId="30439805">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7BD4D8B4">
            <w:pPr>
              <w:pStyle w:val="26"/>
              <w:jc w:val="left"/>
            </w:pPr>
            <w:r>
              <w:rPr>
                <w:sz w:val="20"/>
                <w:szCs w:val="20"/>
              </w:rPr>
              <w:t>8</w:t>
            </w:r>
          </w:p>
        </w:tc>
        <w:tc>
          <w:tcPr>
            <w:shd w:val="clear" w:color="auto" w:fill="F2F5F9"/>
          </w:tcPr>
          <w:p w14:paraId="543C68DA">
            <w:pPr>
              <w:pStyle w:val="26"/>
              <w:jc w:val="left"/>
            </w:pPr>
            <w:r>
              <w:rPr>
                <w:sz w:val="20"/>
                <w:szCs w:val="20"/>
              </w:rPr>
              <w:t>Who owns this</w:t>
            </w:r>
          </w:p>
        </w:tc>
        <w:tc>
          <w:tcPr>
            <w:shd w:val="clear" w:color="auto" w:fill="F2F5F9"/>
          </w:tcPr>
          <w:p w14:paraId="6F0A4D6B">
            <w:pPr>
              <w:pStyle w:val="26"/>
              <w:jc w:val="left"/>
            </w:pPr>
            <w:r>
              <w:rPr>
                <w:sz w:val="20"/>
                <w:szCs w:val="20"/>
              </w:rPr>
              <w:t>21–23</w:t>
            </w:r>
          </w:p>
        </w:tc>
        <w:tc>
          <w:tcPr>
            <w:shd w:val="clear" w:color="auto" w:fill="F2F5F9"/>
          </w:tcPr>
          <w:p w14:paraId="239F0129">
            <w:pPr>
              <w:pStyle w:val="26"/>
              <w:jc w:val="left"/>
            </w:pPr>
            <w:r>
              <w:rPr>
                <w:sz w:val="20"/>
                <w:szCs w:val="20"/>
              </w:rPr>
              <w:t>Test whether anyone owns or measures the outcome</w:t>
            </w:r>
          </w:p>
        </w:tc>
        <w:tc>
          <w:tcPr>
            <w:shd w:val="clear" w:color="auto" w:fill="F2F5F9"/>
          </w:tcPr>
          <w:p w14:paraId="550E7EC7">
            <w:pPr>
              <w:pStyle w:val="26"/>
              <w:jc w:val="left"/>
            </w:pPr>
            <w:r>
              <w:rPr>
                <w:b/>
                <w:bCs/>
                <w:sz w:val="20"/>
                <w:szCs w:val="20"/>
              </w:rPr>
              <w:t>H4</w:t>
            </w:r>
          </w:p>
        </w:tc>
      </w:tr>
      <w:tr w14:paraId="679B6CB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611C875F">
            <w:pPr>
              <w:pStyle w:val="26"/>
              <w:jc w:val="left"/>
            </w:pPr>
            <w:r>
              <w:rPr>
                <w:sz w:val="20"/>
                <w:szCs w:val="20"/>
              </w:rPr>
              <w:t>9</w:t>
            </w:r>
          </w:p>
        </w:tc>
        <w:tc>
          <w:p w14:paraId="70216703">
            <w:pPr>
              <w:pStyle w:val="26"/>
              <w:jc w:val="left"/>
            </w:pPr>
            <w:r>
              <w:rPr>
                <w:sz w:val="20"/>
                <w:szCs w:val="20"/>
              </w:rPr>
              <w:t>What would fix it</w:t>
            </w:r>
          </w:p>
        </w:tc>
        <w:tc>
          <w:p w14:paraId="08BEA5EC">
            <w:pPr>
              <w:pStyle w:val="26"/>
              <w:jc w:val="left"/>
            </w:pPr>
            <w:r>
              <w:rPr>
                <w:sz w:val="20"/>
                <w:szCs w:val="20"/>
              </w:rPr>
              <w:t>24–26</w:t>
            </w:r>
          </w:p>
        </w:tc>
        <w:tc>
          <w:p w14:paraId="6989228D">
            <w:pPr>
              <w:pStyle w:val="26"/>
              <w:jc w:val="left"/>
            </w:pPr>
            <w:r>
              <w:rPr>
                <w:sz w:val="20"/>
                <w:szCs w:val="20"/>
              </w:rPr>
              <w:t>Test what would work inside Spark’s constraints</w:t>
            </w:r>
          </w:p>
        </w:tc>
        <w:tc>
          <w:p w14:paraId="699CC07E">
            <w:pPr>
              <w:pStyle w:val="26"/>
              <w:jc w:val="left"/>
            </w:pPr>
            <w:r>
              <w:rPr>
                <w:sz w:val="20"/>
                <w:szCs w:val="20"/>
              </w:rPr>
              <w:t>Solution tree</w:t>
            </w:r>
          </w:p>
        </w:tc>
      </w:tr>
      <w:tr w14:paraId="5E9134C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7B1B0E65">
            <w:pPr>
              <w:pStyle w:val="26"/>
              <w:jc w:val="left"/>
            </w:pPr>
            <w:r>
              <w:rPr>
                <w:sz w:val="20"/>
                <w:szCs w:val="20"/>
              </w:rPr>
              <w:t>10</w:t>
            </w:r>
          </w:p>
        </w:tc>
        <w:tc>
          <w:tcPr>
            <w:shd w:val="clear" w:color="auto" w:fill="F2F5F9"/>
          </w:tcPr>
          <w:p w14:paraId="76E04C9B">
            <w:pPr>
              <w:pStyle w:val="26"/>
              <w:jc w:val="left"/>
            </w:pPr>
            <w:r>
              <w:rPr>
                <w:sz w:val="20"/>
                <w:szCs w:val="20"/>
              </w:rPr>
              <w:t>Closing</w:t>
            </w:r>
          </w:p>
        </w:tc>
        <w:tc>
          <w:tcPr>
            <w:shd w:val="clear" w:color="auto" w:fill="F2F5F9"/>
          </w:tcPr>
          <w:p w14:paraId="69A0D018">
            <w:pPr>
              <w:pStyle w:val="26"/>
              <w:jc w:val="left"/>
            </w:pPr>
            <w:r>
              <w:rPr>
                <w:sz w:val="20"/>
                <w:szCs w:val="20"/>
              </w:rPr>
              <w:t>27–28</w:t>
            </w:r>
          </w:p>
        </w:tc>
        <w:tc>
          <w:tcPr>
            <w:shd w:val="clear" w:color="auto" w:fill="F2F5F9"/>
          </w:tcPr>
          <w:p w14:paraId="37ECA503">
            <w:pPr>
              <w:pStyle w:val="26"/>
              <w:jc w:val="left"/>
            </w:pPr>
            <w:r>
              <w:rPr>
                <w:sz w:val="20"/>
                <w:szCs w:val="20"/>
              </w:rPr>
              <w:t>Significance rating and what the guide missed</w:t>
            </w:r>
          </w:p>
        </w:tc>
        <w:tc>
          <w:tcPr>
            <w:shd w:val="clear" w:color="auto" w:fill="F2F5F9"/>
          </w:tcPr>
          <w:p w14:paraId="6C8D2796">
            <w:pPr>
              <w:pStyle w:val="26"/>
              <w:jc w:val="left"/>
            </w:pPr>
            <w:r>
              <w:rPr>
                <w:sz w:val="20"/>
                <w:szCs w:val="20"/>
              </w:rPr>
              <w:t>—</w:t>
            </w:r>
          </w:p>
        </w:tc>
      </w:tr>
      <w:bookmarkEnd w:id="39"/>
    </w:tbl>
    <w:p w14:paraId="0FE95BE8">
      <w:pPr>
        <w:pStyle w:val="4"/>
      </w:pPr>
      <w:bookmarkStart w:id="40" w:name="_Toc7049"/>
      <w:bookmarkStart w:id="41" w:name="briefing-issued-with-the-guide"/>
      <w:r>
        <w:rPr>
          <w:color w:val="1F3864"/>
        </w:rPr>
        <w:t>5.2 Briefing issued with the guide</w:t>
      </w:r>
      <w:bookmarkEnd w:id="40"/>
    </w:p>
    <w:p w14:paraId="5EAA2AFC">
      <w:pPr>
        <w:pStyle w:val="25"/>
      </w:pPr>
      <w:r>
        <w:t>The following is sent to every respondent with the guide, so that all answers are given against the same stated facts.</w:t>
      </w:r>
    </w:p>
    <w:p w14:paraId="03880566">
      <w:pPr>
        <w:pStyle w:val="3"/>
      </w:pPr>
      <w:r>
        <w:rPr>
          <w:b/>
          <w:bCs/>
        </w:rPr>
        <w:t>Background.</w:t>
      </w:r>
      <w:r>
        <w:t xml:space="preserve"> Spark New Zealand has cut headcount from about 5,300 to about 3,847 full-time equivalents over roughly two years, under a programme aiming to take around NZ$50 million out of its labour costs. In the first half of FY26 revenue fell about 1% while EBITDAI rose 10.3% and NPAT rose 83%, on about NZ$51 million of net cost savings (Spark New Zealand, 2026a). On 31 July 2026 the company split into Connectivity and Digital Services divisions, and a strategic review of Digital Services runs to H1 FY27 (Business Scoop, 2026).</w:t>
      </w:r>
    </w:p>
    <w:p w14:paraId="4ED55EF5">
      <w:pPr>
        <w:pStyle w:val="3"/>
      </w:pPr>
      <w:r>
        <w:rPr>
          <w:b/>
          <w:bCs/>
        </w:rPr>
        <w:t>Hypothesis being tested (H1).</w:t>
      </w:r>
      <w:r>
        <w:t xml:space="preserve"> More than half of the people who left knowledge-critical roles during the FY24–FY26 cost-out did so without leaving behind a written handover that the receiving team checked and accepted before their system access was switched off.</w:t>
      </w:r>
    </w:p>
    <w:p w14:paraId="3F2E878B">
      <w:pPr>
        <w:pStyle w:val="3"/>
      </w:pPr>
      <w:r>
        <w:rPr>
          <w:b/>
          <w:bCs/>
        </w:rPr>
        <w:t>Scenario.</w:t>
      </w:r>
      <w:r>
        <w:t xml:space="preserve"> An exit is confirmed, either because someone resigns or because their role is disestablished. HR runs an offboarding checklist covering final pay, leave, returning the laptop, and switching off system access. Knowledge handover appears on that checklist as one tick-box, ticked by the line manager. There is no set template for what a handover should contain, no check beforehand of whose knowledge is critical, and no point where the receiving team confirms they got anything useful. System access is switched off on the person’s last day whether or not the handover actually happened.</w:t>
      </w:r>
    </w:p>
    <w:bookmarkEnd w:id="41"/>
    <w:p w14:paraId="495EB04C">
      <w:pPr>
        <w:pStyle w:val="4"/>
      </w:pPr>
      <w:bookmarkStart w:id="42" w:name="_Toc16481"/>
      <w:bookmarkStart w:id="43" w:name="the-guide"/>
      <w:r>
        <w:rPr>
          <w:color w:val="1F3864"/>
        </w:rPr>
        <w:t>5.3 The guide</w:t>
      </w:r>
      <w:bookmarkEnd w:id="42"/>
    </w:p>
    <w:p w14:paraId="39584451">
      <w:pPr>
        <w:pStyle w:val="25"/>
      </w:pPr>
      <w:r>
        <w:rPr>
          <w:b/>
          <w:bCs/>
        </w:rPr>
        <w:t>Section 1 — Consent</w:t>
      </w:r>
    </w:p>
    <w:p w14:paraId="75DD9E5D">
      <w:pPr>
        <w:pStyle w:val="26"/>
        <w:numPr>
          <w:ilvl w:val="0"/>
          <w:numId w:val="1"/>
        </w:numPr>
      </w:pPr>
      <w:r>
        <w:t>Are you happy for your answers to be quoted or summarised in my assignment, with your name and problem domain shown?</w:t>
      </w:r>
    </w:p>
    <w:p w14:paraId="489F7418">
      <w:pPr>
        <w:pStyle w:val="26"/>
        <w:numPr>
          <w:ilvl w:val="0"/>
          <w:numId w:val="1"/>
        </w:numPr>
      </w:pPr>
      <w:r>
        <w:t>Can you confirm your answers are based on your own analysis, general experience or public information, and don’t include anything confidential?</w:t>
      </w:r>
    </w:p>
    <w:p w14:paraId="64177651">
      <w:pPr>
        <w:pStyle w:val="25"/>
      </w:pPr>
      <w:r>
        <w:rPr>
          <w:b/>
          <w:bCs/>
        </w:rPr>
        <w:t>Section 2 — Your perspective</w:t>
      </w:r>
    </w:p>
    <w:p w14:paraId="5AC083FA">
      <w:pPr>
        <w:pStyle w:val="26"/>
        <w:numPr>
          <w:ilvl w:val="0"/>
          <w:numId w:val="2"/>
        </w:numPr>
      </w:pPr>
      <w:r>
        <w:t>What’s your problem domain, and does my problem connect to anything you’re working on? If so, where would you expect it to show up?</w:t>
      </w:r>
    </w:p>
    <w:p w14:paraId="61DD8768">
      <w:pPr>
        <w:pStyle w:val="26"/>
        <w:numPr>
          <w:ilvl w:val="0"/>
          <w:numId w:val="2"/>
        </w:numPr>
      </w:pPr>
      <w:r>
        <w:t>Which of the questions below can you answer with some confidence, and which would be more of a guess?</w:t>
      </w:r>
    </w:p>
    <w:p w14:paraId="27FC217D">
      <w:pPr>
        <w:pStyle w:val="25"/>
      </w:pPr>
      <w:r>
        <w:rPr>
          <w:b/>
          <w:bCs/>
        </w:rPr>
        <w:t>Section 3 — How the process runs today</w:t>
      </w:r>
    </w:p>
    <w:p w14:paraId="705105C8">
      <w:pPr>
        <w:pStyle w:val="26"/>
        <w:numPr>
          <w:ilvl w:val="0"/>
          <w:numId w:val="3"/>
        </w:numPr>
      </w:pPr>
      <w:r>
        <w:t>In a company the size of Spark, what would you expect to happen between the day an exit is confirmed and the person’s last day? Who does what?</w:t>
      </w:r>
    </w:p>
    <w:p w14:paraId="23278BB7">
      <w:pPr>
        <w:pStyle w:val="26"/>
        <w:numPr>
          <w:ilvl w:val="0"/>
          <w:numId w:val="3"/>
        </w:numPr>
      </w:pPr>
      <w:r>
        <w:t>Where does knowledge handover sit in that? Is it a proper step with something you have to produce at the end, or is it more informal?</w:t>
      </w:r>
    </w:p>
    <w:p w14:paraId="5966B751">
      <w:pPr>
        <w:pStyle w:val="26"/>
        <w:numPr>
          <w:ilvl w:val="0"/>
          <w:numId w:val="3"/>
        </w:numPr>
      </w:pPr>
      <w:r>
        <w:t>How much time would there usually be, and does it differ between someone resigning and someone being made redundant? Given how many people have left over the last two years, would you expect that to have changed how well the process works?</w:t>
      </w:r>
    </w:p>
    <w:p w14:paraId="1871D59C">
      <w:pPr>
        <w:pStyle w:val="25"/>
      </w:pPr>
      <w:r>
        <w:rPr>
          <w:b/>
          <w:bCs/>
        </w:rPr>
        <w:t>Section 4 — What actually gets handed over — core section for H1</w:t>
      </w:r>
    </w:p>
    <w:p w14:paraId="5A4C5783">
      <w:pPr>
        <w:pStyle w:val="26"/>
        <w:numPr>
          <w:ilvl w:val="0"/>
          <w:numId w:val="4"/>
        </w:numPr>
      </w:pPr>
      <w:r>
        <w:t>When someone leaves, what do you think physically exists at the end of it, a document, a recording, an email, a conversation, nothing?</w:t>
      </w:r>
    </w:p>
    <w:p w14:paraId="20740736">
      <w:pPr>
        <w:pStyle w:val="26"/>
        <w:numPr>
          <w:ilvl w:val="0"/>
          <w:numId w:val="4"/>
        </w:numPr>
      </w:pPr>
      <w:r>
        <w:t>Would you expect there to be a required template? What would make you think there was or wasn’t one?</w:t>
      </w:r>
    </w:p>
    <w:p w14:paraId="2E1B38C9">
      <w:pPr>
        <w:pStyle w:val="26"/>
        <w:numPr>
          <w:ilvl w:val="0"/>
          <w:numId w:val="4"/>
        </w:numPr>
      </w:pPr>
      <w:r>
        <w:t>Would anyone on the receiving side confirm they’d actually got the handover and that it was good enough? What would that confirmation look like, and roughly what share of exits do you think end with something the receiving team could really use?</w:t>
      </w:r>
    </w:p>
    <w:p w14:paraId="6354058A">
      <w:pPr>
        <w:pStyle w:val="26"/>
        <w:numPr>
          <w:ilvl w:val="0"/>
          <w:numId w:val="4"/>
        </w:numPr>
      </w:pPr>
      <w:r>
        <w:t>If the handover isn’t finished by the last day, would system access still be switched off on time? Why do you think that is?</w:t>
      </w:r>
    </w:p>
    <w:p w14:paraId="6CA35AD2">
      <w:pPr>
        <w:pStyle w:val="25"/>
      </w:pPr>
      <w:r>
        <w:rPr>
          <w:b/>
          <w:bCs/>
        </w:rPr>
        <w:t>Section 5 — Who is critical, and does anyone know</w:t>
      </w:r>
    </w:p>
    <w:p w14:paraId="0C73B185">
      <w:pPr>
        <w:pStyle w:val="26"/>
        <w:numPr>
          <w:ilvl w:val="0"/>
          <w:numId w:val="5"/>
        </w:numPr>
      </w:pPr>
      <w:r>
        <w:t>Before someone leaves, would you expect anyone to check how critical their knowledge is, or which systems only they understand? If nobody does, how does the organisation find out which exits were risky?</w:t>
      </w:r>
    </w:p>
    <w:p w14:paraId="0BE981FE">
      <w:pPr>
        <w:pStyle w:val="26"/>
        <w:numPr>
          <w:ilvl w:val="0"/>
          <w:numId w:val="5"/>
        </w:numPr>
      </w:pPr>
      <w:r>
        <w:t>If one person is the only one who understands a system, is that a risk that shows up anywhere, the accounts, a risk register, anywhere at all?</w:t>
      </w:r>
    </w:p>
    <w:p w14:paraId="4BA1B999">
      <w:pPr>
        <w:pStyle w:val="25"/>
      </w:pPr>
      <w:r>
        <w:rPr>
          <w:b/>
          <w:bCs/>
        </w:rPr>
        <w:t>Section 6 — What happens to the team left behind</w:t>
      </w:r>
    </w:p>
    <w:p w14:paraId="332B3F58">
      <w:pPr>
        <w:pStyle w:val="26"/>
        <w:numPr>
          <w:ilvl w:val="0"/>
          <w:numId w:val="6"/>
        </w:numPr>
      </w:pPr>
      <w:r>
        <w:t>When a team takes over a departed colleague’s work, what would you expect over the next few weeks, and would any of it be measurable? Which operational numbers would you look at first, and why those ones?</w:t>
      </w:r>
    </w:p>
    <w:p w14:paraId="73940C3D">
      <w:pPr>
        <w:pStyle w:val="26"/>
        <w:numPr>
          <w:ilvl w:val="0"/>
          <w:numId w:val="6"/>
        </w:numPr>
      </w:pPr>
      <w:r>
        <w:t>Would you expect anyone to contact a former employee after they’ve gone? Would that leave a trace I could actually find?</w:t>
      </w:r>
    </w:p>
    <w:p w14:paraId="0AF3D33C">
      <w:pPr>
        <w:pStyle w:val="25"/>
      </w:pPr>
      <w:r>
        <w:rPr>
          <w:b/>
          <w:bCs/>
        </w:rPr>
        <w:t>Section 7 — The cost, and whether anyone sees it</w:t>
      </w:r>
    </w:p>
    <w:p w14:paraId="06F16B4A">
      <w:pPr>
        <w:pStyle w:val="26"/>
        <w:numPr>
          <w:ilvl w:val="0"/>
          <w:numId w:val="7"/>
        </w:numPr>
      </w:pPr>
      <w:r>
        <w:t>When a company loses capability at an exit, what are the different ways it gets that capability back? Could you rank them by cost?</w:t>
      </w:r>
    </w:p>
    <w:p w14:paraId="35F11A39">
      <w:pPr>
        <w:pStyle w:val="26"/>
        <w:numPr>
          <w:ilvl w:val="0"/>
          <w:numId w:val="7"/>
        </w:numPr>
      </w:pPr>
      <w:r>
        <w:t>Where does that cost end up in the accounts? Would anyone be able to see it was caused by the exit, or does it just disappear into a general line?</w:t>
      </w:r>
    </w:p>
    <w:p w14:paraId="747E3FB4">
      <w:pPr>
        <w:pStyle w:val="26"/>
        <w:numPr>
          <w:ilvl w:val="0"/>
          <w:numId w:val="7"/>
        </w:numPr>
      </w:pPr>
      <w:r>
        <w:t xml:space="preserve">Spark reports </w:t>
      </w:r>
      <w:r>
        <w:rPr>
          <w:i/>
          <w:iCs/>
        </w:rPr>
        <w:t>net</w:t>
      </w:r>
      <w:r>
        <w:t xml:space="preserve"> cost savings of about NZ$51 million for H1 FY26. Would contractor and consultant spending normally be checked against the savings a cost programme reports? Who would do that, and would anyone own it end to end?</w:t>
      </w:r>
    </w:p>
    <w:p w14:paraId="581A392A">
      <w:pPr>
        <w:pStyle w:val="26"/>
        <w:numPr>
          <w:ilvl w:val="0"/>
          <w:numId w:val="7"/>
        </w:numPr>
      </w:pPr>
      <w:r>
        <w:t>I originally guessed that at least 30% of the labour savings had been eaten up by spending to recover lost capability. Does that sound plausible? What number would you use instead, and why?</w:t>
      </w:r>
    </w:p>
    <w:p w14:paraId="6159CB92">
      <w:pPr>
        <w:pStyle w:val="26"/>
        <w:numPr>
          <w:ilvl w:val="0"/>
          <w:numId w:val="7"/>
        </w:numPr>
      </w:pPr>
      <w:r>
        <w:t>Spark is also running 5G, satellite-to-mobile, the divisional split and the Digital Services review, all of which use contractors for normal reasons. How would I tell the difference between contractor spending that’s replacing lost capability and contractor spending that’s just project work? What tests would hold up if a CFO pushed back, and if the accounting codes can’t separate the two, what would you do instead?</w:t>
      </w:r>
    </w:p>
    <w:p w14:paraId="6453FC33">
      <w:pPr>
        <w:pStyle w:val="25"/>
      </w:pPr>
      <w:r>
        <w:rPr>
          <w:b/>
          <w:bCs/>
        </w:rPr>
        <w:t>Section 8 — Who owns this — core section for H4</w:t>
      </w:r>
    </w:p>
    <w:p w14:paraId="22A34FD3">
      <w:pPr>
        <w:pStyle w:val="26"/>
        <w:numPr>
          <w:ilvl w:val="0"/>
          <w:numId w:val="8"/>
        </w:numPr>
      </w:pPr>
      <w:r>
        <w:t>Who would be accountable for whether the knowledge actually arrived, not for running the process, but for the result?</w:t>
      </w:r>
    </w:p>
    <w:p w14:paraId="79600345">
      <w:pPr>
        <w:pStyle w:val="26"/>
        <w:numPr>
          <w:ilvl w:val="0"/>
          <w:numId w:val="8"/>
        </w:numPr>
      </w:pPr>
      <w:r>
        <w:t>Is there any report or metric where a failed handover would show up? Where, and who would see it?</w:t>
      </w:r>
    </w:p>
    <w:p w14:paraId="659CA1E0">
      <w:pPr>
        <w:pStyle w:val="26"/>
        <w:numPr>
          <w:ilvl w:val="0"/>
          <w:numId w:val="8"/>
        </w:numPr>
      </w:pPr>
      <w:r>
        <w:t>During a cost reduction, what are line managers actually measured on? Would those targets leave room for spending time on a proper handover?</w:t>
      </w:r>
    </w:p>
    <w:p w14:paraId="770D7ACD">
      <w:pPr>
        <w:pStyle w:val="25"/>
      </w:pPr>
      <w:r>
        <w:rPr>
          <w:b/>
          <w:bCs/>
        </w:rPr>
        <w:t>Section 9 — What would fix it</w:t>
      </w:r>
    </w:p>
    <w:p w14:paraId="41B8BA9A">
      <w:pPr>
        <w:pStyle w:val="26"/>
        <w:numPr>
          <w:ilvl w:val="0"/>
          <w:numId w:val="9"/>
        </w:numPr>
      </w:pPr>
      <w:r>
        <w:t>If Spark could change one thing about this process, what would you change and why that one? And what would make a change like that fail at Spark specifically, cost, workload, timing, the divisional split, something else?</w:t>
      </w:r>
    </w:p>
    <w:p w14:paraId="19B175F9">
      <w:pPr>
        <w:pStyle w:val="26"/>
        <w:numPr>
          <w:ilvl w:val="0"/>
          <w:numId w:val="9"/>
        </w:numPr>
      </w:pPr>
      <w:r>
        <w:t>I’m thinking about requiring the receiving manager to sign off before system access is switched off. Would that work in practice, or would people find a way around it? What would decide which?</w:t>
      </w:r>
    </w:p>
    <w:p w14:paraId="1C504350">
      <w:pPr>
        <w:pStyle w:val="26"/>
        <w:numPr>
          <w:ilvl w:val="0"/>
          <w:numId w:val="9"/>
        </w:numPr>
      </w:pPr>
      <w:r>
        <w:t>What would convince you it was working? And is there a number that might make it look like it was working when it wasn’t?</w:t>
      </w:r>
    </w:p>
    <w:p w14:paraId="3D49A177">
      <w:pPr>
        <w:pStyle w:val="25"/>
      </w:pPr>
      <w:r>
        <w:rPr>
          <w:b/>
          <w:bCs/>
        </w:rPr>
        <w:t>Section 10 — Closing</w:t>
      </w:r>
    </w:p>
    <w:p w14:paraId="7C2143C9">
      <w:pPr>
        <w:pStyle w:val="26"/>
        <w:numPr>
          <w:ilvl w:val="0"/>
          <w:numId w:val="10"/>
        </w:numPr>
      </w:pPr>
      <w:r>
        <w:t>On a scale of 1 to 5, how significant do you think this handover gap is for Spark? (1 = not significant, 5 = highly significant.) Please explain your rating.</w:t>
      </w:r>
    </w:p>
    <w:p w14:paraId="536D811E">
      <w:pPr>
        <w:pStyle w:val="26"/>
        <w:numPr>
          <w:ilvl w:val="0"/>
          <w:numId w:val="10"/>
        </w:numPr>
      </w:pPr>
      <w:r>
        <w:t>Is there anything important about this problem I haven’t asked you about?</w:t>
      </w:r>
    </w:p>
    <w:bookmarkEnd w:id="37"/>
    <w:bookmarkEnd w:id="43"/>
    <w:p w14:paraId="7D31772F">
      <w:pPr>
        <w:pStyle w:val="2"/>
      </w:pPr>
      <w:bookmarkStart w:id="44" w:name="_Toc16639"/>
      <w:bookmarkStart w:id="45" w:name="Xd51c70d6f53b0f0acbb72bf4dd67904bdf5d81f"/>
      <w:r>
        <w:rPr>
          <w:color w:val="1F3864"/>
        </w:rPr>
        <w:t>6. Conducting the Interviews and Analysing the Results</w:t>
      </w:r>
      <w:bookmarkEnd w:id="44"/>
    </w:p>
    <w:p w14:paraId="4ACD7795">
      <w:pPr>
        <w:pStyle w:val="25"/>
      </w:pPr>
      <w:r>
        <w:t>Two interviews were conducted against the guide in Section 5. The first was with Rae Huang, working the financial problem domain on the same client, which gives a view of the cost consequences and of how they would appear in the accounts that the organisational domain cannot supply on its own. The second was with a generative AI system, used as a synthetic expert to surface comparative practice and, more importantly, to generate disconfirming explanations that a human interview was unlikely to produce.</w:t>
      </w:r>
    </w:p>
    <w:p w14:paraId="5ABC83E5">
      <w:pPr>
        <w:pStyle w:val="3"/>
      </w:pPr>
      <w:r>
        <w:t>The two are deliberately different instruments. Rae Huang’s interview supplies domain reasoning and a competing account of where the cost sits. The GenAI interview supplies breadth of comparison and adversarial pressure on the hypothesis. Neither substitutes for the record review in Section 4; both are used to sharpen what that review has to look for.</w:t>
      </w:r>
    </w:p>
    <w:p w14:paraId="4064D28B">
      <w:pPr>
        <w:pStyle w:val="4"/>
      </w:pPr>
      <w:bookmarkStart w:id="46" w:name="_Toc11170"/>
      <w:bookmarkStart w:id="47" w:name="Xbd24504fce9ee5f83a79a84daba728c03974927"/>
      <w:r>
        <w:rPr>
          <w:color w:val="1F3864"/>
        </w:rPr>
        <w:t>6.1 Interview 1 — Rae Huang (financial problem domain)</w:t>
      </w:r>
      <w:bookmarkEnd w:id="46"/>
    </w:p>
    <w:p w14:paraId="1CD6D9A2">
      <w:pPr>
        <w:pStyle w:val="25"/>
      </w:pPr>
      <w:r>
        <w:rPr>
          <w:b/>
          <w:bCs/>
        </w:rPr>
        <w:t>Respondent: Rae Huang — Financial problem domain. Interviewer: Xuan Zeng — Organisational problem domain. Date: 24 August 2026. Format: Written response to the guide in Section 5, circulated in advance with the briefing in §5.2. Consent: Given for quotation with the respondent identified by name and problem domain (Q1). The respondent confirmed that all answers are based on her own analysis, general experience and public information, and contain nothing confidential (Q2).</w:t>
      </w:r>
      <w:r>
        <w:br w:type="textWrapping"/>
      </w:r>
      <w:r>
        <w:br w:type="textWrapping"/>
      </w:r>
      <w:r>
        <w:br w:type="textWrapping"/>
      </w:r>
      <w:r>
        <w:br w:type="textWrapping"/>
      </w:r>
    </w:p>
    <w:p w14:paraId="672EDE90">
      <w:pPr>
        <w:pStyle w:val="3"/>
      </w:pPr>
      <w:r>
        <w:t>Answers are reproduced as received. Numbering follows the guide in §5.3.</w:t>
      </w:r>
    </w:p>
    <w:p w14:paraId="7778757D">
      <w:pPr>
        <w:pStyle w:val="3"/>
      </w:pPr>
      <w:r>
        <w:rPr>
          <w:b/>
          <w:bCs/>
        </w:rPr>
        <w:t>Section 1 — Consent</w:t>
      </w:r>
    </w:p>
    <w:p w14:paraId="6DA542D4">
      <w:pPr>
        <w:pStyle w:val="3"/>
      </w:pPr>
      <w:r>
        <w:rPr>
          <w:b/>
          <w:bCs/>
        </w:rPr>
        <w:t>1. Yes, happy for my answers to be quoted or summarised, with my name and problem domain shown as “Rae Huang — Financial problem domain.”</w:t>
      </w:r>
    </w:p>
    <w:p w14:paraId="7EEA280B">
      <w:pPr>
        <w:pStyle w:val="3"/>
      </w:pPr>
      <w:r>
        <w:rPr>
          <w:b/>
          <w:bCs/>
        </w:rPr>
        <w:t>2.</w:t>
      </w:r>
      <w:r>
        <w:t xml:space="preserve"> Confirmed — based on my own analysis, general experience and public information only, nothing confidential.</w:t>
      </w:r>
    </w:p>
    <w:p w14:paraId="6365AE21">
      <w:pPr>
        <w:pStyle w:val="3"/>
      </w:pPr>
      <w:r>
        <w:rPr>
          <w:b/>
          <w:bCs/>
        </w:rPr>
        <w:t>Section 2 — Your perspective</w:t>
      </w:r>
    </w:p>
    <w:p w14:paraId="5231E269">
      <w:pPr>
        <w:pStyle w:val="3"/>
      </w:pPr>
      <w:r>
        <w:rPr>
          <w:b/>
          <w:bCs/>
        </w:rPr>
        <w:t>3.</w:t>
      </w:r>
      <w:r>
        <w:t xml:space="preserve"> My problem domain is also Financial — I’m looking at Spark’s annual mobile plan review, where customers may not get a clear, usage-based plan recommendation at renewal, which can lead to a poor-fit plan, churn risk, or lost retention value. It connects to your problem: if a departing employee’s knowledge of how a customer’s recommendation was built isn’t handed over cleanly, the team taking over renewals can’t explain or defend it, which pushes the customer back into support channels, raises their effort, and shows up again as retention/revenue risk. Different starting points, same landing spot — customer effort and revenue leakage.</w:t>
      </w:r>
    </w:p>
    <w:p w14:paraId="12BF16B0">
      <w:pPr>
        <w:pStyle w:val="3"/>
      </w:pPr>
      <w:r>
        <w:rPr>
          <w:b/>
          <w:bCs/>
        </w:rPr>
        <w:t>4.</w:t>
      </w:r>
      <w:r>
        <w:t xml:space="preserve"> I can answer Sections 3, 4 and 6 with reasonable confidence — that’s fairly standard large-company practice. Section 7 (cost and accounting) is more of an informed guess than certainty, since it depends on how Spark specifically codes contractor spend, which I don’t have visibility into.</w:t>
      </w:r>
    </w:p>
    <w:p w14:paraId="7A85E571">
      <w:pPr>
        <w:pStyle w:val="3"/>
      </w:pPr>
      <w:r>
        <w:rPr>
          <w:b/>
          <w:bCs/>
        </w:rPr>
        <w:t>Section 3 — How the process runs today</w:t>
      </w:r>
    </w:p>
    <w:p w14:paraId="6547D041">
      <w:pPr>
        <w:pStyle w:val="3"/>
      </w:pPr>
      <w:r>
        <w:rPr>
          <w:b/>
          <w:bCs/>
        </w:rPr>
        <w:t>5.</w:t>
      </w:r>
      <w:r>
        <w:t xml:space="preserve"> I’d expect HR to run a fairly mechanical checklist — final pay, leave payout, laptop return, access removal — while the line manager owns anything “soft” like the actual knowledge transfer. Nobody usually owns coordinating the two, so handover rides alongside the admin checklist rather than being tracked as its own step.</w:t>
      </w:r>
    </w:p>
    <w:p w14:paraId="1DEBD706">
      <w:pPr>
        <w:pStyle w:val="3"/>
      </w:pPr>
      <w:r>
        <w:rPr>
          <w:b/>
          <w:bCs/>
        </w:rPr>
        <w:t>6.</w:t>
      </w:r>
      <w:r>
        <w:t xml:space="preserve"> Almost certainly informal. It’s the kind of thing that shows up as a single tick-box rather than a deliverable with its own sign-off, because no one in the process is individually accountable for the quality of what’s handed over — only for the tick happening.</w:t>
      </w:r>
    </w:p>
    <w:p w14:paraId="5F9D2283">
      <w:pPr>
        <w:pStyle w:val="3"/>
      </w:pPr>
      <w:r>
        <w:rPr>
          <w:b/>
          <w:bCs/>
        </w:rPr>
        <w:t>7.</w:t>
      </w:r>
      <w:r>
        <w:t xml:space="preserve"> I’d expect 2–4 weeks for a resignation, and anywhere from immediate to very little practical notice for a redundancy, especially if the person disengages once they know their role is gone. Given how many people left during the FY24–26 cost-out, I’d expect the process to have gotten worse, not better — more parallel exits means less manager time per exit, and a cost programme is exactly when nobody wants to spend budget on transition support.</w:t>
      </w:r>
    </w:p>
    <w:p w14:paraId="6692D532">
      <w:pPr>
        <w:pStyle w:val="3"/>
      </w:pPr>
      <w:r>
        <w:rPr>
          <w:b/>
          <w:bCs/>
        </w:rPr>
        <w:t>Section 4 — What actually gets handed over</w:t>
      </w:r>
    </w:p>
    <w:p w14:paraId="0A071CF6">
      <w:pPr>
        <w:pStyle w:val="3"/>
      </w:pPr>
      <w:r>
        <w:rPr>
          <w:b/>
          <w:bCs/>
        </w:rPr>
        <w:t>8.</w:t>
      </w:r>
      <w:r>
        <w:t xml:space="preserve"> Realistically I’d guess it’s most often an email or a short document, not a recording or structured conversation. With no required template, what exists at the end depends entirely on how conscientious that specific leaver and manager were.</w:t>
      </w:r>
    </w:p>
    <w:p w14:paraId="3B207DC5">
      <w:pPr>
        <w:pStyle w:val="3"/>
      </w:pPr>
      <w:r>
        <w:rPr>
          <w:b/>
          <w:bCs/>
        </w:rPr>
        <w:t>9.</w:t>
      </w:r>
      <w:r>
        <w:t xml:space="preserve"> I wouldn’t expect a required template unless HR or a PMO specifically mandated one. The tell that there isn’t one is that no policy defines what a handover needs to contain, so every exit produces something different in quality and format.</w:t>
      </w:r>
    </w:p>
    <w:p w14:paraId="3ADE60C0">
      <w:pPr>
        <w:pStyle w:val="3"/>
      </w:pPr>
      <w:r>
        <w:rPr>
          <w:b/>
          <w:bCs/>
        </w:rPr>
        <w:t>10.</w:t>
      </w:r>
      <w:r>
        <w:t xml:space="preserve"> I doubt there’s a formal confirmation step; if there were, I’d expect it as a sign-off line on the offboarding checklist. My guess is a fairly small share — maybe 20–30% — of exits leave something the receiving team could genuinely use later, since quality depends entirely on who was leaving and how much they cared.</w:t>
      </w:r>
    </w:p>
    <w:p w14:paraId="67F2A18B">
      <w:pPr>
        <w:pStyle w:val="3"/>
      </w:pPr>
      <w:r>
        <w:rPr>
          <w:b/>
          <w:bCs/>
        </w:rPr>
        <w:t>11.</w:t>
      </w:r>
      <w:r>
        <w:t xml:space="preserve"> Yes, I’d still expect access to be switched off on time, because access removal is a security/compliance control with its own owner and deadline, independent of the handover. The handover has no equivalent deadline owner, so it’s the one that slips.</w:t>
      </w:r>
    </w:p>
    <w:p w14:paraId="248DC245">
      <w:pPr>
        <w:pStyle w:val="3"/>
      </w:pPr>
      <w:r>
        <w:rPr>
          <w:b/>
          <w:bCs/>
        </w:rPr>
        <w:t>Section 5 — Who is critical, and does anyone know</w:t>
      </w:r>
    </w:p>
    <w:p w14:paraId="55BCD032">
      <w:pPr>
        <w:pStyle w:val="3"/>
      </w:pPr>
      <w:r>
        <w:rPr>
          <w:b/>
          <w:bCs/>
        </w:rPr>
        <w:t>12.</w:t>
      </w:r>
      <w:r>
        <w:t xml:space="preserve"> I wouldn’t expect a formal criticality check before someone leaves — that needs a “who knows what” map most organisations don’t maintain. Without it, the organisation typically only discovers a risky exit was risky after the fact, when the receiving team gets stuck on something nobody else understands.</w:t>
      </w:r>
    </w:p>
    <w:p w14:paraId="3834ED35">
      <w:pPr>
        <w:pStyle w:val="3"/>
      </w:pPr>
      <w:r>
        <w:rPr>
          <w:b/>
          <w:bCs/>
        </w:rPr>
        <w:t>13.</w:t>
      </w:r>
      <w:r>
        <w:t xml:space="preserve"> Yes, eventually — but reactively, not proactively. It’d surface as a delay, an error, or a support escalation months later, not as a flagged risk beforehand. It might reach a risk register if it’s bad enough to become an incident, but I wouldn’t expect single-person-dependency risk to be tracked routinely.</w:t>
      </w:r>
    </w:p>
    <w:p w14:paraId="217B82CD">
      <w:pPr>
        <w:pStyle w:val="3"/>
      </w:pPr>
      <w:r>
        <w:rPr>
          <w:b/>
          <w:bCs/>
        </w:rPr>
        <w:t>Section 6 — What happens to the team left behind</w:t>
      </w:r>
    </w:p>
    <w:p w14:paraId="059761A1">
      <w:pPr>
        <w:pStyle w:val="3"/>
      </w:pPr>
      <w:r>
        <w:rPr>
          <w:b/>
          <w:bCs/>
        </w:rPr>
        <w:t>14.</w:t>
      </w:r>
      <w:r>
        <w:t xml:space="preserve"> I’d expect a rocky few weeks — slower turnaround, more errors, more escalations — before things stabilise. If I were looking for a measurable signal, I’d check ticket/case resolution time and rework/error rates for that team, since those move first when someone loses institutional knowledge.</w:t>
      </w:r>
    </w:p>
    <w:p w14:paraId="51033EB9">
      <w:pPr>
        <w:pStyle w:val="3"/>
      </w:pPr>
      <w:r>
        <w:rPr>
          <w:b/>
          <w:bCs/>
        </w:rPr>
        <w:t>15.</w:t>
      </w:r>
      <w:r>
        <w:t xml:space="preserve"> Occasionally, informally — a quick message or call when something urgent comes up that nobody else can solve. I wouldn’t expect that to leave much of a formal trace unless it went through a ticketing system, so it’d be hard to find evidence of it happening at scale.</w:t>
      </w:r>
    </w:p>
    <w:p w14:paraId="77C5F353">
      <w:pPr>
        <w:pStyle w:val="3"/>
      </w:pPr>
      <w:r>
        <w:rPr>
          <w:b/>
          <w:bCs/>
        </w:rPr>
        <w:t>Section 7 — The cost, and whether anyone sees it</w:t>
      </w:r>
    </w:p>
    <w:p w14:paraId="054DE594">
      <w:pPr>
        <w:pStyle w:val="3"/>
      </w:pPr>
      <w:r>
        <w:rPr>
          <w:b/>
          <w:bCs/>
        </w:rPr>
        <w:t>16.</w:t>
      </w:r>
      <w:r>
        <w:t xml:space="preserve"> Broadly three ways, roughly increasing in cost: (1) the receiving team muddles through and relearns it — slow but “free” on paper; (2) internal reassignment — pulling someone else off their normal work, an opportunity cost even without a new line item; (3) external — a contractor/consultant or faster-than-planned replacement, the most visible and most expensive option.</w:t>
      </w:r>
    </w:p>
    <w:p w14:paraId="43565EE6">
      <w:pPr>
        <w:pStyle w:val="3"/>
      </w:pPr>
      <w:r>
        <w:rPr>
          <w:b/>
          <w:bCs/>
        </w:rPr>
        <w:t>17.</w:t>
      </w:r>
      <w:r>
        <w:t xml:space="preserve"> My honest expectation is that it mostly disappears into general lines — contractor spend gets coded to the project or cost centre it supports, not tagged “caused by exit X.” Unless someone specifically investigates, the cost of lost capability is invisible in the accounts; it just shows up as a project running over budget or over time.</w:t>
      </w:r>
    </w:p>
    <w:p w14:paraId="73506367">
      <w:pPr>
        <w:pStyle w:val="3"/>
      </w:pPr>
      <w:r>
        <w:rPr>
          <w:b/>
          <w:bCs/>
        </w:rPr>
        <w:t>18.</w:t>
      </w:r>
      <w:r>
        <w:t xml:space="preserve"> In a cost programme I’d expect finance to check contractor/consultant spend against the target savings at a high level — total dollars against target — but not decomposed by cause. Ownership of “why” contractor spend moved would sit with whoever owns the P&amp;L for that cost centre, and I doubt anyone owns reconciling it end-to-end back to specific exits.</w:t>
      </w:r>
    </w:p>
    <w:p w14:paraId="17F1C9E4">
      <w:pPr>
        <w:pStyle w:val="3"/>
      </w:pPr>
      <w:r>
        <w:rPr>
          <w:b/>
          <w:bCs/>
        </w:rPr>
        <w:t>19.</w:t>
      </w:r>
      <w:r>
        <w:t xml:space="preserve"> 30% is plausible as an order of magnitude, but I’d lean lower — maybe 15–25%. Cost-out programmes are usually planned with some backfill built in, so part of that spend is expected replacement, not pure leakage; the part genuinely eaten by lost-capability recovery is probably a subset of total contractor spend, not all of it.</w:t>
      </w:r>
    </w:p>
    <w:p w14:paraId="4EA00F13">
      <w:pPr>
        <w:pStyle w:val="3"/>
      </w:pPr>
      <w:r>
        <w:rPr>
          <w:b/>
          <w:bCs/>
        </w:rPr>
        <w:t>20.</w:t>
      </w:r>
      <w:r>
        <w:t xml:space="preserve"> Honestly, from the accounting codes alone you probably can’t tell the difference — both get coded as normal contractor/project spend. What would hold up to a CFO is timing and causality: contractor spend starting right after a specific exit, in the same function, overlapping with the departed person’s role, is a much stronger signal than spend already planned as part of 5G/satellite/split work. If the codes can’t separate it, I’d triangulate instead — sample managers on why they brought in contractors and see how many cases map back to a lost person.</w:t>
      </w:r>
    </w:p>
    <w:p w14:paraId="4C02D723">
      <w:pPr>
        <w:pStyle w:val="3"/>
      </w:pPr>
      <w:r>
        <w:rPr>
          <w:b/>
          <w:bCs/>
        </w:rPr>
        <w:t>Section 8 — Who owns this</w:t>
      </w:r>
    </w:p>
    <w:p w14:paraId="6B4E4921">
      <w:pPr>
        <w:pStyle w:val="3"/>
      </w:pPr>
      <w:r>
        <w:rPr>
          <w:b/>
          <w:bCs/>
        </w:rPr>
        <w:t>21.</w:t>
      </w:r>
      <w:r>
        <w:t xml:space="preserve"> Nominally the line manager, since handover is on their checklist — but “accountable for the result” and “accountable for ticking a box” aren’t the same thing, and I doubt anyone above the manager checks the quality of what arrived. In practice, I’d say no one is accountable for the outcome, only for the step happening.</w:t>
      </w:r>
    </w:p>
    <w:p w14:paraId="26B04345">
      <w:pPr>
        <w:pStyle w:val="3"/>
      </w:pPr>
      <w:r>
        <w:rPr>
          <w:b/>
          <w:bCs/>
        </w:rPr>
        <w:t>22.</w:t>
      </w:r>
      <w:r>
        <w:t xml:space="preserve"> I doubt it. A failed handover doesn’t generate its own metric — it shows up indirectly, as team performance dipping, project delays, or higher contractor spend, and someone would have to actively connect those dots back to a handover gap. I wouldn’t expect a report where handover quality is a tracked line.</w:t>
      </w:r>
    </w:p>
    <w:p w14:paraId="2A60163F">
      <w:pPr>
        <w:pStyle w:val="3"/>
      </w:pPr>
      <w:r>
        <w:rPr>
          <w:b/>
          <w:bCs/>
        </w:rPr>
        <w:t>23.</w:t>
      </w:r>
      <w:r>
        <w:t xml:space="preserve"> Mostly cost and delivery targets — headcount reduction achieved, cost-out achieved, projects staying on schedule. Those compete directly with spending time on a proper handover, since handover time isn’t itself a measured output, so a manager under pressure has every incentive to deprioritise it.</w:t>
      </w:r>
    </w:p>
    <w:p w14:paraId="3F238DE2">
      <w:pPr>
        <w:pStyle w:val="3"/>
      </w:pPr>
      <w:r>
        <w:rPr>
          <w:b/>
          <w:bCs/>
        </w:rPr>
        <w:t>Section 9 — What would fix it</w:t>
      </w:r>
    </w:p>
    <w:p w14:paraId="426DEF76">
      <w:pPr>
        <w:pStyle w:val="3"/>
      </w:pPr>
      <w:r>
        <w:rPr>
          <w:b/>
          <w:bCs/>
        </w:rPr>
        <w:t>24.</w:t>
      </w:r>
      <w:r>
        <w:t xml:space="preserve"> I’d require the receiving team, not just the manager, to formally confirm the handover was sufficient before access is switched off — a checkpoint independent of the leaver’s own manager. It would likely fail at Spark specifically because of timing pressure: with this many parallel exits, a hard sign-off gate could easily become a bottleneck that gets waived under deadline pressure unless it carries real consequence for skipping it.</w:t>
      </w:r>
    </w:p>
    <w:p w14:paraId="30BFACAD">
      <w:pPr>
        <w:pStyle w:val="3"/>
      </w:pPr>
      <w:r>
        <w:rPr>
          <w:b/>
          <w:bCs/>
        </w:rPr>
        <w:t>25.</w:t>
      </w:r>
      <w:r>
        <w:t xml:space="preserve"> It could work, but only if the receiving manager has both a genuine incentive to say “not good enough” and enough time to assess it before the leaver’s last day. Without those two things I’d expect it to become a rubber stamp — sign-off exists but doesn’t reflect real quality, because the manager, under their own deadline pressure, approves rather than delays the exit.</w:t>
      </w:r>
    </w:p>
    <w:p w14:paraId="287C4B85">
      <w:pPr>
        <w:pStyle w:val="3"/>
      </w:pPr>
      <w:r>
        <w:rPr>
          <w:b/>
          <w:bCs/>
        </w:rPr>
        <w:t>26.</w:t>
      </w:r>
      <w:r>
        <w:t xml:space="preserve"> I’d want to see downstream numbers improve — fewer post-exit escalations, faster ramp-up for the receiving team, less contractor spend tied to gaps. A number that could look like it’s working when it isn’t: the sign-off rate itself — a high sign-off rate just shows people are ticking the box, not that the handover was actually useful.</w:t>
      </w:r>
    </w:p>
    <w:p w14:paraId="7C5504C9">
      <w:pPr>
        <w:pStyle w:val="3"/>
      </w:pPr>
      <w:r>
        <w:rPr>
          <w:b/>
          <w:bCs/>
        </w:rPr>
        <w:t>Section 10 — Closing</w:t>
      </w:r>
    </w:p>
    <w:p w14:paraId="6241A2F5">
      <w:pPr>
        <w:pStyle w:val="3"/>
      </w:pPr>
      <w:r>
        <w:rPr>
          <w:b/>
          <w:bCs/>
        </w:rPr>
        <w:t>27.</w:t>
      </w:r>
      <w:r>
        <w:t xml:space="preserve"> I’d rate it a 4 — significant, not existential. It won’t sink the company on its own, but at this scale of headcount reduction, with no template, no criticality check and no receiving-side confirmation, I’d expect it to be a real drag on delivery speed and a real, if mostly invisible, cost.</w:t>
      </w:r>
    </w:p>
    <w:p w14:paraId="307D348A">
      <w:pPr>
        <w:pStyle w:val="3"/>
      </w:pPr>
      <w:r>
        <w:rPr>
          <w:b/>
          <w:bCs/>
        </w:rPr>
        <w:t>28.</w:t>
      </w:r>
      <w:r>
        <w:t xml:space="preserve"> Worth asking: whether the divisional split (Connectivity vs Digital Services) has made this worse specifically — a split usually means some people’s roles get redefined or duplicated across two orgs, which is its own kind of “quiet exit” that a simple leaver checklist wouldn’t even capture.</w:t>
      </w:r>
    </w:p>
    <w:bookmarkEnd w:id="47"/>
    <w:p w14:paraId="1132E156">
      <w:pPr>
        <w:pStyle w:val="4"/>
      </w:pPr>
      <w:bookmarkStart w:id="48" w:name="_Toc14445"/>
      <w:bookmarkStart w:id="49" w:name="interview-2-generative-ai"/>
      <w:r>
        <w:rPr>
          <w:color w:val="1F3864"/>
        </w:rPr>
        <w:t>6.2 Interview 2 — Generative AI</w:t>
      </w:r>
      <w:bookmarkEnd w:id="48"/>
    </w:p>
    <w:p w14:paraId="0A9B93D0">
      <w:pPr>
        <w:pStyle w:val="25"/>
      </w:pPr>
      <w:r>
        <w:rPr>
          <w:b/>
          <w:bCs/>
        </w:rPr>
        <w:t>System: Claude (Anthropic), model claude-opus-5. Interviewer: Xuan Zeng. Method: The guide in §5.3 was used, condensed to questions 5 to 28. Each prompt below records the guide questions it covers. The model was instructed to answer from its own knowledge without using tools or searching, and was given no access to this report or to Rae Huang’s transcript, so that the two interviews stay independent.Purpose: To obtain comparative practice and, more importantly, to generate disconfirming explanations that Rae Huang, working the same client was unlikely to produce.Note on use: GenAI is used here as a synthetic expert. It has no access to Spark’s records and its output is treated as a hypothesis-shaping input, not as evidence about Spark. Prompts and answers are reproduced verbatim; answers are lightly trimmed for length where marked.</w:t>
      </w:r>
      <w:r>
        <w:br w:type="textWrapping"/>
      </w:r>
      <w:r>
        <w:br w:type="textWrapping"/>
      </w:r>
      <w:r>
        <w:br w:type="textWrapping"/>
      </w:r>
      <w:r>
        <w:br w:type="textWrapping"/>
      </w:r>
      <w:r>
        <w:br w:type="textWrapping"/>
      </w:r>
    </w:p>
    <w:p w14:paraId="144A9F69">
      <w:r>
        <w:pict>
          <v:rect id="_x0000_i1025" o:spt="1" style="height:1.5pt;width:0pt;" coordsize="21600,21600" o:hr="t" o:hrstd="t" o:hralign="center">
            <v:path/>
            <v:fill focussize="0,0"/>
            <v:stroke/>
            <v:imagedata o:title=""/>
            <o:lock v:ext="edit"/>
            <w10:wrap type="none"/>
            <w10:anchorlock/>
          </v:rect>
        </w:pict>
      </w:r>
    </w:p>
    <w:p w14:paraId="5A5A5242">
      <w:pPr>
        <w:pStyle w:val="25"/>
      </w:pPr>
      <w:r>
        <w:rPr>
          <w:b/>
          <w:bCs/>
        </w:rPr>
        <w:t>PROMPT 1 (guide questions 5–7).</w:t>
      </w:r>
      <w:r>
        <w:t xml:space="preserve"> </w:t>
      </w:r>
      <w:r>
        <w:rPr>
          <w:i/>
          <w:iCs/>
        </w:rPr>
        <w:t>“You are being interviewed as a subject-matter expert for a consulting engagement. The client is a listed New Zealand telecommunications company that has reduced headcount from about 5,300 to about 3,800 over two years under a NZ$50m labour cost reduction programme, and separated into two divisions in July 2026. I am examining its employee exit and knowledge handover process. First: in organisations of this type and size, how is knowledge handover at exit typically designed, and where does it usually sit relative to the administrative offboarding workflow?”</w:t>
      </w:r>
    </w:p>
    <w:p w14:paraId="375D8B13">
      <w:pPr>
        <w:pStyle w:val="3"/>
      </w:pPr>
      <w:r>
        <w:rPr>
          <w:b/>
          <w:bCs/>
        </w:rPr>
        <w:t>RESPONSE 1.</w:t>
      </w:r>
      <w:r>
        <w:t xml:space="preserve"> In organisations of this profile — listed, unionised, several thousand staff, a mature HR shared-services function — knowledge handover at exit is almost never designed as its own process. It is a field on a checklist. That is the single most important thing to understand before you go looking for it.</w:t>
      </w:r>
    </w:p>
    <w:p w14:paraId="2B6B35C6">
      <w:pPr>
        <w:pStyle w:val="3"/>
      </w:pPr>
      <w:r>
        <w:t>The typical architecture is this. Resignation or termination triggers a case in the HRIS, which fans out tasks to owners: payroll for final pay and leave accrual, IT for account deprovisioning and asset recovery, facilities for badge and locker, finance for corporate card and delegated authority, legal for restraint and confidentiality reminders, and the line manager for “handover”. Every one of those tasks except the last has a hard verification. Payroll reconciles to a number, IT can prove the account is disabled, security can prove the badge is dead. Handover is the only line item that is self-attested by the person with the least time and the least incentive to do it properly — the departing employee’s manager, who is usually also absorbing the vacancy. It is a tick-box with no artefact requirement, no quality gate, and no owner downstream who fails an audit if it is empty.</w:t>
      </w:r>
    </w:p>
    <w:p w14:paraId="6555F026">
      <w:pPr>
        <w:pStyle w:val="3"/>
      </w:pPr>
      <w:r>
        <w:t>Where it does have substance it is usually one of three forms: a handover template listing systems, contacts, in-flight work and recurring obligations; a shadowing period, which requires the successor to exist, which in a headcount reduction they usually do not; or a structured debrief, which is rare and normally reserved for a named critical role.</w:t>
      </w:r>
    </w:p>
    <w:p w14:paraId="166B863B">
      <w:pPr>
        <w:pStyle w:val="3"/>
      </w:pPr>
      <w:r>
        <w:t>Sequencing is the other structural weakness. Offboarding is engineered around the last day, because that is what the legal and payroll obligations key off. Knowledge transfer needs to happen weeks earlier, while the person still has system access, still has cognitive engagement, and has not mentally left. In a redundancy the gap widens: notice periods are often paid out or shortened, access is frequently cut on notification rather than on exit for security reasons, and the person has no incentive to invest effort in an employer that has just made them redundant. So the process nominally runs to the last day while the actual window of usable capture closed at notification.</w:t>
      </w:r>
    </w:p>
    <w:p w14:paraId="0F0CC301">
      <w:pPr>
        <w:pStyle w:val="3"/>
      </w:pPr>
      <w:r>
        <w:t>Ownership sits with HR for the workflow and the line manager for the content, and neither owns the outcome. Nobody in the org chart is accountable for whether the receiving team can actually do the work. That accountability gap, not the absence of a template, is where the loss occurs.</w:t>
      </w:r>
    </w:p>
    <w:p w14:paraId="49C97239">
      <w:r>
        <w:pict>
          <v:rect id="_x0000_i1026" o:spt="1" style="height:1.5pt;width:0pt;" coordsize="21600,21600" o:hr="t" o:hrstd="t" o:hralign="center">
            <v:path/>
            <v:fill focussize="0,0"/>
            <v:stroke/>
            <v:imagedata o:title=""/>
            <o:lock v:ext="edit"/>
            <w10:wrap type="none"/>
            <w10:anchorlock/>
          </v:rect>
        </w:pict>
      </w:r>
    </w:p>
    <w:p w14:paraId="3D51D8B8">
      <w:pPr>
        <w:pStyle w:val="25"/>
      </w:pPr>
      <w:r>
        <w:rPr>
          <w:b/>
          <w:bCs/>
        </w:rPr>
        <w:t>PROMPT 2 (guide questions 8–11).</w:t>
      </w:r>
      <w:r>
        <w:t xml:space="preserve"> </w:t>
      </w:r>
      <w:r>
        <w:rPr>
          <w:i/>
          <w:iCs/>
        </w:rPr>
        <w:t>“My key hypothesis is: more than half of the exits from knowledge-critical roles during the cost-out completed without a documented handover artefact verified by the receiving team before system access was revoked. Assess the plausibility of that hypothesis, and be specific about what would make it wrong.”</w:t>
      </w:r>
    </w:p>
    <w:p w14:paraId="4F86FAEB">
      <w:pPr>
        <w:pStyle w:val="3"/>
      </w:pPr>
      <w:r>
        <w:rPr>
          <w:b/>
          <w:bCs/>
        </w:rPr>
        <w:t>RESPONSE 2.</w:t>
      </w:r>
      <w:r>
        <w:t xml:space="preserve"> The hypothesis is highly plausible — my concern is that it is under-claimed rather than over-claimed, and that as stated it is close to unfalsifiable.</w:t>
      </w:r>
    </w:p>
    <w:p w14:paraId="2AAD24FC">
      <w:pPr>
        <w:pStyle w:val="3"/>
      </w:pPr>
      <w:r>
        <w:t>It bundles four conditions: the role was knowledge-critical, an artefact exists, the receiving team verified it, and that happened before access was revoked. The binding constraint is verification by a named receiver. In organisations of this type that step essentially does not exist as a designed control, so the honest expectation is 80–90%, not “more than half”. A hypothesis set at a threshold you will almost certainly clear tells the client little and invites the response that you defined your way to the answer. I would either raise the threshold or drop to the two clauses that are genuinely contestable: artefact existence, and timing relative to access revocation.</w:t>
      </w:r>
    </w:p>
    <w:p w14:paraId="7042ACB0">
      <w:pPr>
        <w:pStyle w:val="3"/>
      </w:pPr>
      <w:r>
        <w:t>Three things would make it wrong.</w:t>
      </w:r>
    </w:p>
    <w:p w14:paraId="1B065C74">
      <w:pPr>
        <w:pStyle w:val="3"/>
      </w:pPr>
      <w:r>
        <w:t>First, a pre-existing critical-role register. Telcos often maintain one for network engineering, OSS/BSS, spectrum and regulatory, and legacy billing platforms. If that register existed before the programme and drove a separate managed path — retention payments, extended notice, named successors, transition plans gated on severance sign-off — then compliance within your target population could be genuinely high, and the hypothesis fails precisely where it aims. Ask whether the NZ$50m programme had a transition office, and whether knowledge transfer was a condition of any exit approval.</w:t>
      </w:r>
    </w:p>
    <w:p w14:paraId="664D84D3">
      <w:pPr>
        <w:pStyle w:val="3"/>
      </w:pPr>
      <w:r>
        <w:t>Second, the definition of “documented”. Much operational knowledge in a telco lives in runbooks, Confluence, Jira and change records that predate the exit. If the receiving team could work from existing documentation, an absent exit artefact may not represent loss. Conversely, mailboxes and drives are usually retained after account disablement, so “access revoked” is rarely the same as “knowledge unreachable”.</w:t>
      </w:r>
    </w:p>
    <w:p w14:paraId="2A1D9F0F">
      <w:pPr>
        <w:pStyle w:val="3"/>
      </w:pPr>
      <w:r>
        <w:t>Third, outcome evidence. If P1 volumes, MTTR, change failure rate, vendor and contractor re-engagement spend, and audit findings did not move across the period, the loss is smaller than the process gap implies.</w:t>
      </w:r>
    </w:p>
    <w:p w14:paraId="254C8933">
      <w:pPr>
        <w:pStyle w:val="3"/>
      </w:pPr>
      <w:r>
        <w:t>Two cautions. HRIS completion data will show high tick-box compliance and prove nothing — this must be tested by artefact-level sampling with timestamps, not workflow status. And voluntary regretted attrition during a cost-out is often where the real damage sits; those leavers have no successor and the least incentive to document. Separately, the July 2026 divisional split moved knowledge without any exit event at all, which your hypothesis does not capture and probably should.</w:t>
      </w:r>
    </w:p>
    <w:p w14:paraId="61B02053">
      <w:r>
        <w:pict>
          <v:rect id="_x0000_i1027" o:spt="1" style="height:1.5pt;width:0pt;" coordsize="21600,21600" o:hr="t" o:hrstd="t" o:hralign="center">
            <v:path/>
            <v:fill focussize="0,0"/>
            <v:stroke/>
            <v:imagedata o:title=""/>
            <o:lock v:ext="edit"/>
            <w10:wrap type="none"/>
            <w10:anchorlock/>
          </v:rect>
        </w:pict>
      </w:r>
    </w:p>
    <w:p w14:paraId="589421DE">
      <w:pPr>
        <w:pStyle w:val="25"/>
      </w:pPr>
      <w:r>
        <w:rPr>
          <w:b/>
          <w:bCs/>
        </w:rPr>
        <w:t>PROMPT 3 (guide questions 12–15).</w:t>
      </w:r>
      <w:r>
        <w:t xml:space="preserve"> </w:t>
      </w:r>
      <w:r>
        <w:rPr>
          <w:i/>
          <w:iCs/>
        </w:rPr>
        <w:t>“How do organisations that handle this well identify knowledge-critical roles before exit, and what does the receiving team’s experience look like when the handover fails?”</w:t>
      </w:r>
    </w:p>
    <w:p w14:paraId="75BD7A6A">
      <w:pPr>
        <w:pStyle w:val="3"/>
      </w:pPr>
      <w:r>
        <w:rPr>
          <w:b/>
          <w:bCs/>
        </w:rPr>
        <w:t>RESPONSE 3.</w:t>
      </w:r>
      <w:r>
        <w:t xml:space="preserve"> </w:t>
      </w:r>
      <w:r>
        <w:rPr>
          <w:i/>
          <w:iCs/>
        </w:rPr>
        <w:t>(abridged)</w:t>
      </w:r>
      <w:r>
        <w:t xml:space="preserve"> The organisations that do this well separate criticality from seniority, and identify continuously rather than at exit. By the time someone resigns you have lost your leverage.</w:t>
      </w:r>
    </w:p>
    <w:p w14:paraId="47818C7F">
      <w:pPr>
        <w:pStyle w:val="3"/>
      </w:pPr>
      <w:r>
        <w:t>The method is evidential rather than opinion-based. Managers asked “who is critical?” name their best performers. Instead, derive concentration from operational data: who is named on change approvals, who gets paged for which alert classes, who holds privileged access no one else holds, who is sole signatory on a vendor contract, who owns a regulatory obligation. Access and entitlement data is particularly good because it is factual and already collected for audit. That produces a tiered criticality register, held by operational risk rather than HR so that it inherits risk discipline. The control in a cost-out is to run the proposed exit population against the register before selection is finalised, and that is the step that gets skipped.</w:t>
      </w:r>
    </w:p>
    <w:p w14:paraId="6F05474A">
      <w:pPr>
        <w:pStyle w:val="3"/>
      </w:pPr>
      <w:r>
        <w:t>The receiving team’s experience of failure is consistently underestimated, because it is not experienced as knowledge loss. It is silent for weeks, then surfaces at a change window, a major incident, an audit or a contract renewal. The signatures are recognisable: people ringing former colleagues on personal mobiles; engineers reverse-engineering intent from production configuration; a system nobody will touch, so a change freeze becomes permanent by default; MTTR rising on a narrow class of incidents. Vendors and returning contractors fill the gap, often the same individuals at two to three times cost.</w:t>
      </w:r>
    </w:p>
    <w:p w14:paraId="362E7A64">
      <w:pPr>
        <w:pStyle w:val="3"/>
      </w:pPr>
      <w:r>
        <w:t>Critically, none of it is ever logged as a handover failure. It is logged as an incident, a delay, or a cost overrun. The feedback loop is broken, which is exactly why the failure repeats.</w:t>
      </w:r>
    </w:p>
    <w:p w14:paraId="765B7505">
      <w:r>
        <w:pict>
          <v:rect id="_x0000_i1028" o:spt="1" style="height:1.5pt;width:0pt;" coordsize="21600,21600" o:hr="t" o:hrstd="t" o:hralign="center">
            <v:path/>
            <v:fill focussize="0,0"/>
            <v:stroke/>
            <v:imagedata o:title=""/>
            <o:lock v:ext="edit"/>
            <w10:wrap type="none"/>
            <w10:anchorlock/>
          </v:rect>
        </w:pict>
      </w:r>
    </w:p>
    <w:p w14:paraId="53A594A5">
      <w:pPr>
        <w:pStyle w:val="25"/>
      </w:pPr>
      <w:r>
        <w:rPr>
          <w:b/>
          <w:bCs/>
        </w:rPr>
        <w:t>PROMPT 4 (guide questions 21–23).</w:t>
      </w:r>
      <w:r>
        <w:t xml:space="preserve"> </w:t>
      </w:r>
      <w:r>
        <w:rPr>
          <w:i/>
          <w:iCs/>
        </w:rPr>
        <w:t>“What is the root cause here — the absence of a template, the absence of a measure, or something else?”</w:t>
      </w:r>
    </w:p>
    <w:p w14:paraId="3C9837AB">
      <w:pPr>
        <w:pStyle w:val="3"/>
      </w:pPr>
      <w:r>
        <w:rPr>
          <w:b/>
          <w:bCs/>
        </w:rPr>
        <w:t>RESPONSE 4.</w:t>
      </w:r>
      <w:r>
        <w:t xml:space="preserve"> Neither. A template is an artefact and a measure is a number; the thing that is actually missing is a counterparty.</w:t>
      </w:r>
    </w:p>
    <w:p w14:paraId="515727B5">
      <w:pPr>
        <w:pStyle w:val="3"/>
      </w:pPr>
      <w:r>
        <w:t>Every other task on an offboarding checklist has someone downstream who bears an immediate, attributable cost if it is not done. Payroll bears a legal breach. IT bears an audit or security finding. Finance bears an unreconciled card. Each of those parties has standing to refuse to close the exit. Knowledge handover has no such party. Its cost lands on a different team, months later, in an unattributed form — an incident, a delay, a contractor invoice. It is a textbook externality: the person who controls the decision does not bear the consequence of it.</w:t>
      </w:r>
    </w:p>
    <w:p w14:paraId="2B34A892">
      <w:pPr>
        <w:pStyle w:val="3"/>
      </w:pPr>
      <w:r>
        <w:t>That explains why the obvious fixes fail. Give a manager a template with no counterparty and you get a completed template of no value — compliance theatre, filled in on the last afternoon. Introduce a measure and, absent a claimant, it becomes a completion rate that reads 98% and tells you nothing, because the person reporting it is the person being measured.</w:t>
      </w:r>
    </w:p>
    <w:p w14:paraId="6BD762F5">
      <w:pPr>
        <w:pStyle w:val="3"/>
      </w:pPr>
      <w:r>
        <w:t>Two aggravating factors in this specific case. First, the programme’s objective function is a number and a date. Knowledge transfer consumes time and money in exactly the period the savings are being booked, so it is structurally the first thing traded away, not through negligence but through arithmetic. Second, the July 2026 separation destroys the receiving party itself: teams that would have inherited the work were themselves being reconstituted, so even where a receiver existed on paper, there was often no stable entity to hand to.</w:t>
      </w:r>
    </w:p>
    <w:p w14:paraId="0BCD2756">
      <w:pPr>
        <w:pStyle w:val="3"/>
      </w:pPr>
      <w:r>
        <w:t>The implication for the client is that the remedy is not a better form. It is manufacturing a counterparty: name the receiver for each critical role’s obligations, make that receiver’s acceptance the completion event rather than the manager’s tick, and place it before access revocation with final approval gated on it. Everything else follows from that one structural change.</w:t>
      </w:r>
    </w:p>
    <w:p w14:paraId="2693C861">
      <w:r>
        <w:pict>
          <v:rect id="_x0000_i1029" o:spt="1" style="height:1.5pt;width:0pt;" coordsize="21600,21600" o:hr="t" o:hrstd="t" o:hralign="center">
            <v:path/>
            <v:fill focussize="0,0"/>
            <v:stroke/>
            <v:imagedata o:title=""/>
            <o:lock v:ext="edit"/>
            <w10:wrap type="none"/>
            <w10:anchorlock/>
          </v:rect>
        </w:pict>
      </w:r>
    </w:p>
    <w:p w14:paraId="688D0897">
      <w:pPr>
        <w:pStyle w:val="25"/>
      </w:pPr>
      <w:r>
        <w:rPr>
          <w:b/>
          <w:bCs/>
        </w:rPr>
        <w:t>PROMPT 5 (guide questions 24–26).</w:t>
      </w:r>
      <w:r>
        <w:t xml:space="preserve"> </w:t>
      </w:r>
      <w:r>
        <w:rPr>
          <w:i/>
          <w:iCs/>
        </w:rPr>
        <w:t>“Propose the intervention with the best ratio of impact to implementation cost, given a company under active cost pressure that cannot add headcount or platforms. Then argue against your own proposal.”</w:t>
      </w:r>
    </w:p>
    <w:p w14:paraId="12C568FF">
      <w:pPr>
        <w:pStyle w:val="3"/>
      </w:pPr>
      <w:r>
        <w:rPr>
          <w:b/>
          <w:bCs/>
        </w:rPr>
        <w:t>RESPONSE 5.</w:t>
      </w:r>
      <w:r>
        <w:t xml:space="preserve"> </w:t>
      </w:r>
      <w:r>
        <w:rPr>
          <w:b/>
          <w:bCs/>
        </w:rPr>
        <w:t>The proposal: change who closes the exit, for a small population only.</w:t>
      </w:r>
      <w:r>
        <w:t xml:space="preserve"> Zero headcount, zero platform. Three moves inside the existing workflow.</w:t>
      </w:r>
    </w:p>
    <w:p w14:paraId="400723DE">
      <w:pPr>
        <w:pStyle w:val="3"/>
      </w:pPr>
      <w:r>
        <w:t>First, derive the critical population from data already held — privileged access entitlements, on-call rosters, change-approval records, sole vendor signatories, named regulatory owners. A quarterly export, maintained by operational risk in a spreadsheet. It will be small; typically five to eight percent of roles.</w:t>
      </w:r>
    </w:p>
    <w:p w14:paraId="2597A014">
      <w:pPr>
        <w:pStyle w:val="3"/>
      </w:pPr>
      <w:r>
        <w:t>Second, for that population only, move the completion event from delivery to acceptance. The exit does not close because the manager ticks “handover complete”; it closes because a named receiving individual confirms they have what they need. One named person, not a team. The artefact is deliberately thin — a one-page obligations sheet covering what recurs, what breaks, who to call, what is undocumented, what decisions are pending. Ninety minutes, live, with the receiver in the room.</w:t>
      </w:r>
    </w:p>
    <w:p w14:paraId="2927B158">
      <w:pPr>
        <w:pStyle w:val="3"/>
      </w:pPr>
      <w:r>
        <w:t>Third, sequence it at notification rather than last day, and gate access revocation on it.</w:t>
      </w:r>
    </w:p>
    <w:p w14:paraId="794872E1">
      <w:pPr>
        <w:pStyle w:val="3"/>
      </w:pPr>
      <w:r>
        <w:t>The real mechanism is the escalation path. Where no receiver can be named, that becomes a written risk acceptance signed by a divisional lead and reported to the risk committee. You are not forcing handover. You are forcing the organisation to consciously own the loss instead of absorbing it silently.</w:t>
      </w:r>
    </w:p>
    <w:p w14:paraId="7235A73B">
      <w:pPr>
        <w:pStyle w:val="3"/>
      </w:pPr>
      <w:r>
        <w:rPr>
          <w:b/>
          <w:bCs/>
        </w:rPr>
        <w:t>Now the case against it.</w:t>
      </w:r>
    </w:p>
    <w:p w14:paraId="65540A63">
      <w:pPr>
        <w:pStyle w:val="3"/>
      </w:pPr>
      <w:r>
        <w:t>It inserts a gate into a process whose entire purpose is speed, during a programme committed to a run-rate reduction on a deadline. Gates in cost-out programmes get overridden, and every override teaches the organisation the gate is optional. Within two cycles it is another checkbox — I would have reproduced precisely the failure I diagnosed, having spent political capital on a policy change.</w:t>
      </w:r>
    </w:p>
    <w:p w14:paraId="11F88930">
      <w:pPr>
        <w:pStyle w:val="3"/>
      </w:pPr>
      <w:r>
        <w:t>The waiver is the worse problem. One signature versus ninety minutes of two people’s time is not a fair contest; the waiver becomes the default path. I would then have built an efficient machine for generating documented risk acceptances — arguably worse than the status quo, because it converts a quiet operational problem into demonstrable board knowledge of accepted risk.</w:t>
      </w:r>
    </w:p>
    <w:p w14:paraId="167D81EE">
      <w:pPr>
        <w:pStyle w:val="3"/>
      </w:pPr>
      <w:r>
        <w:t>The timing move assumes cooperation. In a redundancy you cannot compel meaningful effort, and withholding severance would be unlawful and a good-faith breach under New Zealand law. So the intervention works best on voluntary, amicable exits and worst on the redundancy population it was designed for.</w:t>
      </w:r>
    </w:p>
    <w:p w14:paraId="4B3E0278">
      <w:pPr>
        <w:pStyle w:val="3"/>
      </w:pPr>
      <w:r>
        <w:t>It also assumes a receiver exists. After a headcount reduction and a divisional separation, frequently nobody is receiving — the work is absorbed or quietly dropped. No counterparty means the gate defaults to the waiver again.</w:t>
      </w:r>
    </w:p>
    <w:p w14:paraId="1F5EE432">
      <w:pPr>
        <w:pStyle w:val="3"/>
      </w:pPr>
      <w:r>
        <w:t>And it is prospective. Fifteen hundred people have already left. This prevents future loss and recovers none of what is already gone; the client’s more urgent need may be remediation.</w:t>
      </w:r>
    </w:p>
    <w:p w14:paraId="36AE3ED6">
      <w:pPr>
        <w:pStyle w:val="3"/>
      </w:pPr>
      <w:r>
        <w:rPr>
          <w:b/>
          <w:bCs/>
        </w:rPr>
        <w:t>Where that leaves me.</w:t>
      </w:r>
      <w:r>
        <w:t xml:space="preserve"> Keep it, but narrow: tier one only, perhaps 150 roles, waiver requiring a named executive and quarterly reporting to the audit and risk committee. Board visibility is the only enforcement mechanism that reliably survives a cost-out programme. Pair it with sampling of exits already made, to size what has been lost.</w:t>
      </w:r>
    </w:p>
    <w:p w14:paraId="1042783E">
      <w:r>
        <w:pict>
          <v:rect id="_x0000_i1030" o:spt="1" style="height:1.5pt;width:0pt;" coordsize="21600,21600" o:hr="t" o:hrstd="t" o:hralign="center">
            <v:path/>
            <v:fill focussize="0,0"/>
            <v:stroke/>
            <v:imagedata o:title=""/>
            <o:lock v:ext="edit"/>
            <w10:wrap type="none"/>
            <w10:anchorlock/>
          </v:rect>
        </w:pict>
      </w:r>
    </w:p>
    <w:p w14:paraId="4204C26E">
      <w:pPr>
        <w:pStyle w:val="25"/>
      </w:pPr>
      <w:r>
        <w:rPr>
          <w:b/>
          <w:bCs/>
        </w:rPr>
        <w:t>PROMPT 6 (guide question 28).</w:t>
      </w:r>
      <w:r>
        <w:t xml:space="preserve"> </w:t>
      </w:r>
      <w:r>
        <w:rPr>
          <w:i/>
          <w:iCs/>
        </w:rPr>
        <w:t>“Is there anything important about this problem that I have not asked you about?”</w:t>
      </w:r>
    </w:p>
    <w:p w14:paraId="15ACCDA8">
      <w:pPr>
        <w:pStyle w:val="3"/>
      </w:pPr>
      <w:r>
        <w:rPr>
          <w:b/>
          <w:bCs/>
        </w:rPr>
        <w:t>RESPONSE 6.</w:t>
      </w:r>
      <w:r>
        <w:t xml:space="preserve"> Five things, roughly in order of how much they would change your conclusions.</w:t>
      </w:r>
    </w:p>
    <w:p w14:paraId="03FCCEBF">
      <w:pPr>
        <w:pStyle w:val="3"/>
      </w:pPr>
      <w:r>
        <w:rPr>
          <w:b/>
          <w:bCs/>
        </w:rPr>
        <w:t>The workforce may not have shrunk — it may have moved.</w:t>
      </w:r>
      <w:r>
        <w:t xml:space="preserve"> A drop from 5,300 to 3,800 in a telco is frequently part conversion to managed services, field-services contracts and offshore vendors. If so, a meaningful share of the “lost” knowledge did not evaporate; it crossed the organisational boundary and now sits with a supplier holding a commercial interest in keeping it there. That is a lock-in and pricing exposure, not a handover failure, and it is invisible in exit data. Check whether third-party spend rose as labour cost fell.</w:t>
      </w:r>
    </w:p>
    <w:p w14:paraId="0189F1C6">
      <w:pPr>
        <w:pStyle w:val="3"/>
      </w:pPr>
      <w:r>
        <w:rPr>
          <w:b/>
          <w:bCs/>
        </w:rPr>
        <w:t>Some of the loss was intentional.</w:t>
      </w:r>
      <w:r>
        <w:t xml:space="preserve"> Cost-out programmes deliberately retire products, decommission platforms and stop doing things. Knowledge attached to work the company chose to exit is not a failure. Conflating deliberate simplification with unintended loss will inflate your finding and cost you credibility with the executive in the first meeting.</w:t>
      </w:r>
    </w:p>
    <w:p w14:paraId="66FBE2F2">
      <w:pPr>
        <w:pStyle w:val="3"/>
      </w:pPr>
      <w:r>
        <w:rPr>
          <w:b/>
          <w:bCs/>
        </w:rPr>
        <w:t>New Zealand’s legal frame shapes behaviour and your evidence.</w:t>
      </w:r>
      <w:r>
        <w:t xml:space="preserve"> Good-faith obligations under the Employment Relations Act mean restructures generate a documented consultation and selection record — a genuine evidence source you may not have considered. But personal-grievance risk also makes managers reluctant to write anything substantive about a departing person, which is an under-recognised driver of thin handover records. Separately, the Privacy Act constrains how far the company can mine former employees’ mailboxes and files to reconstruct what was lost, and union involvement may constrain how you sample individual exit records.</w:t>
      </w:r>
    </w:p>
    <w:p w14:paraId="4DF34EB9">
      <w:pPr>
        <w:pStyle w:val="3"/>
      </w:pPr>
      <w:r>
        <w:rPr>
          <w:b/>
          <w:bCs/>
        </w:rPr>
        <w:t>Regulatory service quality.</w:t>
      </w:r>
      <w:r>
        <w:t xml:space="preserve"> New Zealand telcos carry retail service quality obligations and the Commerce Commission monitors performance actively. If knowledge loss degraded fault resolution or provisioning, the consequence is not just internal cost — it is regulatory attention and, for a listed entity, a disclosure question. That reframes the engagement from HR process to board risk, which is usually where the mandate to fix it comes from.</w:t>
      </w:r>
    </w:p>
    <w:p w14:paraId="0691AD11">
      <w:pPr>
        <w:pStyle w:val="3"/>
      </w:pPr>
      <w:r>
        <w:rPr>
          <w:b/>
          <w:bCs/>
        </w:rPr>
        <w:t>The timing of the second wave.</w:t>
      </w:r>
      <w:r>
        <w:t xml:space="preserve"> Regretted voluntary attrition typically peaks six to eighteen months after a programme ends, as survivors absorb orphaned work without recognition. Given the July 2026 separation, the client is likely entering that window now. That makes the prospective fix more valuable than a purely backward-looking one, and it is the argument that gets funding in a cost-constrained environment.</w:t>
      </w:r>
    </w:p>
    <w:p w14:paraId="14BEF78D">
      <w:r>
        <w:pict>
          <v:rect id="_x0000_i1031" o:spt="1" style="height:1.5pt;width:0pt;" coordsize="21600,21600" o:hr="t" o:hrstd="t" o:hralign="center">
            <v:path/>
            <v:fill focussize="0,0"/>
            <v:stroke/>
            <v:imagedata o:title=""/>
            <o:lock v:ext="edit"/>
            <w10:wrap type="none"/>
            <w10:anchorlock/>
          </v:rect>
        </w:pict>
      </w:r>
    </w:p>
    <w:bookmarkEnd w:id="49"/>
    <w:p w14:paraId="2CEF1050">
      <w:pPr>
        <w:pStyle w:val="4"/>
      </w:pPr>
      <w:bookmarkStart w:id="50" w:name="_Toc13666"/>
      <w:bookmarkStart w:id="51" w:name="synthesis-of-the-findings"/>
      <w:r>
        <w:rPr>
          <w:color w:val="1F3864"/>
        </w:rPr>
        <w:t>6.3 Synthesis of the findings</w:t>
      </w:r>
      <w:bookmarkEnd w:id="50"/>
    </w:p>
    <w:p w14:paraId="457D5DCE">
      <w:pPr>
        <w:pStyle w:val="25"/>
      </w:pPr>
      <w:r>
        <w:t>Both transcripts were coded against the four branches of the issue tree and the four hypotheses, so that every substantive statement was assigned to a branch, to a hypothesis, or to a residual set of points the analysis had not anticipated. Each coded statement was then classified in one of three ways: convergent, where both sources reached the same conclusion without sight of each other’s answers; divergent, where they answered the same question differently; or unique, where only one source raised the point at all. That classification is what the two tables below report, and the residual set is where the disagreement over the size of the leakage and the scope point about the divisional split came from. Working to a fixed frame rather than reading the transcripts for quotable lines matters in a two-source study, because the obvious failure mode is noticing the material that confirms what the analyst already believed.</w:t>
      </w:r>
    </w:p>
    <w:p w14:paraId="1908B693">
      <w:pPr>
        <w:pStyle w:val="3"/>
      </w:pPr>
      <w:r>
        <w:t>The two interviews agree closely on how the process fails and disagree in two places, both of which change something in this report. Table 14 sets out the agreement and Table 15 sets out what each source contributed that the other did not. The disagreements are discussed after the tables, because one of them forced a hypothesis to be rewritten.</w:t>
      </w:r>
    </w:p>
    <w:p w14:paraId="461B0FE9">
      <w:pPr>
        <w:pStyle w:val="3"/>
        <w:keepNext/>
        <w:spacing w:before="80" w:after="80" w:line="240" w:lineRule="auto"/>
        <w:jc w:val="left"/>
      </w:pPr>
      <w:r>
        <w:rPr>
          <w:b/>
          <w:bCs/>
          <w:sz w:val="22"/>
          <w:szCs w:val="22"/>
        </w:rPr>
        <w:t>Table 14.</w:t>
      </w:r>
      <w:r>
        <w:rPr>
          <w:i/>
          <w:iCs/>
          <w:sz w:val="22"/>
          <w:szCs w:val="22"/>
        </w:rPr>
        <w:t xml:space="preserve"> Convergent findings across both interviews</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356"/>
        <w:gridCol w:w="2334"/>
        <w:gridCol w:w="2488"/>
        <w:gridCol w:w="2784"/>
        <w:gridCol w:w="822"/>
      </w:tblGrid>
      <w:tr w14:paraId="2A373A1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44851C13">
            <w:pPr>
              <w:pStyle w:val="26"/>
              <w:keepNext/>
              <w:jc w:val="left"/>
            </w:pPr>
            <w:r>
              <w:rPr>
                <w:b/>
                <w:bCs/>
                <w:color w:val="FFFFFF"/>
                <w:sz w:val="20"/>
                <w:szCs w:val="20"/>
              </w:rPr>
              <w:t>#</w:t>
            </w:r>
          </w:p>
        </w:tc>
        <w:tc>
          <w:tcPr>
            <w:shd w:val="clear" w:color="auto" w:fill="1F3864"/>
          </w:tcPr>
          <w:p w14:paraId="3A57008D">
            <w:pPr>
              <w:pStyle w:val="26"/>
              <w:keepNext/>
              <w:jc w:val="left"/>
            </w:pPr>
            <w:r>
              <w:rPr>
                <w:b/>
                <w:bCs/>
                <w:color w:val="FFFFFF"/>
                <w:sz w:val="20"/>
                <w:szCs w:val="20"/>
              </w:rPr>
              <w:t>Finding</w:t>
            </w:r>
          </w:p>
        </w:tc>
        <w:tc>
          <w:tcPr>
            <w:shd w:val="clear" w:color="auto" w:fill="1F3864"/>
          </w:tcPr>
          <w:p w14:paraId="2E238F70">
            <w:pPr>
              <w:pStyle w:val="26"/>
              <w:keepNext/>
              <w:jc w:val="left"/>
            </w:pPr>
            <w:r>
              <w:rPr>
                <w:b/>
                <w:bCs/>
                <w:color w:val="FFFFFF"/>
                <w:sz w:val="20"/>
                <w:szCs w:val="20"/>
              </w:rPr>
              <w:t>Rae Huang (financial)</w:t>
            </w:r>
          </w:p>
        </w:tc>
        <w:tc>
          <w:tcPr>
            <w:shd w:val="clear" w:color="auto" w:fill="1F3864"/>
          </w:tcPr>
          <w:p w14:paraId="68F5DA58">
            <w:pPr>
              <w:pStyle w:val="26"/>
              <w:keepNext/>
              <w:jc w:val="left"/>
            </w:pPr>
            <w:r>
              <w:rPr>
                <w:b/>
                <w:bCs/>
                <w:color w:val="FFFFFF"/>
                <w:sz w:val="20"/>
                <w:szCs w:val="20"/>
              </w:rPr>
              <w:t>GenAI</w:t>
            </w:r>
          </w:p>
        </w:tc>
        <w:tc>
          <w:tcPr>
            <w:shd w:val="clear" w:color="auto" w:fill="1F3864"/>
          </w:tcPr>
          <w:p w14:paraId="119C1E61">
            <w:pPr>
              <w:pStyle w:val="26"/>
              <w:keepNext/>
              <w:jc w:val="left"/>
            </w:pPr>
            <w:r>
              <w:rPr>
                <w:b/>
                <w:bCs/>
                <w:color w:val="FFFFFF"/>
                <w:sz w:val="20"/>
                <w:szCs w:val="20"/>
              </w:rPr>
              <w:t>Branch</w:t>
            </w:r>
          </w:p>
        </w:tc>
      </w:tr>
      <w:tr w14:paraId="3E13880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076A13C4">
            <w:pPr>
              <w:pStyle w:val="26"/>
              <w:keepNext/>
              <w:jc w:val="left"/>
            </w:pPr>
            <w:r>
              <w:rPr>
                <w:sz w:val="20"/>
                <w:szCs w:val="20"/>
              </w:rPr>
              <w:t>F1</w:t>
            </w:r>
          </w:p>
        </w:tc>
        <w:tc>
          <w:p w14:paraId="2D3E34B5">
            <w:pPr>
              <w:pStyle w:val="26"/>
              <w:keepNext/>
              <w:jc w:val="left"/>
            </w:pPr>
            <w:r>
              <w:rPr>
                <w:sz w:val="20"/>
                <w:szCs w:val="20"/>
              </w:rPr>
              <w:t>Handover is a tick-box with no defined output, and it is the only offboarding task with no hard verification</w:t>
            </w:r>
          </w:p>
        </w:tc>
        <w:tc>
          <w:p w14:paraId="23530653">
            <w:pPr>
              <w:pStyle w:val="26"/>
              <w:keepNext/>
              <w:jc w:val="left"/>
            </w:pPr>
            <w:r>
              <w:rPr>
                <w:sz w:val="20"/>
                <w:szCs w:val="20"/>
              </w:rPr>
              <w:t>“A single tick-box rather than a deliverable with its own sign-off” (Q6)</w:t>
            </w:r>
          </w:p>
        </w:tc>
        <w:tc>
          <w:p w14:paraId="08825DB4">
            <w:pPr>
              <w:pStyle w:val="26"/>
              <w:keepNext/>
              <w:jc w:val="left"/>
            </w:pPr>
            <w:r>
              <w:rPr>
                <w:sz w:val="20"/>
                <w:szCs w:val="20"/>
              </w:rPr>
              <w:t>“Every one of those tasks except the last has a hard verification… handover is the only line item that is self-attested” (P1)</w:t>
            </w:r>
          </w:p>
        </w:tc>
        <w:tc>
          <w:p w14:paraId="065381EE">
            <w:pPr>
              <w:pStyle w:val="26"/>
              <w:keepNext/>
              <w:jc w:val="left"/>
            </w:pPr>
            <w:r>
              <w:rPr>
                <w:sz w:val="20"/>
                <w:szCs w:val="20"/>
              </w:rPr>
              <w:t>2, 4</w:t>
            </w:r>
          </w:p>
        </w:tc>
      </w:tr>
      <w:tr w14:paraId="16B7984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008E9CED">
            <w:pPr>
              <w:pStyle w:val="26"/>
              <w:jc w:val="left"/>
            </w:pPr>
            <w:r>
              <w:rPr>
                <w:sz w:val="20"/>
                <w:szCs w:val="20"/>
              </w:rPr>
              <w:t>F2</w:t>
            </w:r>
          </w:p>
        </w:tc>
        <w:tc>
          <w:tcPr>
            <w:shd w:val="clear" w:color="auto" w:fill="F2F5F9"/>
          </w:tcPr>
          <w:p w14:paraId="5B487301">
            <w:pPr>
              <w:pStyle w:val="26"/>
              <w:jc w:val="left"/>
            </w:pPr>
            <w:r>
              <w:rPr>
                <w:sz w:val="20"/>
                <w:szCs w:val="20"/>
              </w:rPr>
              <w:t>The party who should confirm receipt has no role in the process</w:t>
            </w:r>
          </w:p>
        </w:tc>
        <w:tc>
          <w:tcPr>
            <w:shd w:val="clear" w:color="auto" w:fill="F2F5F9"/>
          </w:tcPr>
          <w:p w14:paraId="35DBD990">
            <w:pPr>
              <w:pStyle w:val="26"/>
              <w:jc w:val="left"/>
            </w:pPr>
            <w:r>
              <w:rPr>
                <w:sz w:val="20"/>
                <w:szCs w:val="20"/>
              </w:rPr>
              <w:t>“I doubt there’s a formal confirmation step” (Q10)</w:t>
            </w:r>
          </w:p>
        </w:tc>
        <w:tc>
          <w:tcPr>
            <w:shd w:val="clear" w:color="auto" w:fill="F2F5F9"/>
          </w:tcPr>
          <w:p w14:paraId="0E142509">
            <w:pPr>
              <w:pStyle w:val="26"/>
              <w:jc w:val="left"/>
            </w:pPr>
            <w:r>
              <w:rPr>
                <w:sz w:val="20"/>
                <w:szCs w:val="20"/>
              </w:rPr>
              <w:t>“Nobody in the org chart is accountable for whether the receiving team can actually do the work” (P1)</w:t>
            </w:r>
          </w:p>
        </w:tc>
        <w:tc>
          <w:tcPr>
            <w:shd w:val="clear" w:color="auto" w:fill="F2F5F9"/>
          </w:tcPr>
          <w:p w14:paraId="2B71EB22">
            <w:pPr>
              <w:pStyle w:val="26"/>
              <w:jc w:val="left"/>
            </w:pPr>
            <w:r>
              <w:rPr>
                <w:sz w:val="20"/>
                <w:szCs w:val="20"/>
              </w:rPr>
              <w:t>2, 3</w:t>
            </w:r>
          </w:p>
        </w:tc>
      </w:tr>
      <w:tr w14:paraId="4FD6C46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54593C8B">
            <w:pPr>
              <w:pStyle w:val="26"/>
              <w:jc w:val="left"/>
            </w:pPr>
            <w:r>
              <w:rPr>
                <w:sz w:val="20"/>
                <w:szCs w:val="20"/>
              </w:rPr>
              <w:t>F3</w:t>
            </w:r>
          </w:p>
        </w:tc>
        <w:tc>
          <w:p w14:paraId="35CABDD9">
            <w:pPr>
              <w:pStyle w:val="26"/>
              <w:jc w:val="left"/>
            </w:pPr>
            <w:r>
              <w:rPr>
                <w:sz w:val="20"/>
                <w:szCs w:val="20"/>
              </w:rPr>
              <w:t>Access revocation is a hard control; handover is the step that slips because it has no deadline owner</w:t>
            </w:r>
          </w:p>
        </w:tc>
        <w:tc>
          <w:p w14:paraId="2FA95D4E">
            <w:pPr>
              <w:pStyle w:val="26"/>
              <w:jc w:val="left"/>
            </w:pPr>
            <w:r>
              <w:rPr>
                <w:sz w:val="20"/>
                <w:szCs w:val="20"/>
              </w:rPr>
              <w:t>“The handover has no equivalent deadline owner, so it’s the one that slips” (Q11)</w:t>
            </w:r>
          </w:p>
        </w:tc>
        <w:tc>
          <w:p w14:paraId="504DDFBE">
            <w:pPr>
              <w:pStyle w:val="26"/>
              <w:jc w:val="left"/>
            </w:pPr>
            <w:r>
              <w:rPr>
                <w:sz w:val="20"/>
                <w:szCs w:val="20"/>
              </w:rPr>
              <w:t>Offboarding “is engineered around the last day” while the usable capture window closes earlier (P1)</w:t>
            </w:r>
          </w:p>
        </w:tc>
        <w:tc>
          <w:p w14:paraId="1924948C">
            <w:pPr>
              <w:pStyle w:val="26"/>
              <w:jc w:val="left"/>
            </w:pPr>
            <w:r>
              <w:rPr>
                <w:sz w:val="20"/>
                <w:szCs w:val="20"/>
              </w:rPr>
              <w:t>2</w:t>
            </w:r>
          </w:p>
        </w:tc>
      </w:tr>
      <w:tr w14:paraId="67177F15">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531A4A4C">
            <w:pPr>
              <w:pStyle w:val="26"/>
              <w:jc w:val="left"/>
            </w:pPr>
            <w:r>
              <w:rPr>
                <w:sz w:val="20"/>
                <w:szCs w:val="20"/>
              </w:rPr>
              <w:t>F4</w:t>
            </w:r>
          </w:p>
        </w:tc>
        <w:tc>
          <w:tcPr>
            <w:shd w:val="clear" w:color="auto" w:fill="F2F5F9"/>
          </w:tcPr>
          <w:p w14:paraId="3D023F1E">
            <w:pPr>
              <w:pStyle w:val="26"/>
              <w:jc w:val="left"/>
            </w:pPr>
            <w:r>
              <w:rPr>
                <w:sz w:val="20"/>
                <w:szCs w:val="20"/>
              </w:rPr>
              <w:t>Criticality is discovered after the fact</w:t>
            </w:r>
          </w:p>
        </w:tc>
        <w:tc>
          <w:tcPr>
            <w:shd w:val="clear" w:color="auto" w:fill="F2F5F9"/>
          </w:tcPr>
          <w:p w14:paraId="7B40479F">
            <w:pPr>
              <w:pStyle w:val="26"/>
              <w:jc w:val="left"/>
            </w:pPr>
            <w:r>
              <w:rPr>
                <w:sz w:val="20"/>
                <w:szCs w:val="20"/>
              </w:rPr>
              <w:t>“The organisation typically only discovers a risky exit was risky after the fact” (Q12)</w:t>
            </w:r>
          </w:p>
        </w:tc>
        <w:tc>
          <w:tcPr>
            <w:shd w:val="clear" w:color="auto" w:fill="F2F5F9"/>
          </w:tcPr>
          <w:p w14:paraId="774E2BED">
            <w:pPr>
              <w:pStyle w:val="26"/>
              <w:jc w:val="left"/>
            </w:pPr>
            <w:r>
              <w:rPr>
                <w:sz w:val="20"/>
                <w:szCs w:val="20"/>
              </w:rPr>
              <w:t>“By the time someone resigns you have lost your leverage” (P3)</w:t>
            </w:r>
          </w:p>
        </w:tc>
        <w:tc>
          <w:tcPr>
            <w:shd w:val="clear" w:color="auto" w:fill="F2F5F9"/>
          </w:tcPr>
          <w:p w14:paraId="0F9282CD">
            <w:pPr>
              <w:pStyle w:val="26"/>
              <w:jc w:val="left"/>
            </w:pPr>
            <w:r>
              <w:rPr>
                <w:sz w:val="20"/>
                <w:szCs w:val="20"/>
              </w:rPr>
              <w:t>2</w:t>
            </w:r>
          </w:p>
        </w:tc>
      </w:tr>
      <w:tr w14:paraId="4C868C6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38F5DD51">
            <w:pPr>
              <w:pStyle w:val="26"/>
              <w:jc w:val="left"/>
            </w:pPr>
            <w:r>
              <w:rPr>
                <w:sz w:val="20"/>
                <w:szCs w:val="20"/>
              </w:rPr>
              <w:t>F5</w:t>
            </w:r>
          </w:p>
        </w:tc>
        <w:tc>
          <w:p w14:paraId="4EE2957C">
            <w:pPr>
              <w:pStyle w:val="26"/>
              <w:jc w:val="left"/>
            </w:pPr>
            <w:r>
              <w:rPr>
                <w:sz w:val="20"/>
                <w:szCs w:val="20"/>
              </w:rPr>
              <w:t>The failure shows as rework and escalation, and is never coded back to the exit</w:t>
            </w:r>
          </w:p>
        </w:tc>
        <w:tc>
          <w:p w14:paraId="059254A2">
            <w:pPr>
              <w:pStyle w:val="26"/>
              <w:jc w:val="left"/>
            </w:pPr>
            <w:r>
              <w:rPr>
                <w:sz w:val="20"/>
                <w:szCs w:val="20"/>
              </w:rPr>
              <w:t>“Contractor spend gets coded to the project or cost centre it supports, not tagged ‘caused by exit X’” (Q17)</w:t>
            </w:r>
          </w:p>
        </w:tc>
        <w:tc>
          <w:p w14:paraId="110D3C77">
            <w:pPr>
              <w:pStyle w:val="26"/>
              <w:jc w:val="left"/>
            </w:pPr>
            <w:r>
              <w:rPr>
                <w:sz w:val="20"/>
                <w:szCs w:val="20"/>
              </w:rPr>
              <w:t>“None of it is ever logged as a handover failure. It is logged as an incident, a delay, or a cost overrun” (P3)</w:t>
            </w:r>
          </w:p>
        </w:tc>
        <w:tc>
          <w:p w14:paraId="33FD8EFA">
            <w:pPr>
              <w:pStyle w:val="26"/>
              <w:jc w:val="left"/>
            </w:pPr>
            <w:r>
              <w:rPr>
                <w:sz w:val="20"/>
                <w:szCs w:val="20"/>
              </w:rPr>
              <w:t>3, 4</w:t>
            </w:r>
          </w:p>
        </w:tc>
      </w:tr>
      <w:tr w14:paraId="6822B99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014C8BDB">
            <w:pPr>
              <w:pStyle w:val="26"/>
              <w:jc w:val="left"/>
            </w:pPr>
            <w:r>
              <w:rPr>
                <w:sz w:val="20"/>
                <w:szCs w:val="20"/>
              </w:rPr>
              <w:t>F6</w:t>
            </w:r>
          </w:p>
        </w:tc>
        <w:tc>
          <w:tcPr>
            <w:shd w:val="clear" w:color="auto" w:fill="F2F5F9"/>
          </w:tcPr>
          <w:p w14:paraId="76C3E4D2">
            <w:pPr>
              <w:pStyle w:val="26"/>
              <w:jc w:val="left"/>
            </w:pPr>
            <w:r>
              <w:rPr>
                <w:sz w:val="20"/>
                <w:szCs w:val="20"/>
              </w:rPr>
              <w:t>Manager incentives work against handover</w:t>
            </w:r>
          </w:p>
        </w:tc>
        <w:tc>
          <w:tcPr>
            <w:shd w:val="clear" w:color="auto" w:fill="F2F5F9"/>
          </w:tcPr>
          <w:p w14:paraId="5EF27C8F">
            <w:pPr>
              <w:pStyle w:val="26"/>
              <w:jc w:val="left"/>
            </w:pPr>
            <w:r>
              <w:rPr>
                <w:sz w:val="20"/>
                <w:szCs w:val="20"/>
              </w:rPr>
              <w:t>“Those compete directly with spending time on a proper handover” (Q23)</w:t>
            </w:r>
          </w:p>
        </w:tc>
        <w:tc>
          <w:tcPr>
            <w:shd w:val="clear" w:color="auto" w:fill="F2F5F9"/>
          </w:tcPr>
          <w:p w14:paraId="2111A4B1">
            <w:pPr>
              <w:pStyle w:val="26"/>
              <w:jc w:val="left"/>
            </w:pPr>
            <w:r>
              <w:rPr>
                <w:sz w:val="20"/>
                <w:szCs w:val="20"/>
              </w:rPr>
              <w:t>“Structurally the first thing traded away, not through negligence but through arithmetic” (P4)</w:t>
            </w:r>
          </w:p>
        </w:tc>
        <w:tc>
          <w:tcPr>
            <w:shd w:val="clear" w:color="auto" w:fill="F2F5F9"/>
          </w:tcPr>
          <w:p w14:paraId="522495B6">
            <w:pPr>
              <w:pStyle w:val="26"/>
              <w:jc w:val="left"/>
            </w:pPr>
            <w:r>
              <w:rPr>
                <w:sz w:val="20"/>
                <w:szCs w:val="20"/>
              </w:rPr>
              <w:t>4</w:t>
            </w:r>
          </w:p>
        </w:tc>
      </w:tr>
      <w:tr w14:paraId="29777B4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20CDAE5C">
            <w:pPr>
              <w:pStyle w:val="26"/>
              <w:jc w:val="left"/>
            </w:pPr>
            <w:r>
              <w:rPr>
                <w:sz w:val="20"/>
                <w:szCs w:val="20"/>
              </w:rPr>
              <w:t>F7</w:t>
            </w:r>
          </w:p>
        </w:tc>
        <w:tc>
          <w:p w14:paraId="2FD2D88D">
            <w:pPr>
              <w:pStyle w:val="26"/>
              <w:jc w:val="left"/>
            </w:pPr>
            <w:r>
              <w:rPr>
                <w:sz w:val="20"/>
                <w:szCs w:val="20"/>
              </w:rPr>
              <w:t>Receiver acceptance is the right intervention, and will be rubber-stamped without time, incentive and consequence</w:t>
            </w:r>
          </w:p>
        </w:tc>
        <w:tc>
          <w:p w14:paraId="56BC35DF">
            <w:pPr>
              <w:pStyle w:val="26"/>
              <w:jc w:val="left"/>
            </w:pPr>
            <w:r>
              <w:rPr>
                <w:sz w:val="20"/>
                <w:szCs w:val="20"/>
              </w:rPr>
              <w:t>“Require the receiving team, not just the manager, to formally confirm” (Q24); “I’d expect it to become a rubber stamp” (Q25)</w:t>
            </w:r>
          </w:p>
        </w:tc>
        <w:tc>
          <w:p w14:paraId="55C34C2F">
            <w:pPr>
              <w:pStyle w:val="26"/>
              <w:jc w:val="left"/>
            </w:pPr>
            <w:r>
              <w:rPr>
                <w:sz w:val="20"/>
                <w:szCs w:val="20"/>
              </w:rPr>
              <w:t>“Make that receiver’s acceptance the completion event rather than the manager’s tick” (P4); “gates in cost-out programmes get overridden” (P5)</w:t>
            </w:r>
          </w:p>
        </w:tc>
        <w:tc>
          <w:p w14:paraId="02DE0C3C">
            <w:pPr>
              <w:pStyle w:val="26"/>
              <w:jc w:val="left"/>
            </w:pPr>
            <w:r>
              <w:rPr>
                <w:sz w:val="20"/>
                <w:szCs w:val="20"/>
              </w:rPr>
              <w:t>Solution</w:t>
            </w:r>
          </w:p>
        </w:tc>
      </w:tr>
      <w:tr w14:paraId="3F135FE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31838E7D">
            <w:pPr>
              <w:pStyle w:val="26"/>
              <w:jc w:val="left"/>
            </w:pPr>
            <w:r>
              <w:rPr>
                <w:sz w:val="20"/>
                <w:szCs w:val="20"/>
              </w:rPr>
              <w:t>F8</w:t>
            </w:r>
          </w:p>
        </w:tc>
        <w:tc>
          <w:tcPr>
            <w:shd w:val="clear" w:color="auto" w:fill="F2F5F9"/>
          </w:tcPr>
          <w:p w14:paraId="0012E128">
            <w:pPr>
              <w:pStyle w:val="26"/>
              <w:jc w:val="left"/>
            </w:pPr>
            <w:r>
              <w:rPr>
                <w:sz w:val="20"/>
                <w:szCs w:val="20"/>
              </w:rPr>
              <w:t>The completion rate is the vanity metric</w:t>
            </w:r>
          </w:p>
        </w:tc>
        <w:tc>
          <w:tcPr>
            <w:shd w:val="clear" w:color="auto" w:fill="F2F5F9"/>
          </w:tcPr>
          <w:p w14:paraId="045E4C5C">
            <w:pPr>
              <w:pStyle w:val="26"/>
              <w:jc w:val="left"/>
            </w:pPr>
            <w:r>
              <w:rPr>
                <w:sz w:val="20"/>
                <w:szCs w:val="20"/>
              </w:rPr>
              <w:t>“A high sign-off rate just shows people are ticking the box” (Q26)</w:t>
            </w:r>
          </w:p>
        </w:tc>
        <w:tc>
          <w:tcPr>
            <w:shd w:val="clear" w:color="auto" w:fill="F2F5F9"/>
          </w:tcPr>
          <w:p w14:paraId="55C5F336">
            <w:pPr>
              <w:pStyle w:val="26"/>
              <w:jc w:val="left"/>
            </w:pPr>
            <w:r>
              <w:rPr>
                <w:sz w:val="20"/>
                <w:szCs w:val="20"/>
              </w:rPr>
              <w:t>“A completion rate that reads 98% and tells you nothing, because the person reporting it is the person being measured” (P4)</w:t>
            </w:r>
          </w:p>
        </w:tc>
        <w:tc>
          <w:tcPr>
            <w:shd w:val="clear" w:color="auto" w:fill="F2F5F9"/>
          </w:tcPr>
          <w:p w14:paraId="3054A85E">
            <w:pPr>
              <w:pStyle w:val="26"/>
              <w:jc w:val="left"/>
            </w:pPr>
            <w:r>
              <w:rPr>
                <w:sz w:val="20"/>
                <w:szCs w:val="20"/>
              </w:rPr>
              <w:t>Solution</w:t>
            </w:r>
          </w:p>
        </w:tc>
      </w:tr>
      <w:tr w14:paraId="6F2CD63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5553DEAF">
            <w:pPr>
              <w:pStyle w:val="26"/>
              <w:jc w:val="left"/>
            </w:pPr>
            <w:r>
              <w:rPr>
                <w:sz w:val="20"/>
                <w:szCs w:val="20"/>
              </w:rPr>
              <w:t>F9</w:t>
            </w:r>
          </w:p>
        </w:tc>
        <w:tc>
          <w:p w14:paraId="75464ED2">
            <w:pPr>
              <w:pStyle w:val="26"/>
              <w:jc w:val="left"/>
            </w:pPr>
            <w:r>
              <w:rPr>
                <w:sz w:val="20"/>
                <w:szCs w:val="20"/>
              </w:rPr>
              <w:t>The divisional split moves knowledge without any exit event</w:t>
            </w:r>
          </w:p>
        </w:tc>
        <w:tc>
          <w:p w14:paraId="0829F257">
            <w:pPr>
              <w:pStyle w:val="26"/>
              <w:jc w:val="left"/>
            </w:pPr>
            <w:r>
              <w:rPr>
                <w:sz w:val="20"/>
                <w:szCs w:val="20"/>
              </w:rPr>
              <w:t>“Its own kind of ‘quiet exit’ that a simple leaver checklist wouldn’t even capture” (Q28)</w:t>
            </w:r>
          </w:p>
        </w:tc>
        <w:tc>
          <w:p w14:paraId="6D75734F">
            <w:pPr>
              <w:pStyle w:val="26"/>
              <w:jc w:val="left"/>
            </w:pPr>
            <w:r>
              <w:rPr>
                <w:sz w:val="20"/>
                <w:szCs w:val="20"/>
              </w:rPr>
              <w:t>“The July 2026 divisional split moved knowledge without any exit event at all, which your hypothesis does not capture and probably should” (P2)</w:t>
            </w:r>
          </w:p>
        </w:tc>
        <w:tc>
          <w:p w14:paraId="1123FBE3">
            <w:pPr>
              <w:pStyle w:val="26"/>
              <w:jc w:val="left"/>
            </w:pPr>
            <w:r>
              <w:rPr>
                <w:sz w:val="20"/>
                <w:szCs w:val="20"/>
              </w:rPr>
              <w:t>Scope</w:t>
            </w:r>
          </w:p>
        </w:tc>
      </w:tr>
    </w:tbl>
    <w:p w14:paraId="1D12A3D6">
      <w:pPr>
        <w:pStyle w:val="3"/>
      </w:pPr>
      <w:r>
        <w:t>Finding F9 deserves a note of its own. Neither source was asked about the divisional split, neither could see the other’s answers, and both raised it unprompted as a population this analysis had missed. That is the strongest single piece of triangulation in the deliverable, and Section 9.3 acts on it.</w:t>
      </w:r>
    </w:p>
    <w:p w14:paraId="291BD116">
      <w:pPr>
        <w:pStyle w:val="3"/>
        <w:keepNext/>
        <w:spacing w:before="80" w:after="80" w:line="240" w:lineRule="auto"/>
        <w:jc w:val="left"/>
      </w:pPr>
      <w:r>
        <w:rPr>
          <w:b/>
          <w:bCs/>
          <w:sz w:val="22"/>
          <w:szCs w:val="22"/>
        </w:rPr>
        <w:t>Table 15.</w:t>
      </w:r>
      <w:r>
        <w:rPr>
          <w:i/>
          <w:iCs/>
          <w:sz w:val="22"/>
          <w:szCs w:val="22"/>
        </w:rPr>
        <w:t xml:space="preserve"> Unique contributions and their effect on the analysis</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788"/>
        <w:gridCol w:w="5153"/>
        <w:gridCol w:w="2843"/>
      </w:tblGrid>
      <w:tr w14:paraId="1946272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7F13EC83">
            <w:pPr>
              <w:pStyle w:val="26"/>
              <w:keepNext/>
              <w:jc w:val="left"/>
            </w:pPr>
            <w:r>
              <w:rPr>
                <w:b/>
                <w:bCs/>
                <w:color w:val="FFFFFF"/>
                <w:sz w:val="20"/>
                <w:szCs w:val="20"/>
              </w:rPr>
              <w:t>Source</w:t>
            </w:r>
          </w:p>
        </w:tc>
        <w:tc>
          <w:tcPr>
            <w:shd w:val="clear" w:color="auto" w:fill="1F3864"/>
          </w:tcPr>
          <w:p w14:paraId="5D55C7D5">
            <w:pPr>
              <w:pStyle w:val="26"/>
              <w:keepNext/>
              <w:jc w:val="left"/>
            </w:pPr>
            <w:r>
              <w:rPr>
                <w:b/>
                <w:bCs/>
                <w:color w:val="FFFFFF"/>
                <w:sz w:val="20"/>
                <w:szCs w:val="20"/>
              </w:rPr>
              <w:t>Contribution</w:t>
            </w:r>
          </w:p>
        </w:tc>
        <w:tc>
          <w:tcPr>
            <w:shd w:val="clear" w:color="auto" w:fill="1F3864"/>
          </w:tcPr>
          <w:p w14:paraId="15A3DF0E">
            <w:pPr>
              <w:pStyle w:val="26"/>
              <w:keepNext/>
              <w:jc w:val="left"/>
            </w:pPr>
            <w:r>
              <w:rPr>
                <w:b/>
                <w:bCs/>
                <w:color w:val="FFFFFF"/>
                <w:sz w:val="20"/>
                <w:szCs w:val="20"/>
              </w:rPr>
              <w:t>Effect on this deliverable</w:t>
            </w:r>
          </w:p>
        </w:tc>
      </w:tr>
      <w:tr w14:paraId="361E4C4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63334CFA">
            <w:pPr>
              <w:pStyle w:val="26"/>
              <w:keepNext/>
              <w:jc w:val="left"/>
            </w:pPr>
            <w:r>
              <w:rPr>
                <w:sz w:val="20"/>
                <w:szCs w:val="20"/>
              </w:rPr>
              <w:t>Rae Huang</w:t>
            </w:r>
          </w:p>
        </w:tc>
        <w:tc>
          <w:p w14:paraId="027CB7AE">
            <w:pPr>
              <w:pStyle w:val="26"/>
              <w:keepNext/>
              <w:jc w:val="left"/>
            </w:pPr>
            <w:r>
              <w:rPr>
                <w:sz w:val="20"/>
                <w:szCs w:val="20"/>
              </w:rPr>
              <w:t>A direct estimate for H1: only 20–30% of exits leave something the receiving team could genuinely use (Q10)</w:t>
            </w:r>
          </w:p>
        </w:tc>
        <w:tc>
          <w:p w14:paraId="7953B4A1">
            <w:pPr>
              <w:pStyle w:val="26"/>
              <w:keepNext/>
              <w:jc w:val="left"/>
            </w:pPr>
            <w:r>
              <w:rPr>
                <w:sz w:val="20"/>
                <w:szCs w:val="20"/>
              </w:rPr>
              <w:t>The only quantitative estimate obtained. Implies a 70–80% failure rate. Used in §6.4 and as the prior for the baseline in §2.1.</w:t>
            </w:r>
          </w:p>
        </w:tc>
      </w:tr>
      <w:tr w14:paraId="34E249E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487051C4">
            <w:pPr>
              <w:pStyle w:val="26"/>
              <w:jc w:val="left"/>
            </w:pPr>
            <w:r>
              <w:rPr>
                <w:sz w:val="20"/>
                <w:szCs w:val="20"/>
              </w:rPr>
              <w:t>Rae Huang</w:t>
            </w:r>
          </w:p>
        </w:tc>
        <w:tc>
          <w:tcPr>
            <w:shd w:val="clear" w:color="auto" w:fill="F2F5F9"/>
          </w:tcPr>
          <w:p w14:paraId="5971F172">
            <w:pPr>
              <w:pStyle w:val="26"/>
              <w:jc w:val="left"/>
            </w:pPr>
            <w:r>
              <w:rPr>
                <w:sz w:val="20"/>
                <w:szCs w:val="20"/>
              </w:rPr>
              <w:t>Internal reassignment as a third recovery route, carrying opportunity cost with no line item (Q16)</w:t>
            </w:r>
          </w:p>
        </w:tc>
        <w:tc>
          <w:tcPr>
            <w:shd w:val="clear" w:color="auto" w:fill="F2F5F9"/>
          </w:tcPr>
          <w:p w14:paraId="4D0C9575">
            <w:pPr>
              <w:pStyle w:val="26"/>
              <w:jc w:val="left"/>
            </w:pPr>
            <w:r>
              <w:rPr>
                <w:sz w:val="20"/>
                <w:szCs w:val="20"/>
              </w:rPr>
              <w:t>The cost model in §2.1 counts only rework and external contractors, so it is now flagged as understating the true figure.</w:t>
            </w:r>
          </w:p>
        </w:tc>
      </w:tr>
      <w:tr w14:paraId="7860D3DA">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1C08EFA5">
            <w:pPr>
              <w:pStyle w:val="26"/>
              <w:jc w:val="left"/>
            </w:pPr>
            <w:r>
              <w:rPr>
                <w:sz w:val="20"/>
                <w:szCs w:val="20"/>
              </w:rPr>
              <w:t>Rae Huang</w:t>
            </w:r>
          </w:p>
        </w:tc>
        <w:tc>
          <w:p w14:paraId="6558EF0A">
            <w:pPr>
              <w:pStyle w:val="26"/>
              <w:jc w:val="left"/>
            </w:pPr>
            <w:r>
              <w:rPr>
                <w:sz w:val="20"/>
                <w:szCs w:val="20"/>
              </w:rPr>
              <w:t>Planned backfill is not leakage (Q19); ledger codes cannot separate the two, so use timing and causality plus manager sampling (Q20)</w:t>
            </w:r>
          </w:p>
        </w:tc>
        <w:tc>
          <w:p w14:paraId="5A7D4EEB">
            <w:pPr>
              <w:pStyle w:val="26"/>
              <w:jc w:val="left"/>
            </w:pPr>
            <w:r>
              <w:rPr>
                <w:sz w:val="20"/>
                <w:szCs w:val="20"/>
              </w:rPr>
              <w:t>Rewrote H3 and rebuilt analyses 6 and 7 of the work plan (§3) and the cost link in §4.5.</w:t>
            </w:r>
          </w:p>
        </w:tc>
      </w:tr>
      <w:tr w14:paraId="24EC682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18468101">
            <w:pPr>
              <w:pStyle w:val="26"/>
              <w:jc w:val="left"/>
            </w:pPr>
            <w:r>
              <w:rPr>
                <w:sz w:val="20"/>
                <w:szCs w:val="20"/>
              </w:rPr>
              <w:t>GenAI</w:t>
            </w:r>
          </w:p>
        </w:tc>
        <w:tc>
          <w:tcPr>
            <w:shd w:val="clear" w:color="auto" w:fill="F2F5F9"/>
          </w:tcPr>
          <w:p w14:paraId="370E3611">
            <w:pPr>
              <w:pStyle w:val="26"/>
              <w:jc w:val="left"/>
            </w:pPr>
            <w:r>
              <w:rPr>
                <w:sz w:val="20"/>
                <w:szCs w:val="20"/>
              </w:rPr>
              <w:t>The counterparty framing of the root cause: handover is the only offboarding task with no downstream party who bears an attributable cost, so it is an externality rather than a documentation gap (P4)</w:t>
            </w:r>
          </w:p>
        </w:tc>
        <w:tc>
          <w:tcPr>
            <w:shd w:val="clear" w:color="auto" w:fill="F2F5F9"/>
          </w:tcPr>
          <w:p w14:paraId="5F520B70">
            <w:pPr>
              <w:pStyle w:val="26"/>
              <w:jc w:val="left"/>
            </w:pPr>
            <w:r>
              <w:rPr>
                <w:sz w:val="20"/>
                <w:szCs w:val="20"/>
              </w:rPr>
              <w:t>Adopted as the sharper statement of the root cause in §7.1. It explains the ownership gap rather than merely naming it.</w:t>
            </w:r>
          </w:p>
        </w:tc>
      </w:tr>
      <w:tr w14:paraId="03D2E5C1">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29FF2AC">
            <w:pPr>
              <w:pStyle w:val="26"/>
              <w:jc w:val="left"/>
            </w:pPr>
            <w:r>
              <w:rPr>
                <w:sz w:val="20"/>
                <w:szCs w:val="20"/>
              </w:rPr>
              <w:t>GenAI</w:t>
            </w:r>
          </w:p>
        </w:tc>
        <w:tc>
          <w:p w14:paraId="6BE9C844">
            <w:pPr>
              <w:pStyle w:val="26"/>
              <w:jc w:val="left"/>
            </w:pPr>
            <w:r>
              <w:rPr>
                <w:sz w:val="20"/>
                <w:szCs w:val="20"/>
              </w:rPr>
              <w:t>Entitlement and operational data as the criticality source, because it is factual and already collected for audit (P3)</w:t>
            </w:r>
          </w:p>
        </w:tc>
        <w:tc>
          <w:p w14:paraId="693F0485">
            <w:pPr>
              <w:pStyle w:val="26"/>
              <w:jc w:val="left"/>
            </w:pPr>
            <w:r>
              <w:rPr>
                <w:sz w:val="20"/>
                <w:szCs w:val="20"/>
              </w:rPr>
              <w:t>Adopted into the criticality screen in §4.4 and the TO-BE triage in §8.3, replacing reliance on manager judgement.</w:t>
            </w:r>
          </w:p>
        </w:tc>
      </w:tr>
      <w:tr w14:paraId="3ABCE9F4">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273E1EDC">
            <w:pPr>
              <w:pStyle w:val="26"/>
              <w:jc w:val="left"/>
            </w:pPr>
            <w:r>
              <w:rPr>
                <w:sz w:val="20"/>
                <w:szCs w:val="20"/>
              </w:rPr>
              <w:t>GenAI</w:t>
            </w:r>
          </w:p>
        </w:tc>
        <w:tc>
          <w:tcPr>
            <w:shd w:val="clear" w:color="auto" w:fill="F2F5F9"/>
          </w:tcPr>
          <w:p w14:paraId="323BB283">
            <w:pPr>
              <w:pStyle w:val="26"/>
              <w:jc w:val="left"/>
            </w:pPr>
            <w:r>
              <w:rPr>
                <w:sz w:val="20"/>
                <w:szCs w:val="20"/>
              </w:rPr>
              <w:t>The hypothesis is under-claimed and close to unfalsifiable at 50%; the honest expectation is 80–90% (P2)</w:t>
            </w:r>
          </w:p>
        </w:tc>
        <w:tc>
          <w:tcPr>
            <w:shd w:val="clear" w:color="auto" w:fill="F2F5F9"/>
          </w:tcPr>
          <w:p w14:paraId="7546106C">
            <w:pPr>
              <w:pStyle w:val="26"/>
              <w:jc w:val="left"/>
            </w:pPr>
            <w:r>
              <w:rPr>
                <w:sz w:val="20"/>
                <w:szCs w:val="20"/>
              </w:rPr>
              <w:t>Answered directly in §6.4 rather than absorbed.</w:t>
            </w:r>
          </w:p>
        </w:tc>
      </w:tr>
      <w:tr w14:paraId="6142B7E1">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F238521">
            <w:pPr>
              <w:pStyle w:val="26"/>
              <w:jc w:val="left"/>
            </w:pPr>
            <w:r>
              <w:rPr>
                <w:sz w:val="20"/>
                <w:szCs w:val="20"/>
              </w:rPr>
              <w:t>GenAI</w:t>
            </w:r>
          </w:p>
        </w:tc>
        <w:tc>
          <w:p w14:paraId="71ECE605">
            <w:pPr>
              <w:pStyle w:val="26"/>
              <w:jc w:val="left"/>
            </w:pPr>
            <w:r>
              <w:rPr>
                <w:sz w:val="20"/>
                <w:szCs w:val="20"/>
              </w:rPr>
              <w:t>Gating access revocation is a security defect; escrow mailbox and drive delegation instead, and gate something the organisation controls (P5, and the critique in §8.1)</w:t>
            </w:r>
          </w:p>
        </w:tc>
        <w:tc>
          <w:p w14:paraId="655F7127">
            <w:pPr>
              <w:pStyle w:val="26"/>
              <w:jc w:val="left"/>
            </w:pPr>
            <w:r>
              <w:rPr>
                <w:sz w:val="20"/>
                <w:szCs w:val="20"/>
              </w:rPr>
              <w:t>The most consequential correction received. The TO-BE design in §8.3 was changed.</w:t>
            </w:r>
          </w:p>
        </w:tc>
      </w:tr>
      <w:tr w14:paraId="44ABAD44">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6967F191">
            <w:pPr>
              <w:pStyle w:val="26"/>
              <w:jc w:val="left"/>
            </w:pPr>
            <w:r>
              <w:rPr>
                <w:sz w:val="20"/>
                <w:szCs w:val="20"/>
              </w:rPr>
              <w:t>GenAI</w:t>
            </w:r>
          </w:p>
        </w:tc>
        <w:tc>
          <w:tcPr>
            <w:shd w:val="clear" w:color="auto" w:fill="F2F5F9"/>
          </w:tcPr>
          <w:p w14:paraId="4D1E4A1D">
            <w:pPr>
              <w:pStyle w:val="26"/>
              <w:jc w:val="left"/>
            </w:pPr>
            <w:r>
              <w:rPr>
                <w:sz w:val="20"/>
                <w:szCs w:val="20"/>
              </w:rPr>
              <w:t>Four scope cautions: the workforce may have moved to vendors rather than shrunk; some loss was intentional decommissioning; the NZ legal frame shapes both behaviour and available evidence; regulatory service-quality obligations reframe this as board risk (P6)</w:t>
            </w:r>
          </w:p>
        </w:tc>
        <w:tc>
          <w:tcPr>
            <w:shd w:val="clear" w:color="auto" w:fill="F2F5F9"/>
          </w:tcPr>
          <w:p w14:paraId="5D1B4D1E">
            <w:pPr>
              <w:pStyle w:val="26"/>
              <w:jc w:val="left"/>
            </w:pPr>
            <w:r>
              <w:rPr>
                <w:sz w:val="20"/>
                <w:szCs w:val="20"/>
              </w:rPr>
              <w:t>Added to the scope caveats in §4.4 and to the sponsorship argument in §9.3.</w:t>
            </w:r>
          </w:p>
        </w:tc>
      </w:tr>
    </w:tbl>
    <w:p w14:paraId="1ADA3ED5">
      <w:pPr>
        <w:pStyle w:val="3"/>
      </w:pPr>
      <w:r>
        <w:t>The two sources part company on the size of the financial leakage. The bottom-up estimate in §2.1 implies that capability recovery has absorbed roughly 5–10% of realised savings, while the financial-domain respondent puts it at 15–25% (Q19). Her own qualification explains the gap: cost-out programmes usually budget some backfill, so part of post-exit contractor spend is expected replacement rather than leakage. Her figure covers total post-exit contractor spend and the estimate in §2.1 covers the unplanned subset, which makes the two consistent once the distinction is drawn. That distinction became the definition H3 now works with, and Table 4 records the change. The GenAI adds a third possibility neither of the others considered, that part of the headcount reduction was conversion to managed services rather than loss at all (P6), in which case some apparent leakage is a supplier lock-in exposure instead. Analysis 6 in the work plan now separates three categories rather than two.</w:t>
      </w:r>
    </w:p>
    <w:p w14:paraId="090A9996">
      <w:pPr>
        <w:pStyle w:val="3"/>
      </w:pPr>
      <w:r>
        <w:t>They also weight the evidential risk differently. The GenAI objects that H1 at “more than half” sits at a level the analysis will almost certainly clear, which makes it weak evidence and invites the charge of defining a way to the answer (P2). Rae Huang’s independent estimate of a 70–80% failure rate (Q10) supports that objection. Section 6.4 answers it rather than quietly accepting it, because the choice of threshold is a judgement the client is entitled to see argued.</w:t>
      </w:r>
    </w:p>
    <w:p w14:paraId="6D42F965">
      <w:pPr>
        <w:pStyle w:val="3"/>
      </w:pPr>
      <w:r>
        <w:t>Neither source can establish the rate, and both said so. Rae Huang flagged Section 7 as an informed guess (Q4). The GenAI warned that HRIS completion data “will show high tick-box compliance and prove nothing” and must be tested by artefact-level sampling with timestamps rather than workflow status (P2). What the interviews establish is the mechanism, and what they sharpen is the test. The rate rests on the record review in Section 4.</w:t>
      </w:r>
    </w:p>
    <w:p w14:paraId="5A301AA0">
      <w:pPr>
        <w:pStyle w:val="3"/>
      </w:pPr>
      <w:r>
        <w:t>Two limitations apply to both sources and belong here rather than in a footnote. Neither respondent works at Spark, so neither is describing the client’s process; both are describing what typically happens in organisations of this kind, which makes their agreement evidence about the mechanism rather than evidence about Spark. Rae Huang also shares this assignment’s framing, having read the same course material and worked on the same client, so her agreement is not fully independent of mine, although her problem domain is financial and several of her answers cut against what I expected before asking. The GenAI is independent of that framing but has no access to Spark and reproduces patterns in published management writing, so its convergence with Rae Huang is better read as corroboration of a common account of how offboarding fails than as two separate observations of a fact. Both limitations point the same way. These interviews justify the design of the record review in Section 4; the record review is what would justify a claim about Spark.</w:t>
      </w:r>
    </w:p>
    <w:bookmarkEnd w:id="51"/>
    <w:p w14:paraId="0FA75E43">
      <w:pPr>
        <w:pStyle w:val="4"/>
      </w:pPr>
      <w:bookmarkStart w:id="52" w:name="_Toc30771"/>
      <w:bookmarkStart w:id="53" w:name="impact-on-the-hypotheses"/>
      <w:r>
        <w:rPr>
          <w:color w:val="1F3864"/>
        </w:rPr>
        <w:t>6.4 Impact on the hypotheses</w:t>
      </w:r>
      <w:bookmarkEnd w:id="52"/>
    </w:p>
    <w:p w14:paraId="3ED22C18">
      <w:pPr>
        <w:pStyle w:val="25"/>
      </w:pPr>
      <w:r>
        <w:t>Table 16 is the decision record for this step. Each hypothesis is marked supported, rewritten or set aside on the evidence in §6.1–6.3. The last column states the observation that would reverse that call, so the analysis can be audited rather than only narrated.</w:t>
      </w:r>
    </w:p>
    <w:p w14:paraId="6C00AB3E">
      <w:pPr>
        <w:pStyle w:val="25"/>
        <w:keepNext/>
        <w:spacing w:before="80" w:after="80" w:line="240" w:lineRule="auto"/>
        <w:jc w:val="left"/>
      </w:pPr>
      <w:r>
        <w:rPr>
          <w:b/>
          <w:bCs/>
          <w:sz w:val="22"/>
          <w:szCs w:val="22"/>
        </w:rPr>
        <w:t>Table 16. Status of each hypothesis after data gathering, and what would still falsify it</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400"/>
        <w:gridCol w:w="1321"/>
        <w:gridCol w:w="4373"/>
        <w:gridCol w:w="2690"/>
      </w:tblGrid>
      <w:tr w14:paraId="2DF18CC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7592F8B2">
            <w:pPr>
              <w:pStyle w:val="26"/>
              <w:keepNext/>
              <w:jc w:val="left"/>
            </w:pPr>
            <w:r>
              <w:rPr>
                <w:b/>
                <w:bCs/>
                <w:color w:val="FFFFFF"/>
                <w:sz w:val="20"/>
                <w:szCs w:val="20"/>
              </w:rPr>
              <w:t>ID</w:t>
            </w:r>
          </w:p>
        </w:tc>
        <w:tc>
          <w:tcPr>
            <w:shd w:val="clear" w:color="auto" w:fill="1F3864"/>
          </w:tcPr>
          <w:p w14:paraId="45E26264">
            <w:pPr>
              <w:pStyle w:val="26"/>
              <w:keepNext/>
              <w:jc w:val="left"/>
            </w:pPr>
            <w:r>
              <w:rPr>
                <w:b/>
                <w:bCs/>
                <w:color w:val="FFFFFF"/>
                <w:sz w:val="20"/>
                <w:szCs w:val="20"/>
              </w:rPr>
              <w:t>Status</w:t>
            </w:r>
          </w:p>
        </w:tc>
        <w:tc>
          <w:tcPr>
            <w:shd w:val="clear" w:color="auto" w:fill="1F3864"/>
          </w:tcPr>
          <w:p w14:paraId="0C2A6C60">
            <w:pPr>
              <w:pStyle w:val="26"/>
              <w:keepNext/>
              <w:jc w:val="left"/>
            </w:pPr>
            <w:r>
              <w:rPr>
                <w:b/>
                <w:bCs/>
                <w:color w:val="FFFFFF"/>
                <w:sz w:val="20"/>
                <w:szCs w:val="20"/>
              </w:rPr>
              <w:t>Basis</w:t>
            </w:r>
          </w:p>
        </w:tc>
        <w:tc>
          <w:tcPr>
            <w:shd w:val="clear" w:color="auto" w:fill="1F3864"/>
          </w:tcPr>
          <w:p w14:paraId="1E283632">
            <w:pPr>
              <w:pStyle w:val="26"/>
              <w:keepNext/>
              <w:jc w:val="left"/>
            </w:pPr>
            <w:r>
              <w:rPr>
                <w:b/>
                <w:bCs/>
                <w:color w:val="FFFFFF"/>
                <w:sz w:val="20"/>
                <w:szCs w:val="20"/>
              </w:rPr>
              <w:t>What would still falsify it</w:t>
            </w:r>
          </w:p>
        </w:tc>
      </w:tr>
      <w:tr w14:paraId="2B0F881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63B02325">
            <w:pPr>
              <w:pStyle w:val="26"/>
              <w:keepNext/>
              <w:jc w:val="left"/>
            </w:pPr>
            <w:r>
              <w:rPr>
                <w:b/>
                <w:bCs/>
                <w:sz w:val="20"/>
                <w:szCs w:val="20"/>
              </w:rPr>
              <w:t>H1</w:t>
            </w:r>
          </w:p>
        </w:tc>
        <w:tc>
          <w:p w14:paraId="598C2A30">
            <w:pPr>
              <w:pStyle w:val="26"/>
              <w:keepNext/>
              <w:jc w:val="left"/>
            </w:pPr>
            <w:r>
              <w:rPr>
                <w:b/>
                <w:bCs/>
                <w:sz w:val="20"/>
                <w:szCs w:val="20"/>
              </w:rPr>
              <w:t>Supported — proceed</w:t>
            </w:r>
          </w:p>
        </w:tc>
        <w:tc>
          <w:p w14:paraId="3F96D53C">
            <w:pPr>
              <w:pStyle w:val="26"/>
              <w:keepNext/>
              <w:jc w:val="left"/>
            </w:pPr>
            <w:r>
              <w:rPr>
                <w:sz w:val="20"/>
                <w:szCs w:val="20"/>
              </w:rPr>
              <w:t>Both sources independently describe a process in which receiver verification does not exist as a designed step, and both explain why: it is the only offboarding task with no downstream party who bears a cost if it is skipped. Rae Huang estimates that only 20–30% of exits leave something usable (Q10), implying a 70–80% failure rate; the GenAI’s independent expectation is 80–90% (P2). Both sit above the 50% H1 asserts. Confidence: high on the mechanism, indicative on the rate.</w:t>
            </w:r>
          </w:p>
        </w:tc>
        <w:tc>
          <w:p w14:paraId="511BB22A">
            <w:pPr>
              <w:pStyle w:val="26"/>
              <w:keepNext/>
              <w:jc w:val="left"/>
            </w:pPr>
            <w:r>
              <w:rPr>
                <w:sz w:val="20"/>
                <w:szCs w:val="20"/>
              </w:rPr>
              <w:t>A review of knowledge-critical exit records finding a named receiving owner and a signed pack already on file, or a critical-role register and receiver-verification step already operating before SPK-30.</w:t>
            </w:r>
          </w:p>
        </w:tc>
      </w:tr>
      <w:tr w14:paraId="3AFC1FE2">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4868B7B0">
            <w:pPr>
              <w:pStyle w:val="26"/>
              <w:jc w:val="left"/>
            </w:pPr>
            <w:r>
              <w:rPr>
                <w:sz w:val="20"/>
                <w:szCs w:val="20"/>
              </w:rPr>
              <w:t>H2</w:t>
            </w:r>
          </w:p>
        </w:tc>
        <w:tc>
          <w:tcPr>
            <w:shd w:val="clear" w:color="auto" w:fill="F2F5F9"/>
          </w:tcPr>
          <w:p w14:paraId="0C352647">
            <w:pPr>
              <w:pStyle w:val="26"/>
              <w:jc w:val="left"/>
            </w:pPr>
            <w:r>
              <w:rPr>
                <w:sz w:val="20"/>
                <w:szCs w:val="20"/>
              </w:rPr>
              <w:t>Supported, secondary</w:t>
            </w:r>
          </w:p>
        </w:tc>
        <w:tc>
          <w:tcPr>
            <w:shd w:val="clear" w:color="auto" w:fill="F2F5F9"/>
          </w:tcPr>
          <w:p w14:paraId="04D012D6">
            <w:pPr>
              <w:pStyle w:val="26"/>
              <w:jc w:val="left"/>
            </w:pPr>
            <w:r>
              <w:rPr>
                <w:sz w:val="20"/>
                <w:szCs w:val="20"/>
              </w:rPr>
              <w:t>Both describe rework and escalation rather than volume as the signature of knowledge loss (Q14; P3). Testable in ITSM data; not required for the recommendation.</w:t>
            </w:r>
          </w:p>
        </w:tc>
        <w:tc>
          <w:tcPr>
            <w:shd w:val="clear" w:color="auto" w:fill="F2F5F9"/>
          </w:tcPr>
          <w:p w14:paraId="6283ADD9">
            <w:pPr>
              <w:pStyle w:val="26"/>
              <w:jc w:val="left"/>
            </w:pPr>
            <w:r>
              <w:rPr>
                <w:sz w:val="20"/>
                <w:szCs w:val="20"/>
              </w:rPr>
              <w:t>ITSM or rework data showing post-exit reconstruction no higher than the pre-exit baseline.</w:t>
            </w:r>
          </w:p>
        </w:tc>
      </w:tr>
      <w:tr w14:paraId="2E25B5C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776014BA">
            <w:pPr>
              <w:pStyle w:val="26"/>
              <w:jc w:val="left"/>
            </w:pPr>
            <w:r>
              <w:rPr>
                <w:b/>
                <w:bCs/>
                <w:sz w:val="20"/>
                <w:szCs w:val="20"/>
              </w:rPr>
              <w:t>H3</w:t>
            </w:r>
          </w:p>
        </w:tc>
        <w:tc>
          <w:p w14:paraId="5CFE09A1">
            <w:pPr>
              <w:pStyle w:val="26"/>
              <w:jc w:val="left"/>
            </w:pPr>
            <w:r>
              <w:rPr>
                <w:b/>
                <w:bCs/>
                <w:sz w:val="20"/>
                <w:szCs w:val="20"/>
              </w:rPr>
              <w:t>Disproven as written, and rewritten</w:t>
            </w:r>
          </w:p>
        </w:tc>
        <w:tc>
          <w:p w14:paraId="3D6F5E81">
            <w:pPr>
              <w:pStyle w:val="26"/>
              <w:jc w:val="left"/>
            </w:pPr>
            <w:r>
              <w:rPr>
                <w:sz w:val="20"/>
                <w:szCs w:val="20"/>
              </w:rPr>
              <w:t>See the iteration below.</w:t>
            </w:r>
          </w:p>
        </w:tc>
        <w:tc>
          <w:p w14:paraId="109FCE03">
            <w:pPr>
              <w:pStyle w:val="26"/>
              <w:jc w:val="left"/>
            </w:pPr>
            <w:r>
              <w:rPr>
                <w:sz w:val="20"/>
                <w:szCs w:val="20"/>
              </w:rPr>
              <w:t>Contractor and backfill lines showing unplanned capability-recovery spend below 10% of realised labour savings.</w:t>
            </w:r>
          </w:p>
        </w:tc>
      </w:tr>
      <w:tr w14:paraId="6F0F17C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6A73F573">
            <w:pPr>
              <w:pStyle w:val="26"/>
              <w:jc w:val="left"/>
            </w:pPr>
            <w:r>
              <w:rPr>
                <w:sz w:val="20"/>
                <w:szCs w:val="20"/>
              </w:rPr>
              <w:t>H4</w:t>
            </w:r>
          </w:p>
        </w:tc>
        <w:tc>
          <w:tcPr>
            <w:shd w:val="clear" w:color="auto" w:fill="F2F5F9"/>
          </w:tcPr>
          <w:p w14:paraId="5116397F">
            <w:pPr>
              <w:pStyle w:val="26"/>
              <w:jc w:val="left"/>
            </w:pPr>
            <w:r>
              <w:rPr>
                <w:b/>
                <w:bCs/>
                <w:sz w:val="20"/>
                <w:szCs w:val="20"/>
              </w:rPr>
              <w:t>Supported — reclassified as root cause</w:t>
            </w:r>
          </w:p>
        </w:tc>
        <w:tc>
          <w:tcPr>
            <w:shd w:val="clear" w:color="auto" w:fill="F2F5F9"/>
          </w:tcPr>
          <w:p w14:paraId="21C65B91">
            <w:pPr>
              <w:pStyle w:val="26"/>
              <w:jc w:val="left"/>
            </w:pPr>
            <w:r>
              <w:rPr>
                <w:sz w:val="20"/>
                <w:szCs w:val="20"/>
              </w:rPr>
              <w:t>“No one is accountable for the outcome, only for the step happening” (Q21); “a failed handover doesn’t generate its own metric” (Q22). The GenAI reached the same conclusion by a different route and stated it more sharply: the missing element is a counterparty, and the failure is an externality (P4). Promoted from peer branch to root cause in §7.1.</w:t>
            </w:r>
          </w:p>
        </w:tc>
        <w:tc>
          <w:tcPr>
            <w:shd w:val="clear" w:color="auto" w:fill="F2F5F9"/>
          </w:tcPr>
          <w:p w14:paraId="6CF0FD1D">
            <w:pPr>
              <w:pStyle w:val="26"/>
              <w:jc w:val="left"/>
            </w:pPr>
            <w:r>
              <w:rPr>
                <w:sz w:val="20"/>
                <w:szCs w:val="20"/>
              </w:rPr>
              <w:t>Evidence that a named party already owns the handover outcome, not only the checklist step, and that failed handovers already appear on a leader scorecard.</w:t>
            </w:r>
          </w:p>
        </w:tc>
      </w:tr>
      <w:tr w14:paraId="33DC957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57E237F6">
            <w:pPr>
              <w:pStyle w:val="26"/>
              <w:jc w:val="left"/>
            </w:pPr>
            <w:r>
              <w:rPr>
                <w:strike/>
                <w:sz w:val="20"/>
                <w:szCs w:val="20"/>
              </w:rPr>
              <w:t>H5</w:t>
            </w:r>
          </w:p>
        </w:tc>
        <w:tc>
          <w:p w14:paraId="6E4A2861">
            <w:pPr>
              <w:pStyle w:val="26"/>
              <w:jc w:val="left"/>
            </w:pPr>
            <w:r>
              <w:rPr>
                <w:sz w:val="20"/>
                <w:szCs w:val="20"/>
              </w:rPr>
              <w:t>Out of scope</w:t>
            </w:r>
          </w:p>
        </w:tc>
        <w:tc>
          <w:p w14:paraId="2560700A">
            <w:pPr>
              <w:pStyle w:val="26"/>
              <w:jc w:val="left"/>
            </w:pPr>
            <w:r>
              <w:rPr>
                <w:sz w:val="20"/>
                <w:szCs w:val="20"/>
              </w:rPr>
              <w:t>Set aside in Table 4.</w:t>
            </w:r>
          </w:p>
        </w:tc>
        <w:tc>
          <w:p w14:paraId="73D7286D">
            <w:pPr>
              <w:pStyle w:val="26"/>
              <w:jc w:val="left"/>
            </w:pPr>
            <w:r>
              <w:rPr>
                <w:sz w:val="20"/>
                <w:szCs w:val="20"/>
              </w:rPr>
              <w:t>Not tested in this deliverable.</w:t>
            </w:r>
          </w:p>
        </w:tc>
      </w:tr>
    </w:tbl>
    <w:p w14:paraId="23D68DE5">
      <w:pPr>
        <w:pStyle w:val="3"/>
      </w:pPr>
      <w:r>
        <w:rPr>
          <w:b/>
          <w:bCs/>
        </w:rPr>
        <w:t>The iteration on H3.</w:t>
      </w:r>
      <w:r>
        <w:t xml:space="preserve"> H3 originally asserted that at least 30% of realised labour savings had been offset by capability-recovery contractor spend, tested by examining the contractor line. The interviews disproved it in both halves. On the threshold, the financial-domain respondent judged 30% implausible and put the figure at 15–25% of total post-exit contractor spend, of which only a subset is genuine leakage because programmes budget backfill in advance (Q19). On the test, she was blunter: from the ledger codes alone “you probably can’t tell the difference”, because capability recovery and ordinary project work are coded identically (Q20). A test that cannot distinguish two explanations is not a test, so H3 as written could not have been proven or disproven by the method attached to it.</w:t>
      </w:r>
    </w:p>
    <w:p w14:paraId="409E5D01">
      <w:pPr>
        <w:pStyle w:val="3"/>
      </w:pPr>
      <w:r>
        <w:t xml:space="preserve">Following that iteration, H3 was rewritten rather than abandoned. It now asserts that at least 10% of realised savings were absorbed by </w:t>
      </w:r>
      <w:r>
        <w:rPr>
          <w:i/>
          <w:iCs/>
        </w:rPr>
        <w:t>unplanned</w:t>
      </w:r>
      <w:r>
        <w:t xml:space="preserve"> capability recovery, meaning spend beyond the backfill the programme itself budgeted for, and it is tested by timing and causality, engagements starting in the same function shortly after a critical exit, with scope overlapping the departed role, supported by sampling managers on why each contractor was engaged. Work plan analyses 6 and 7 were rebuilt around that test. Table 4 records the change and §4.5 carries the revised method.</w:t>
      </w:r>
    </w:p>
    <w:p w14:paraId="7B7D5CA9">
      <w:pPr>
        <w:pStyle w:val="3"/>
      </w:pPr>
      <w:r>
        <w:rPr>
          <w:b/>
          <w:bCs/>
        </w:rPr>
        <w:t>Is H1 proven?</w:t>
      </w:r>
      <w:r>
        <w:t xml:space="preserve"> On the evidence gathered here H1 is supported, and the analysis proceeds to Section 7. Both sources place the failure rate above the threshold, by different routes and without sight of each other’s answers.</w:t>
      </w:r>
    </w:p>
    <w:p w14:paraId="7909B89E">
      <w:pPr>
        <w:pStyle w:val="3"/>
      </w:pPr>
      <w:r>
        <w:t>The threshold objection deserves a direct answer rather than a footnote. The GenAI’s point is that a hypothesis set at a level the analyst expects to clear is weak evidence, and that 80–90% would be the honest expectation (P2). It is right about the expectation. It is not, in this case, right about the threshold, for a reason specific to how H1 is being used. H1 is a decision rule for whether the engagement continues, written so that failing it kills the recommendation. Set at 50%, a record review returning 45% verified completion falsifies H1 and the process-design premise with it. Set at 85%, a review returning 60% would leave H1 formally disproven while the underlying control gap was plainly real, and the analysis would have to be argued again from scratch. A threshold belongs where the client’s decision changes, not where the analyst’s confidence sits, and the client’s decision changes at “most critical exits are unverified”. What the objection does change is the reporting: Section 9 now states the expected range alongside the threshold, so the client sees both the test and the prediction.</w:t>
      </w:r>
    </w:p>
    <w:p w14:paraId="16DF668A">
      <w:pPr>
        <w:pStyle w:val="3"/>
      </w:pPr>
      <w:r>
        <w:t>Both figures remain informed practitioners’ estimates of typical practice rather than observations of Spark, and both respondents said so. They justify proceeding; they do not justify reporting to a board. Establishing the rate requires the record review specified in Section 4, and the GenAI’s warning shapes how that review is run: HRIS workflow status will show high compliance and prove nothing, so the review has to sample artefacts and timestamps (P2).</w:t>
      </w:r>
    </w:p>
    <w:p w14:paraId="4CF0AE1C">
      <w:pPr>
        <w:pStyle w:val="3"/>
      </w:pPr>
      <w:r>
        <w:t>There is a further reason proceeding is defensible. The recommendation rests on the absence of a control, which both interviews establish, rather than on the size of the failure, which they only indicate. Should the record review return a verified completion rate above 50%, H1 as written is disproven, but the control gap remains real and the recommendation survives at lower priority.</w:t>
      </w:r>
    </w:p>
    <w:p w14:paraId="13E09154">
      <w:pPr>
        <w:pStyle w:val="3"/>
      </w:pPr>
      <w:r>
        <w:rPr>
          <w:b/>
          <w:bCs/>
        </w:rPr>
        <w:t>Falsification conditions.</w:t>
      </w:r>
      <w:r>
        <w:t xml:space="preserve"> H1 would be disproven, and the analysis would iterate to H2, if the record review showed any of five things. That a critical-role register already existed before the programme and drove a separately managed exit path, which is the GenAI’s first disconfirming condition and the one most likely to be true (P2). That receiving teams could work from runbooks, Jira and change records predating the exit, so an absent exit artefact represents no loss (P2). That mailboxes and drives remained reachable after account disablement, so “access revoked” was never the same as “knowledge unreachable” (P2). That knowledge-critical roles made up materially less than 25% of exits, which would collapse the quantification. Or that P1 volumes, MTTR, change-failure rate and re-engagement spend did not move across the period (P2). The last is decisive: if the gap has no observable operational consequence then the process failure is real but immaterial, and the engagement should redirect to H2.</w:t>
      </w:r>
    </w:p>
    <w:bookmarkEnd w:id="45"/>
    <w:bookmarkEnd w:id="53"/>
    <w:p w14:paraId="68A980D9">
      <w:pPr>
        <w:pStyle w:val="2"/>
      </w:pPr>
      <w:bookmarkStart w:id="54" w:name="_Toc22432"/>
      <w:bookmarkStart w:id="55" w:name="Xe7d4915c6e8941640b23b2d64a60cb2e0821d20"/>
      <w:r>
        <w:rPr>
          <w:color w:val="1F3864"/>
        </w:rPr>
        <w:t>7. Analysing the Data, Interpreting the Results and Suggesting Probable Solutions</w:t>
      </w:r>
      <w:bookmarkEnd w:id="54"/>
    </w:p>
    <w:p w14:paraId="26488648">
      <w:pPr>
        <w:pStyle w:val="4"/>
      </w:pPr>
      <w:bookmarkStart w:id="56" w:name="_Toc749"/>
      <w:bookmarkStart w:id="57" w:name="solution-tree"/>
      <w:r>
        <w:rPr>
          <w:color w:val="1F3864"/>
        </w:rPr>
        <w:t>7.1 Solution tree</w:t>
      </w:r>
      <w:bookmarkEnd w:id="56"/>
    </w:p>
    <w:p w14:paraId="2BECAA15">
      <w:pPr>
        <w:pStyle w:val="25"/>
      </w:pPr>
      <w:r>
        <w:t>A solution tree takes the analysis past diagnosis. Where an issue tree breaks a problem down, a solution tree carries it through its issues and hypotheses to a single root cause, then decomposes that root cause into MECE solution pathways so that the recommendation can be shown to be a choice among identified options rather than the first idea that came to hand. Figure 5 presents the tree.</w:t>
      </w:r>
    </w:p>
    <w:p w14:paraId="08F7D31A">
      <w:pPr>
        <w:pStyle w:val="3"/>
        <w:jc w:val="center"/>
      </w:pPr>
      <w:r>
        <w:drawing>
          <wp:inline distT="0" distB="0" distL="114300" distR="114300">
            <wp:extent cx="5334000" cy="1922145"/>
            <wp:effectExtent l="0" t="0" r="0" b="0"/>
            <wp:docPr id="6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pic:cNvPicPr>
                      <a:picLocks noChangeAspect="1" noChangeArrowheads="1"/>
                    </pic:cNvPicPr>
                  </pic:nvPicPr>
                  <pic:blipFill>
                    <a:blip r:embed="rId10"/>
                    <a:stretch>
                      <a:fillRect/>
                    </a:stretch>
                  </pic:blipFill>
                  <pic:spPr>
                    <a:xfrm>
                      <a:off x="0" y="0"/>
                      <a:ext cx="5334000" cy="1922720"/>
                    </a:xfrm>
                    <a:prstGeom prst="rect">
                      <a:avLst/>
                    </a:prstGeom>
                    <a:noFill/>
                    <a:ln w="9525">
                      <a:noFill/>
                    </a:ln>
                  </pic:spPr>
                </pic:pic>
              </a:graphicData>
            </a:graphic>
          </wp:inline>
        </w:drawing>
      </w:r>
    </w:p>
    <w:p w14:paraId="142A959A">
      <w:pPr>
        <w:pStyle w:val="3"/>
        <w:spacing w:before="60" w:after="160" w:line="240" w:lineRule="auto"/>
        <w:jc w:val="center"/>
      </w:pPr>
      <w:r>
        <w:rPr>
          <w:b/>
          <w:bCs/>
          <w:sz w:val="22"/>
          <w:szCs w:val="22"/>
        </w:rPr>
        <w:t>Figure 5.</w:t>
      </w:r>
      <w:r>
        <w:rPr>
          <w:i/>
          <w:iCs/>
          <w:sz w:val="22"/>
          <w:szCs w:val="22"/>
        </w:rPr>
        <w:t xml:space="preserve"> Solution tree: problem, issues, hypotheses, root cause and solution pathways.</w:t>
      </w:r>
    </w:p>
    <w:p w14:paraId="25653432">
      <w:pPr>
        <w:pStyle w:val="3"/>
      </w:pPr>
      <w:r>
        <w:t>The four issue-tree branches converge on one condition, which both interviews reached independently:</w:t>
      </w:r>
    </w:p>
    <w:p w14:paraId="59C30304">
      <w:pPr>
        <w:pStyle w:val="13"/>
      </w:pPr>
      <w:r>
        <w:t>Knowledge transfer at exit is the only task in the offboarding process with no counterparty. Every other task — final pay, asset return, access revocation — has a party downstream who bears an immediate, attributable cost if it is skipped, and who therefore has standing to refuse to close the exit. Handover has none. Its cost lands on a different team, months later, in a form nobody codes back to the exit. It is an externality: the person who controls the decision does not bear the consequence of it. Because there is no claimant, there is no completion criterion and no measure, so the task ends on a calendar date rather than when the work can continue, and the incentives on the only people who could complete it point the other way.</w:t>
      </w:r>
    </w:p>
    <w:p w14:paraId="17D1A02B">
      <w:pPr>
        <w:pStyle w:val="25"/>
      </w:pPr>
      <w:r>
        <w:t>There are three reasons for treating this as the root cause rather than as one branch among four.</w:t>
      </w:r>
    </w:p>
    <w:p w14:paraId="0606ABC1">
      <w:pPr>
        <w:pStyle w:val="3"/>
      </w:pPr>
      <w:r>
        <w:t>It explains the other branches rather than sitting beside them, and it explains why fixing them alone would not work. The GenAI interview put this more sharply than the analysis had: give a manager a template with no counterparty and you get a completed template of no value, and introduce a measure with no claimant and it becomes “a completion rate that reads 98% and tells you nothing, because the person reporting it is the person being measured” (§6.2, P4). The absence of a template (Branch 2) and the unusability of what is captured (Branch 3) are consequences of there being no claimant, not independent causes. Branch 1, exit pace, is a load condition: it determines how often the failure happens, not why the process fails when loaded.</w:t>
      </w:r>
    </w:p>
    <w:p w14:paraId="4B3EEC73">
      <w:pPr>
        <w:pStyle w:val="3"/>
      </w:pPr>
      <w:r>
        <w:t>It also explains why the failure is invisible. The financial-domain interview described the accounting position precisely: contractor spend “gets coded to the project or cost centre it supports, not tagged ‘caused by exit X’”, finance checks total dollars against the savings target “but not decomposed by cause”, and “I doubt anyone owns reconciling it end-to-end back to specific exits” (Q17, Q18). The benefit is tracked as a programme and the cost as business as usual, so nobody owns the subtraction. A process failure with no metric produces no management response, and so it accumulates instead of correcting.</w:t>
      </w:r>
    </w:p>
    <w:p w14:paraId="5E164DD9">
      <w:pPr>
        <w:pStyle w:val="3"/>
      </w:pPr>
      <w:r>
        <w:t>Finally, it predicts what happens if only the symptoms are treated. A template introduced without an owner degrades within two or three exit cycles, and a measure introduced without an owner gets reported and not acted on. That is the test that separates a root cause from a symptom, and the ownership gap passes it where the other branches do not.</w:t>
      </w:r>
    </w:p>
    <w:bookmarkEnd w:id="57"/>
    <w:p w14:paraId="0A76CBC3">
      <w:pPr>
        <w:pStyle w:val="4"/>
      </w:pPr>
      <w:bookmarkStart w:id="58" w:name="_Toc8378"/>
      <w:bookmarkStart w:id="59" w:name="X67aa131938f226f2c0a266c7a5155efb9d0a7f7"/>
      <w:r>
        <w:rPr>
          <w:color w:val="1F3864"/>
        </w:rPr>
        <w:t>7.2 Identifying and justifying the best solution</w:t>
      </w:r>
      <w:bookmarkEnd w:id="58"/>
    </w:p>
    <w:p w14:paraId="1A67569A">
      <w:pPr>
        <w:pStyle w:val="5"/>
      </w:pPr>
      <w:bookmarkStart w:id="60" w:name="the-four-pathways"/>
      <w:r>
        <w:rPr>
          <w:color w:val="1F3864"/>
        </w:rPr>
        <w:t>7.2.1 The four pathways</w:t>
      </w:r>
    </w:p>
    <w:p w14:paraId="467E746E">
      <w:pPr>
        <w:pStyle w:val="25"/>
        <w:keepNext/>
        <w:spacing w:before="80" w:after="80" w:line="240" w:lineRule="auto"/>
        <w:jc w:val="left"/>
      </w:pPr>
      <w:r>
        <w:rPr>
          <w:b/>
          <w:bCs/>
          <w:sz w:val="22"/>
          <w:szCs w:val="22"/>
        </w:rPr>
        <w:t>Table 17.</w:t>
      </w:r>
      <w:r>
        <w:rPr>
          <w:i/>
          <w:iCs/>
          <w:sz w:val="22"/>
          <w:szCs w:val="22"/>
        </w:rPr>
        <w:t xml:space="preserve"> Solution pathways</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289"/>
        <w:gridCol w:w="1735"/>
        <w:gridCol w:w="2680"/>
        <w:gridCol w:w="4080"/>
      </w:tblGrid>
      <w:tr w14:paraId="330FA39C">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3C8671AD">
            <w:pPr>
              <w:pStyle w:val="26"/>
              <w:keepNext/>
            </w:pPr>
          </w:p>
        </w:tc>
        <w:tc>
          <w:tcPr>
            <w:shd w:val="clear" w:color="auto" w:fill="1F3864"/>
          </w:tcPr>
          <w:p w14:paraId="1B13F25E">
            <w:pPr>
              <w:pStyle w:val="26"/>
              <w:keepNext/>
              <w:jc w:val="left"/>
            </w:pPr>
            <w:r>
              <w:rPr>
                <w:b/>
                <w:bCs/>
                <w:color w:val="FFFFFF"/>
                <w:sz w:val="20"/>
                <w:szCs w:val="20"/>
              </w:rPr>
              <w:t>Pathway</w:t>
            </w:r>
          </w:p>
        </w:tc>
        <w:tc>
          <w:tcPr>
            <w:shd w:val="clear" w:color="auto" w:fill="1F3864"/>
          </w:tcPr>
          <w:p w14:paraId="01E94132">
            <w:pPr>
              <w:pStyle w:val="26"/>
              <w:keepNext/>
              <w:jc w:val="left"/>
            </w:pPr>
            <w:r>
              <w:rPr>
                <w:b/>
                <w:bCs/>
                <w:color w:val="FFFFFF"/>
                <w:sz w:val="20"/>
                <w:szCs w:val="20"/>
              </w:rPr>
              <w:t>What it does</w:t>
            </w:r>
          </w:p>
        </w:tc>
        <w:tc>
          <w:tcPr>
            <w:shd w:val="clear" w:color="auto" w:fill="1F3864"/>
          </w:tcPr>
          <w:p w14:paraId="50AE99DF">
            <w:pPr>
              <w:pStyle w:val="26"/>
              <w:keepNext/>
              <w:jc w:val="left"/>
            </w:pPr>
            <w:r>
              <w:rPr>
                <w:b/>
                <w:bCs/>
                <w:color w:val="FFFFFF"/>
                <w:sz w:val="20"/>
                <w:szCs w:val="20"/>
              </w:rPr>
              <w:t>Representative initiatives</w:t>
            </w:r>
          </w:p>
        </w:tc>
      </w:tr>
      <w:tr w14:paraId="1D38103B">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2BB52343">
            <w:pPr>
              <w:pStyle w:val="26"/>
              <w:keepNext/>
              <w:jc w:val="left"/>
            </w:pPr>
            <w:r>
              <w:rPr>
                <w:b/>
                <w:bCs/>
                <w:sz w:val="20"/>
                <w:szCs w:val="20"/>
              </w:rPr>
              <w:t>A</w:t>
            </w:r>
          </w:p>
        </w:tc>
        <w:tc>
          <w:p w14:paraId="6138CC33">
            <w:pPr>
              <w:pStyle w:val="26"/>
              <w:keepNext/>
              <w:jc w:val="left"/>
            </w:pPr>
            <w:r>
              <w:rPr>
                <w:b/>
                <w:bCs/>
                <w:sz w:val="20"/>
                <w:szCs w:val="20"/>
              </w:rPr>
              <w:t>Govern the exit process</w:t>
            </w:r>
          </w:p>
        </w:tc>
        <w:tc>
          <w:p w14:paraId="3024B3B4">
            <w:pPr>
              <w:pStyle w:val="26"/>
              <w:keepNext/>
              <w:jc w:val="left"/>
            </w:pPr>
            <w:r>
              <w:rPr>
                <w:sz w:val="20"/>
                <w:szCs w:val="20"/>
              </w:rPr>
              <w:t>Adds ownership, a completion criterion and a measure to the existing workflow</w:t>
            </w:r>
          </w:p>
        </w:tc>
        <w:tc>
          <w:p w14:paraId="36303F96">
            <w:pPr>
              <w:pStyle w:val="26"/>
              <w:keepNext/>
              <w:jc w:val="left"/>
            </w:pPr>
            <w:r>
              <w:rPr>
                <w:sz w:val="20"/>
                <w:szCs w:val="20"/>
              </w:rPr>
              <w:t>Criticality triage; named receiving owner; standard handover pack; verification gate before access revocation; VHCR reporting</w:t>
            </w:r>
          </w:p>
        </w:tc>
      </w:tr>
      <w:tr w14:paraId="056B0BA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2A7574DC">
            <w:pPr>
              <w:pStyle w:val="26"/>
              <w:jc w:val="left"/>
            </w:pPr>
            <w:r>
              <w:rPr>
                <w:b/>
                <w:bCs/>
                <w:sz w:val="20"/>
                <w:szCs w:val="20"/>
              </w:rPr>
              <w:t>B</w:t>
            </w:r>
          </w:p>
        </w:tc>
        <w:tc>
          <w:tcPr>
            <w:shd w:val="clear" w:color="auto" w:fill="F2F5F9"/>
          </w:tcPr>
          <w:p w14:paraId="2BC7512D">
            <w:pPr>
              <w:pStyle w:val="26"/>
              <w:jc w:val="left"/>
            </w:pPr>
            <w:r>
              <w:rPr>
                <w:b/>
                <w:bCs/>
                <w:sz w:val="20"/>
                <w:szCs w:val="20"/>
              </w:rPr>
              <w:t>Build a knowledge platform</w:t>
            </w:r>
          </w:p>
        </w:tc>
        <w:tc>
          <w:tcPr>
            <w:shd w:val="clear" w:color="auto" w:fill="F2F5F9"/>
          </w:tcPr>
          <w:p w14:paraId="683D137C">
            <w:pPr>
              <w:pStyle w:val="26"/>
              <w:jc w:val="left"/>
            </w:pPr>
            <w:r>
              <w:rPr>
                <w:sz w:val="20"/>
                <w:szCs w:val="20"/>
              </w:rPr>
              <w:t>Improves the medium in which knowledge is stored</w:t>
            </w:r>
          </w:p>
        </w:tc>
        <w:tc>
          <w:tcPr>
            <w:shd w:val="clear" w:color="auto" w:fill="F2F5F9"/>
          </w:tcPr>
          <w:p w14:paraId="281CFCFA">
            <w:pPr>
              <w:pStyle w:val="26"/>
              <w:jc w:val="left"/>
            </w:pPr>
            <w:r>
              <w:rPr>
                <w:sz w:val="20"/>
                <w:szCs w:val="20"/>
              </w:rPr>
              <w:t>Knowledge repository; AI-assisted documentation; recorded walkthroughs; searchable runbooks</w:t>
            </w:r>
          </w:p>
        </w:tc>
      </w:tr>
      <w:tr w14:paraId="037A76BC">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F322075">
            <w:pPr>
              <w:pStyle w:val="26"/>
              <w:jc w:val="left"/>
            </w:pPr>
            <w:r>
              <w:rPr>
                <w:b/>
                <w:bCs/>
                <w:sz w:val="20"/>
                <w:szCs w:val="20"/>
              </w:rPr>
              <w:t>C</w:t>
            </w:r>
          </w:p>
        </w:tc>
        <w:tc>
          <w:p w14:paraId="22369942">
            <w:pPr>
              <w:pStyle w:val="26"/>
              <w:jc w:val="left"/>
            </w:pPr>
            <w:r>
              <w:rPr>
                <w:b/>
                <w:bCs/>
                <w:sz w:val="20"/>
                <w:szCs w:val="20"/>
              </w:rPr>
              <w:t>Reduce dependency on individuals</w:t>
            </w:r>
          </w:p>
        </w:tc>
        <w:tc>
          <w:p w14:paraId="25E7FB27">
            <w:pPr>
              <w:pStyle w:val="26"/>
              <w:jc w:val="left"/>
            </w:pPr>
            <w:r>
              <w:rPr>
                <w:sz w:val="20"/>
                <w:szCs w:val="20"/>
              </w:rPr>
              <w:t>Lowers the amount of knowledge held by one person</w:t>
            </w:r>
          </w:p>
        </w:tc>
        <w:tc>
          <w:p w14:paraId="0790E33D">
            <w:pPr>
              <w:pStyle w:val="26"/>
              <w:jc w:val="left"/>
            </w:pPr>
            <w:r>
              <w:rPr>
                <w:sz w:val="20"/>
                <w:szCs w:val="20"/>
              </w:rPr>
              <w:t>Cross-skilling; required deputies for critical systems; role rotation; pair working on specialist systems</w:t>
            </w:r>
          </w:p>
        </w:tc>
      </w:tr>
      <w:tr w14:paraId="0E27A9EA">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52F637C3">
            <w:pPr>
              <w:pStyle w:val="26"/>
              <w:jc w:val="left"/>
            </w:pPr>
            <w:r>
              <w:rPr>
                <w:b/>
                <w:bCs/>
                <w:sz w:val="20"/>
                <w:szCs w:val="20"/>
              </w:rPr>
              <w:t>D</w:t>
            </w:r>
          </w:p>
        </w:tc>
        <w:tc>
          <w:tcPr>
            <w:shd w:val="clear" w:color="auto" w:fill="F2F5F9"/>
          </w:tcPr>
          <w:p w14:paraId="07FF37C3">
            <w:pPr>
              <w:pStyle w:val="26"/>
              <w:jc w:val="left"/>
            </w:pPr>
            <w:r>
              <w:rPr>
                <w:b/>
                <w:bCs/>
                <w:sz w:val="20"/>
                <w:szCs w:val="20"/>
              </w:rPr>
              <w:t>Retain the individual longer</w:t>
            </w:r>
          </w:p>
        </w:tc>
        <w:tc>
          <w:tcPr>
            <w:shd w:val="clear" w:color="auto" w:fill="F2F5F9"/>
          </w:tcPr>
          <w:p w14:paraId="6F7C6B70">
            <w:pPr>
              <w:pStyle w:val="26"/>
              <w:jc w:val="left"/>
            </w:pPr>
            <w:r>
              <w:rPr>
                <w:sz w:val="20"/>
                <w:szCs w:val="20"/>
              </w:rPr>
              <w:t>Buys time for the transfer to happen</w:t>
            </w:r>
          </w:p>
        </w:tc>
        <w:tc>
          <w:tcPr>
            <w:shd w:val="clear" w:color="auto" w:fill="F2F5F9"/>
          </w:tcPr>
          <w:p w14:paraId="7E50B554">
            <w:pPr>
              <w:pStyle w:val="26"/>
              <w:jc w:val="left"/>
            </w:pPr>
            <w:r>
              <w:rPr>
                <w:sz w:val="20"/>
                <w:szCs w:val="20"/>
              </w:rPr>
              <w:t>Retention payments for critical roles; phased or part-time exit; alumni contracting panel</w:t>
            </w:r>
          </w:p>
        </w:tc>
      </w:tr>
    </w:tbl>
    <w:p w14:paraId="41DF9606">
      <w:pPr>
        <w:pStyle w:val="3"/>
      </w:pPr>
      <w:r>
        <w:t>The four are mutually exclusive in mechanism, being governance, medium, dependency and time, and collectively exhaustive with respect to the root cause. Knowledge lost at exit can be addressed by governing the transfer, by improving where it is stored, by reducing how much depends on one person, or by keeping that person longer. There is no fifth mechanism. Table 17 sets out what each pathway does.</w:t>
      </w:r>
    </w:p>
    <w:bookmarkEnd w:id="60"/>
    <w:p w14:paraId="2BC5A92D">
      <w:pPr>
        <w:pStyle w:val="5"/>
      </w:pPr>
      <w:bookmarkStart w:id="61" w:name="X5e29bab36413041e6264c3af69f1497920dce71"/>
      <w:r>
        <w:rPr>
          <w:color w:val="1F3864"/>
        </w:rPr>
        <w:t>7.2.2 Evaluation against process-selection criteria</w:t>
      </w:r>
    </w:p>
    <w:p w14:paraId="651AF314">
      <w:pPr>
        <w:pStyle w:val="25"/>
      </w:pPr>
      <w:r>
        <w:t>The pathways are assessed against Hammer and Champy’s (1993) three criteria of dysfunction, importance and feasibility. Davenport (1993) proposes a comparable screen built on strategic relevance and the health of each process, and the two overlap on the criteria used here. To those are added cost, time to benefit, and the test that matters most in this case, which is whether the pathway addresses the root cause or a symptom. Each criterion carries a weight, because treating all seven as equally important would let three cheap-and-fast criteria outvote the one that decides whether the problem is actually solved. The weights are stated before the scores so that they cannot be reverse-engineered from the answer, and the ranking is tested against them afterwards. Table 18 sets out both.</w:t>
      </w:r>
    </w:p>
    <w:p w14:paraId="75872A3F">
      <w:pPr>
        <w:pStyle w:val="3"/>
        <w:keepNext/>
        <w:spacing w:before="80" w:after="80" w:line="240" w:lineRule="auto"/>
        <w:jc w:val="left"/>
      </w:pPr>
      <w:r>
        <w:rPr>
          <w:b/>
          <w:bCs/>
          <w:sz w:val="22"/>
          <w:szCs w:val="22"/>
        </w:rPr>
        <w:t>Table 18.</w:t>
      </w:r>
      <w:r>
        <w:rPr>
          <w:i/>
          <w:iCs/>
          <w:sz w:val="22"/>
          <w:szCs w:val="22"/>
        </w:rPr>
        <w:t xml:space="preserve"> Weighted evaluation of the solution pathways (scores 1–5, where 5 is strongest)</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1822"/>
        <w:gridCol w:w="767"/>
        <w:gridCol w:w="1682"/>
        <w:gridCol w:w="1507"/>
        <w:gridCol w:w="1594"/>
        <w:gridCol w:w="1412"/>
      </w:tblGrid>
      <w:tr w14:paraId="1DBE020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2C04D01B">
            <w:pPr>
              <w:pStyle w:val="26"/>
              <w:keepNext/>
              <w:jc w:val="left"/>
            </w:pPr>
            <w:r>
              <w:rPr>
                <w:b/>
                <w:bCs/>
                <w:color w:val="FFFFFF"/>
                <w:sz w:val="20"/>
                <w:szCs w:val="20"/>
              </w:rPr>
              <w:t>Criterion</w:t>
            </w:r>
          </w:p>
        </w:tc>
        <w:tc>
          <w:tcPr>
            <w:shd w:val="clear" w:color="auto" w:fill="1F3864"/>
          </w:tcPr>
          <w:p w14:paraId="1712A118">
            <w:pPr>
              <w:pStyle w:val="26"/>
              <w:keepNext/>
              <w:jc w:val="left"/>
            </w:pPr>
            <w:r>
              <w:rPr>
                <w:b/>
                <w:bCs/>
                <w:color w:val="FFFFFF"/>
                <w:sz w:val="20"/>
                <w:szCs w:val="20"/>
              </w:rPr>
              <w:t>Weight</w:t>
            </w:r>
          </w:p>
        </w:tc>
        <w:tc>
          <w:tcPr>
            <w:shd w:val="clear" w:color="auto" w:fill="1F3864"/>
          </w:tcPr>
          <w:p w14:paraId="79C22E0A">
            <w:pPr>
              <w:pStyle w:val="26"/>
              <w:keepNext/>
              <w:jc w:val="left"/>
            </w:pPr>
            <w:r>
              <w:rPr>
                <w:b/>
                <w:bCs/>
                <w:color w:val="FFFFFF"/>
                <w:sz w:val="20"/>
                <w:szCs w:val="20"/>
              </w:rPr>
              <w:t>A. Govern the process</w:t>
            </w:r>
          </w:p>
        </w:tc>
        <w:tc>
          <w:tcPr>
            <w:shd w:val="clear" w:color="auto" w:fill="1F3864"/>
          </w:tcPr>
          <w:p w14:paraId="71416564">
            <w:pPr>
              <w:pStyle w:val="26"/>
              <w:keepNext/>
              <w:jc w:val="left"/>
            </w:pPr>
            <w:r>
              <w:rPr>
                <w:b/>
                <w:bCs/>
                <w:color w:val="FFFFFF"/>
                <w:sz w:val="20"/>
                <w:szCs w:val="20"/>
              </w:rPr>
              <w:t>B. Knowledge platform</w:t>
            </w:r>
          </w:p>
        </w:tc>
        <w:tc>
          <w:tcPr>
            <w:shd w:val="clear" w:color="auto" w:fill="1F3864"/>
          </w:tcPr>
          <w:p w14:paraId="2C4D8258">
            <w:pPr>
              <w:pStyle w:val="26"/>
              <w:keepNext/>
              <w:jc w:val="left"/>
            </w:pPr>
            <w:r>
              <w:rPr>
                <w:b/>
                <w:bCs/>
                <w:color w:val="FFFFFF"/>
                <w:sz w:val="20"/>
                <w:szCs w:val="20"/>
              </w:rPr>
              <w:t>C. Reduce dependency</w:t>
            </w:r>
          </w:p>
        </w:tc>
        <w:tc>
          <w:tcPr>
            <w:shd w:val="clear" w:color="auto" w:fill="1F3864"/>
          </w:tcPr>
          <w:p w14:paraId="7F54E562">
            <w:pPr>
              <w:pStyle w:val="26"/>
              <w:keepNext/>
              <w:jc w:val="left"/>
            </w:pPr>
            <w:r>
              <w:rPr>
                <w:b/>
                <w:bCs/>
                <w:color w:val="FFFFFF"/>
                <w:sz w:val="20"/>
                <w:szCs w:val="20"/>
              </w:rPr>
              <w:t>D. Retain longer</w:t>
            </w:r>
          </w:p>
        </w:tc>
      </w:tr>
      <w:tr w14:paraId="13C9BBAB">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5FC5616F">
            <w:pPr>
              <w:pStyle w:val="26"/>
              <w:keepNext/>
              <w:jc w:val="left"/>
            </w:pPr>
            <w:r>
              <w:rPr>
                <w:sz w:val="20"/>
                <w:szCs w:val="20"/>
              </w:rPr>
              <w:t>Addresses the root cause: ownership, completion criterion, measure</w:t>
            </w:r>
          </w:p>
        </w:tc>
        <w:tc>
          <w:p w14:paraId="5A40D2DE">
            <w:pPr>
              <w:pStyle w:val="26"/>
              <w:keepNext/>
              <w:jc w:val="left"/>
            </w:pPr>
            <w:r>
              <w:rPr>
                <w:sz w:val="20"/>
                <w:szCs w:val="20"/>
              </w:rPr>
              <w:t>25%</w:t>
            </w:r>
          </w:p>
        </w:tc>
        <w:tc>
          <w:p w14:paraId="1229140C">
            <w:pPr>
              <w:pStyle w:val="26"/>
              <w:keepNext/>
              <w:jc w:val="left"/>
            </w:pPr>
            <w:r>
              <w:rPr>
                <w:b/>
                <w:bCs/>
                <w:sz w:val="20"/>
                <w:szCs w:val="20"/>
              </w:rPr>
              <w:t>5</w:t>
            </w:r>
            <w:r>
              <w:rPr>
                <w:sz w:val="20"/>
                <w:szCs w:val="20"/>
              </w:rPr>
              <w:t xml:space="preserve"> — creates all three</w:t>
            </w:r>
          </w:p>
        </w:tc>
        <w:tc>
          <w:p w14:paraId="0E38EA73">
            <w:pPr>
              <w:pStyle w:val="26"/>
              <w:keepNext/>
              <w:jc w:val="left"/>
            </w:pPr>
            <w:r>
              <w:rPr>
                <w:sz w:val="20"/>
                <w:szCs w:val="20"/>
              </w:rPr>
              <w:t>1 — improves the medium, not the governance</w:t>
            </w:r>
          </w:p>
        </w:tc>
        <w:tc>
          <w:p w14:paraId="6B2065B6">
            <w:pPr>
              <w:pStyle w:val="26"/>
              <w:keepNext/>
              <w:jc w:val="left"/>
            </w:pPr>
            <w:r>
              <w:rPr>
                <w:sz w:val="20"/>
                <w:szCs w:val="20"/>
              </w:rPr>
              <w:t>2 — reduces exposure, leaves transfer ungoverned</w:t>
            </w:r>
          </w:p>
        </w:tc>
        <w:tc>
          <w:p w14:paraId="3B1E27FC">
            <w:pPr>
              <w:pStyle w:val="26"/>
              <w:keepNext/>
              <w:jc w:val="left"/>
            </w:pPr>
            <w:r>
              <w:rPr>
                <w:sz w:val="20"/>
                <w:szCs w:val="20"/>
              </w:rPr>
              <w:t>1 — delays the failure</w:t>
            </w:r>
          </w:p>
        </w:tc>
      </w:tr>
      <w:tr w14:paraId="7646D6C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12C29FAF">
            <w:pPr>
              <w:pStyle w:val="26"/>
              <w:jc w:val="left"/>
            </w:pPr>
            <w:r>
              <w:rPr>
                <w:sz w:val="20"/>
                <w:szCs w:val="20"/>
              </w:rPr>
              <w:t>Dysfunction: does it act where the process is broken?</w:t>
            </w:r>
          </w:p>
        </w:tc>
        <w:tc>
          <w:tcPr>
            <w:shd w:val="clear" w:color="auto" w:fill="F2F5F9"/>
          </w:tcPr>
          <w:p w14:paraId="729D95E0">
            <w:pPr>
              <w:pStyle w:val="26"/>
              <w:jc w:val="left"/>
            </w:pPr>
            <w:r>
              <w:rPr>
                <w:sz w:val="20"/>
                <w:szCs w:val="20"/>
              </w:rPr>
              <w:t>15%</w:t>
            </w:r>
          </w:p>
        </w:tc>
        <w:tc>
          <w:tcPr>
            <w:shd w:val="clear" w:color="auto" w:fill="F2F5F9"/>
          </w:tcPr>
          <w:p w14:paraId="7BFB885F">
            <w:pPr>
              <w:pStyle w:val="26"/>
              <w:jc w:val="left"/>
            </w:pPr>
            <w:r>
              <w:rPr>
                <w:b/>
                <w:bCs/>
                <w:sz w:val="20"/>
                <w:szCs w:val="20"/>
              </w:rPr>
              <w:t>5</w:t>
            </w:r>
            <w:r>
              <w:rPr>
                <w:sz w:val="20"/>
                <w:szCs w:val="20"/>
              </w:rPr>
              <w:t xml:space="preserve"> — at the verification gap</w:t>
            </w:r>
          </w:p>
        </w:tc>
        <w:tc>
          <w:tcPr>
            <w:shd w:val="clear" w:color="auto" w:fill="F2F5F9"/>
          </w:tcPr>
          <w:p w14:paraId="6064E674">
            <w:pPr>
              <w:pStyle w:val="26"/>
              <w:jc w:val="left"/>
            </w:pPr>
            <w:r>
              <w:rPr>
                <w:sz w:val="20"/>
                <w:szCs w:val="20"/>
              </w:rPr>
              <w:t>2 — acts on storage, not transfer</w:t>
            </w:r>
          </w:p>
        </w:tc>
        <w:tc>
          <w:tcPr>
            <w:shd w:val="clear" w:color="auto" w:fill="F2F5F9"/>
          </w:tcPr>
          <w:p w14:paraId="7A13D758">
            <w:pPr>
              <w:pStyle w:val="26"/>
              <w:jc w:val="left"/>
            </w:pPr>
            <w:r>
              <w:rPr>
                <w:sz w:val="20"/>
                <w:szCs w:val="20"/>
              </w:rPr>
              <w:t>3 — acts upstream of exit</w:t>
            </w:r>
          </w:p>
        </w:tc>
        <w:tc>
          <w:tcPr>
            <w:shd w:val="clear" w:color="auto" w:fill="F2F5F9"/>
          </w:tcPr>
          <w:p w14:paraId="0B546A49">
            <w:pPr>
              <w:pStyle w:val="26"/>
              <w:jc w:val="left"/>
            </w:pPr>
            <w:r>
              <w:rPr>
                <w:sz w:val="20"/>
                <w:szCs w:val="20"/>
              </w:rPr>
              <w:t>2 — acts on timing</w:t>
            </w:r>
          </w:p>
        </w:tc>
      </w:tr>
      <w:tr w14:paraId="1F54CAB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5DB153FC">
            <w:pPr>
              <w:pStyle w:val="26"/>
              <w:jc w:val="left"/>
            </w:pPr>
            <w:r>
              <w:rPr>
                <w:sz w:val="20"/>
                <w:szCs w:val="20"/>
              </w:rPr>
              <w:t>Importance: impact on customer-facing capability</w:t>
            </w:r>
          </w:p>
        </w:tc>
        <w:tc>
          <w:p w14:paraId="69BEDFCF">
            <w:pPr>
              <w:pStyle w:val="26"/>
              <w:jc w:val="left"/>
            </w:pPr>
            <w:r>
              <w:rPr>
                <w:sz w:val="20"/>
                <w:szCs w:val="20"/>
              </w:rPr>
              <w:t>15%</w:t>
            </w:r>
          </w:p>
        </w:tc>
        <w:tc>
          <w:p w14:paraId="1BB6B1DB">
            <w:pPr>
              <w:pStyle w:val="26"/>
              <w:jc w:val="left"/>
            </w:pPr>
            <w:r>
              <w:rPr>
                <w:b/>
                <w:bCs/>
                <w:sz w:val="20"/>
                <w:szCs w:val="20"/>
              </w:rPr>
              <w:t>4</w:t>
            </w:r>
          </w:p>
        </w:tc>
        <w:tc>
          <w:p w14:paraId="0003F0D5">
            <w:pPr>
              <w:pStyle w:val="26"/>
              <w:jc w:val="left"/>
            </w:pPr>
            <w:r>
              <w:rPr>
                <w:sz w:val="20"/>
                <w:szCs w:val="20"/>
              </w:rPr>
              <w:t>3</w:t>
            </w:r>
          </w:p>
        </w:tc>
        <w:tc>
          <w:p w14:paraId="63E6805A">
            <w:pPr>
              <w:pStyle w:val="26"/>
              <w:jc w:val="left"/>
            </w:pPr>
            <w:r>
              <w:rPr>
                <w:b/>
                <w:bCs/>
                <w:sz w:val="20"/>
                <w:szCs w:val="20"/>
              </w:rPr>
              <w:t>4</w:t>
            </w:r>
          </w:p>
        </w:tc>
        <w:tc>
          <w:p w14:paraId="38A1370C">
            <w:pPr>
              <w:pStyle w:val="26"/>
              <w:jc w:val="left"/>
            </w:pPr>
            <w:r>
              <w:rPr>
                <w:sz w:val="20"/>
                <w:szCs w:val="20"/>
              </w:rPr>
              <w:t>2</w:t>
            </w:r>
          </w:p>
        </w:tc>
      </w:tr>
      <w:tr w14:paraId="4E9F333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448BAF8A">
            <w:pPr>
              <w:pStyle w:val="26"/>
              <w:jc w:val="left"/>
            </w:pPr>
            <w:r>
              <w:rPr>
                <w:sz w:val="20"/>
                <w:szCs w:val="20"/>
              </w:rPr>
              <w:t>Feasibility inside Spark’s current constraints</w:t>
            </w:r>
          </w:p>
        </w:tc>
        <w:tc>
          <w:tcPr>
            <w:shd w:val="clear" w:color="auto" w:fill="F2F5F9"/>
          </w:tcPr>
          <w:p w14:paraId="2C29B6CB">
            <w:pPr>
              <w:pStyle w:val="26"/>
              <w:jc w:val="left"/>
            </w:pPr>
            <w:r>
              <w:rPr>
                <w:sz w:val="20"/>
                <w:szCs w:val="20"/>
              </w:rPr>
              <w:t>15%</w:t>
            </w:r>
          </w:p>
        </w:tc>
        <w:tc>
          <w:tcPr>
            <w:shd w:val="clear" w:color="auto" w:fill="F2F5F9"/>
          </w:tcPr>
          <w:p w14:paraId="2FAC8C29">
            <w:pPr>
              <w:pStyle w:val="26"/>
              <w:jc w:val="left"/>
            </w:pPr>
            <w:r>
              <w:rPr>
                <w:b/>
                <w:bCs/>
                <w:sz w:val="20"/>
                <w:szCs w:val="20"/>
              </w:rPr>
              <w:t>5</w:t>
            </w:r>
            <w:r>
              <w:rPr>
                <w:sz w:val="20"/>
                <w:szCs w:val="20"/>
              </w:rPr>
              <w:t xml:space="preserve"> — configuration of an existing workflow</w:t>
            </w:r>
          </w:p>
        </w:tc>
        <w:tc>
          <w:tcPr>
            <w:shd w:val="clear" w:color="auto" w:fill="F2F5F9"/>
          </w:tcPr>
          <w:p w14:paraId="173926FD">
            <w:pPr>
              <w:pStyle w:val="26"/>
              <w:jc w:val="left"/>
            </w:pPr>
            <w:r>
              <w:rPr>
                <w:sz w:val="20"/>
                <w:szCs w:val="20"/>
              </w:rPr>
              <w:t>2 — platform selection, migration, adoption</w:t>
            </w:r>
          </w:p>
        </w:tc>
        <w:tc>
          <w:tcPr>
            <w:shd w:val="clear" w:color="auto" w:fill="F2F5F9"/>
          </w:tcPr>
          <w:p w14:paraId="37800C82">
            <w:pPr>
              <w:pStyle w:val="26"/>
              <w:jc w:val="left"/>
            </w:pPr>
            <w:r>
              <w:rPr>
                <w:sz w:val="20"/>
                <w:szCs w:val="20"/>
              </w:rPr>
              <w:t>2 — requires capacity the cost-out removed</w:t>
            </w:r>
          </w:p>
        </w:tc>
        <w:tc>
          <w:tcPr>
            <w:shd w:val="clear" w:color="auto" w:fill="F2F5F9"/>
          </w:tcPr>
          <w:p w14:paraId="7A3D15C1">
            <w:pPr>
              <w:pStyle w:val="26"/>
              <w:jc w:val="left"/>
            </w:pPr>
            <w:r>
              <w:rPr>
                <w:sz w:val="20"/>
                <w:szCs w:val="20"/>
              </w:rPr>
              <w:t>1 — new spend during a cost programme</w:t>
            </w:r>
          </w:p>
        </w:tc>
      </w:tr>
      <w:tr w14:paraId="0A761892">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303A94EC">
            <w:pPr>
              <w:pStyle w:val="26"/>
              <w:jc w:val="left"/>
            </w:pPr>
            <w:r>
              <w:rPr>
                <w:sz w:val="20"/>
                <w:szCs w:val="20"/>
              </w:rPr>
              <w:t>Cost to implement</w:t>
            </w:r>
          </w:p>
        </w:tc>
        <w:tc>
          <w:p w14:paraId="609A8C51">
            <w:pPr>
              <w:pStyle w:val="26"/>
              <w:jc w:val="left"/>
            </w:pPr>
            <w:r>
              <w:rPr>
                <w:sz w:val="20"/>
                <w:szCs w:val="20"/>
              </w:rPr>
              <w:t>10%</w:t>
            </w:r>
          </w:p>
        </w:tc>
        <w:tc>
          <w:p w14:paraId="4190814E">
            <w:pPr>
              <w:pStyle w:val="26"/>
              <w:jc w:val="left"/>
            </w:pPr>
            <w:r>
              <w:rPr>
                <w:b/>
                <w:bCs/>
                <w:sz w:val="20"/>
                <w:szCs w:val="20"/>
              </w:rPr>
              <w:t>5</w:t>
            </w:r>
            <w:r>
              <w:rPr>
                <w:sz w:val="20"/>
                <w:szCs w:val="20"/>
              </w:rPr>
              <w:t xml:space="preserve"> — negligible; two HRIS fields, a template, a report</w:t>
            </w:r>
          </w:p>
        </w:tc>
        <w:tc>
          <w:p w14:paraId="61BE00F0">
            <w:pPr>
              <w:pStyle w:val="26"/>
              <w:jc w:val="left"/>
            </w:pPr>
            <w:r>
              <w:rPr>
                <w:sz w:val="20"/>
                <w:szCs w:val="20"/>
              </w:rPr>
              <w:t>1 — licence, integration, content migration</w:t>
            </w:r>
          </w:p>
        </w:tc>
        <w:tc>
          <w:p w14:paraId="4C5DDA28">
            <w:pPr>
              <w:pStyle w:val="26"/>
              <w:jc w:val="left"/>
            </w:pPr>
            <w:r>
              <w:rPr>
                <w:sz w:val="20"/>
                <w:szCs w:val="20"/>
              </w:rPr>
              <w:t>2 — significant time cost</w:t>
            </w:r>
          </w:p>
        </w:tc>
        <w:tc>
          <w:p w14:paraId="44CDA393">
            <w:pPr>
              <w:pStyle w:val="26"/>
              <w:jc w:val="left"/>
            </w:pPr>
            <w:r>
              <w:rPr>
                <w:sz w:val="20"/>
                <w:szCs w:val="20"/>
              </w:rPr>
              <w:t>1 — direct cash cost</w:t>
            </w:r>
          </w:p>
        </w:tc>
      </w:tr>
      <w:tr w14:paraId="20EDD6A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66E3B1DD">
            <w:pPr>
              <w:pStyle w:val="26"/>
              <w:jc w:val="left"/>
            </w:pPr>
            <w:r>
              <w:rPr>
                <w:sz w:val="20"/>
                <w:szCs w:val="20"/>
              </w:rPr>
              <w:t>Time to first benefit</w:t>
            </w:r>
          </w:p>
        </w:tc>
        <w:tc>
          <w:tcPr>
            <w:shd w:val="clear" w:color="auto" w:fill="F2F5F9"/>
          </w:tcPr>
          <w:p w14:paraId="666F790B">
            <w:pPr>
              <w:pStyle w:val="26"/>
              <w:jc w:val="left"/>
            </w:pPr>
            <w:r>
              <w:rPr>
                <w:sz w:val="20"/>
                <w:szCs w:val="20"/>
              </w:rPr>
              <w:t>10%</w:t>
            </w:r>
          </w:p>
        </w:tc>
        <w:tc>
          <w:tcPr>
            <w:shd w:val="clear" w:color="auto" w:fill="F2F5F9"/>
          </w:tcPr>
          <w:p w14:paraId="7E97AEFD">
            <w:pPr>
              <w:pStyle w:val="26"/>
              <w:jc w:val="left"/>
            </w:pPr>
            <w:r>
              <w:rPr>
                <w:b/>
                <w:bCs/>
                <w:sz w:val="20"/>
                <w:szCs w:val="20"/>
              </w:rPr>
              <w:t>5</w:t>
            </w:r>
            <w:r>
              <w:rPr>
                <w:sz w:val="20"/>
                <w:szCs w:val="20"/>
              </w:rPr>
              <w:t xml:space="preserve"> — next exit cycle</w:t>
            </w:r>
          </w:p>
        </w:tc>
        <w:tc>
          <w:tcPr>
            <w:shd w:val="clear" w:color="auto" w:fill="F2F5F9"/>
          </w:tcPr>
          <w:p w14:paraId="35DF9570">
            <w:pPr>
              <w:pStyle w:val="26"/>
              <w:jc w:val="left"/>
            </w:pPr>
            <w:r>
              <w:rPr>
                <w:sz w:val="20"/>
                <w:szCs w:val="20"/>
              </w:rPr>
              <w:t>2 — 9 to 18 months</w:t>
            </w:r>
          </w:p>
        </w:tc>
        <w:tc>
          <w:tcPr>
            <w:shd w:val="clear" w:color="auto" w:fill="F2F5F9"/>
          </w:tcPr>
          <w:p w14:paraId="34882FC1">
            <w:pPr>
              <w:pStyle w:val="26"/>
              <w:jc w:val="left"/>
            </w:pPr>
            <w:r>
              <w:rPr>
                <w:sz w:val="20"/>
                <w:szCs w:val="20"/>
              </w:rPr>
              <w:t>2 — 12 months or more</w:t>
            </w:r>
          </w:p>
        </w:tc>
        <w:tc>
          <w:tcPr>
            <w:shd w:val="clear" w:color="auto" w:fill="F2F5F9"/>
          </w:tcPr>
          <w:p w14:paraId="2BB707CE">
            <w:pPr>
              <w:pStyle w:val="26"/>
              <w:jc w:val="left"/>
            </w:pPr>
            <w:r>
              <w:rPr>
                <w:sz w:val="20"/>
                <w:szCs w:val="20"/>
              </w:rPr>
              <w:t>3 — immediate but temporary</w:t>
            </w:r>
          </w:p>
        </w:tc>
      </w:tr>
      <w:tr w14:paraId="685507FA">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5E84DB2">
            <w:pPr>
              <w:pStyle w:val="26"/>
              <w:jc w:val="left"/>
            </w:pPr>
            <w:r>
              <w:rPr>
                <w:sz w:val="20"/>
                <w:szCs w:val="20"/>
              </w:rPr>
              <w:t>Durability of the benefit</w:t>
            </w:r>
          </w:p>
        </w:tc>
        <w:tc>
          <w:p w14:paraId="1EC7FBBC">
            <w:pPr>
              <w:pStyle w:val="26"/>
              <w:jc w:val="left"/>
            </w:pPr>
            <w:r>
              <w:rPr>
                <w:sz w:val="20"/>
                <w:szCs w:val="20"/>
              </w:rPr>
              <w:t>10%</w:t>
            </w:r>
          </w:p>
        </w:tc>
        <w:tc>
          <w:p w14:paraId="2E76D26F">
            <w:pPr>
              <w:pStyle w:val="26"/>
              <w:jc w:val="left"/>
            </w:pPr>
            <w:r>
              <w:rPr>
                <w:b/>
                <w:bCs/>
                <w:sz w:val="20"/>
                <w:szCs w:val="20"/>
              </w:rPr>
              <w:t>4</w:t>
            </w:r>
            <w:r>
              <w:rPr>
                <w:sz w:val="20"/>
                <w:szCs w:val="20"/>
              </w:rPr>
              <w:t xml:space="preserve"> — persists while the gate is measured</w:t>
            </w:r>
          </w:p>
        </w:tc>
        <w:tc>
          <w:p w14:paraId="1D1652B6">
            <w:pPr>
              <w:pStyle w:val="26"/>
              <w:jc w:val="left"/>
            </w:pPr>
            <w:r>
              <w:rPr>
                <w:sz w:val="20"/>
                <w:szCs w:val="20"/>
              </w:rPr>
              <w:t>3 — decays without curation</w:t>
            </w:r>
          </w:p>
        </w:tc>
        <w:tc>
          <w:p w14:paraId="029F9FCE">
            <w:pPr>
              <w:pStyle w:val="26"/>
              <w:jc w:val="left"/>
            </w:pPr>
            <w:r>
              <w:rPr>
                <w:b/>
                <w:bCs/>
                <w:sz w:val="20"/>
                <w:szCs w:val="20"/>
              </w:rPr>
              <w:t>5</w:t>
            </w:r>
            <w:r>
              <w:rPr>
                <w:sz w:val="20"/>
                <w:szCs w:val="20"/>
              </w:rPr>
              <w:t xml:space="preserve"> — structural</w:t>
            </w:r>
          </w:p>
        </w:tc>
        <w:tc>
          <w:p w14:paraId="0EFF223B">
            <w:pPr>
              <w:pStyle w:val="26"/>
              <w:jc w:val="left"/>
            </w:pPr>
            <w:r>
              <w:rPr>
                <w:sz w:val="20"/>
                <w:szCs w:val="20"/>
              </w:rPr>
              <w:t>1 — expires with the retention period</w:t>
            </w:r>
          </w:p>
        </w:tc>
      </w:tr>
      <w:tr w14:paraId="6DE78CB2">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78B6271B">
            <w:pPr>
              <w:pStyle w:val="26"/>
              <w:jc w:val="left"/>
            </w:pPr>
            <w:r>
              <w:rPr>
                <w:sz w:val="20"/>
                <w:szCs w:val="20"/>
              </w:rPr>
              <w:t>Unweighted total (max 35)</w:t>
            </w:r>
          </w:p>
        </w:tc>
        <w:tc>
          <w:tcPr>
            <w:shd w:val="clear" w:color="auto" w:fill="F2F5F9"/>
          </w:tcPr>
          <w:p w14:paraId="09F4423E">
            <w:pPr>
              <w:pStyle w:val="26"/>
            </w:pPr>
          </w:p>
        </w:tc>
        <w:tc>
          <w:tcPr>
            <w:shd w:val="clear" w:color="auto" w:fill="F2F5F9"/>
          </w:tcPr>
          <w:p w14:paraId="54370661">
            <w:pPr>
              <w:pStyle w:val="26"/>
              <w:jc w:val="left"/>
            </w:pPr>
            <w:r>
              <w:rPr>
                <w:sz w:val="20"/>
                <w:szCs w:val="20"/>
              </w:rPr>
              <w:t>33</w:t>
            </w:r>
          </w:p>
        </w:tc>
        <w:tc>
          <w:tcPr>
            <w:shd w:val="clear" w:color="auto" w:fill="F2F5F9"/>
          </w:tcPr>
          <w:p w14:paraId="5E33C7A2">
            <w:pPr>
              <w:pStyle w:val="26"/>
              <w:jc w:val="left"/>
            </w:pPr>
            <w:r>
              <w:rPr>
                <w:sz w:val="20"/>
                <w:szCs w:val="20"/>
              </w:rPr>
              <w:t>14</w:t>
            </w:r>
          </w:p>
        </w:tc>
        <w:tc>
          <w:tcPr>
            <w:shd w:val="clear" w:color="auto" w:fill="F2F5F9"/>
          </w:tcPr>
          <w:p w14:paraId="5724D1F1">
            <w:pPr>
              <w:pStyle w:val="26"/>
              <w:jc w:val="left"/>
            </w:pPr>
            <w:r>
              <w:rPr>
                <w:sz w:val="20"/>
                <w:szCs w:val="20"/>
              </w:rPr>
              <w:t>20</w:t>
            </w:r>
          </w:p>
        </w:tc>
        <w:tc>
          <w:tcPr>
            <w:shd w:val="clear" w:color="auto" w:fill="F2F5F9"/>
          </w:tcPr>
          <w:p w14:paraId="2A428486">
            <w:pPr>
              <w:pStyle w:val="26"/>
              <w:jc w:val="left"/>
            </w:pPr>
            <w:r>
              <w:rPr>
                <w:sz w:val="20"/>
                <w:szCs w:val="20"/>
              </w:rPr>
              <w:t>11</w:t>
            </w:r>
          </w:p>
        </w:tc>
      </w:tr>
      <w:tr w14:paraId="537BDCB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190AE55D">
            <w:pPr>
              <w:pStyle w:val="26"/>
              <w:jc w:val="left"/>
            </w:pPr>
            <w:r>
              <w:rPr>
                <w:b/>
                <w:bCs/>
                <w:sz w:val="20"/>
                <w:szCs w:val="20"/>
              </w:rPr>
              <w:t>Weighted score (max 100)</w:t>
            </w:r>
          </w:p>
        </w:tc>
        <w:tc>
          <w:p w14:paraId="2C72755D">
            <w:pPr>
              <w:pStyle w:val="26"/>
              <w:jc w:val="left"/>
            </w:pPr>
            <w:r>
              <w:rPr>
                <w:b/>
                <w:bCs/>
                <w:sz w:val="20"/>
                <w:szCs w:val="20"/>
              </w:rPr>
              <w:t>100%</w:t>
            </w:r>
          </w:p>
        </w:tc>
        <w:tc>
          <w:p w14:paraId="746255F7">
            <w:pPr>
              <w:pStyle w:val="26"/>
              <w:jc w:val="left"/>
            </w:pPr>
            <w:r>
              <w:rPr>
                <w:b/>
                <w:bCs/>
                <w:sz w:val="20"/>
                <w:szCs w:val="20"/>
              </w:rPr>
              <w:t>95</w:t>
            </w:r>
          </w:p>
        </w:tc>
        <w:tc>
          <w:p w14:paraId="67BEFC18">
            <w:pPr>
              <w:pStyle w:val="26"/>
              <w:jc w:val="left"/>
            </w:pPr>
            <w:r>
              <w:rPr>
                <w:b/>
                <w:bCs/>
                <w:sz w:val="20"/>
                <w:szCs w:val="20"/>
              </w:rPr>
              <w:t>38</w:t>
            </w:r>
          </w:p>
        </w:tc>
        <w:tc>
          <w:p w14:paraId="29B63A3C">
            <w:pPr>
              <w:pStyle w:val="26"/>
              <w:jc w:val="left"/>
            </w:pPr>
            <w:r>
              <w:rPr>
                <w:b/>
                <w:bCs/>
                <w:sz w:val="20"/>
                <w:szCs w:val="20"/>
              </w:rPr>
              <w:t>55</w:t>
            </w:r>
          </w:p>
        </w:tc>
        <w:tc>
          <w:p w14:paraId="6B183F46">
            <w:pPr>
              <w:pStyle w:val="26"/>
              <w:jc w:val="left"/>
            </w:pPr>
            <w:r>
              <w:rPr>
                <w:b/>
                <w:bCs/>
                <w:sz w:val="20"/>
                <w:szCs w:val="20"/>
              </w:rPr>
              <w:t>30</w:t>
            </w:r>
          </w:p>
        </w:tc>
      </w:tr>
    </w:tbl>
    <w:p w14:paraId="69E5C28D">
      <w:pPr>
        <w:pStyle w:val="3"/>
      </w:pPr>
      <w:r>
        <w:t>The weights themselves need a word of justification. Root-cause addressal carries the most because §7.1 argues that the other three branches are consequences of the ownership gap rather than independent causes, so a pathway that leaves it untouched buys very little. Feasibility and cost together carry a quarter, which reflects the client’s position in a cost-reduction programme rather than a general principle about process design.</w:t>
      </w:r>
    </w:p>
    <w:p w14:paraId="6697C81C">
      <w:pPr>
        <w:pStyle w:val="3"/>
      </w:pPr>
      <w:r>
        <w:t>A weighted score is only worth reporting if the ranking survives a change in the weights, so that was checked. Pathway A scores at or above every other pathway on six of the seven criteria; the single exception is durability, where C is stronger because cross-skilling is structural while a gate persists only while it is measured. A therefore stays ahead of C unless durability alone carries more than about 70% of the total weight, which no defensible weighting would give it. The ranking is a property of the pathways, not of the numbers chosen to score them.</w:t>
      </w:r>
    </w:p>
    <w:p w14:paraId="399D592E">
      <w:pPr>
        <w:pStyle w:val="3"/>
      </w:pPr>
      <w:r>
        <w:t xml:space="preserve">The selected pathway is </w:t>
      </w:r>
      <w:r>
        <w:rPr>
          <w:b/>
          <w:bCs/>
        </w:rPr>
        <w:t>A, govern the exit process</w:t>
      </w:r>
      <w:r>
        <w:t>, implemented as a gated knowledge handover with receiver verification, triggered by automatic criticality triage.</w:t>
      </w:r>
    </w:p>
    <w:p w14:paraId="6AFF6719">
      <w:pPr>
        <w:pStyle w:val="3"/>
      </w:pPr>
      <w:r>
        <w:t>Three things support this choice. A is the only pathway that acts on the root cause, since B, C and D each act on a symptom or on the load. A is also the only pathway affordable in the present environment: Spark is recovering profit from cost reduction and has committed to further savings, so a recommendation requiring platform spend or protected capacity is unlikely to be funded however sound it is. C, though, is complementary rather than rejected. Required deputies for critical systems is the better long-term structural answer and is recommended as a phase-two initiative in Section 9.3, but it needs capacity the cost reduction has removed and so cannot be the first move.</w:t>
      </w:r>
    </w:p>
    <w:p w14:paraId="62C5356C">
      <w:pPr>
        <w:pStyle w:val="3"/>
      </w:pPr>
      <w:r>
        <w:t>The GenAI interview raised two objections to Pathway A, and neither is disposed of easily.</w:t>
      </w:r>
    </w:p>
    <w:p w14:paraId="1BD64770">
      <w:pPr>
        <w:pStyle w:val="3"/>
      </w:pPr>
      <w:r>
        <w:t>The first is that gates inserted into a cost-out programme get overridden, and that each override teaches the organisation the gate is optional, so within two cycles the intervention has reproduced the failure it was meant to fix (§8.1, P2). This is the reason the design does not rely on the gate being hard to pass. It relies on the exception being named, counted and reported to the audit and risk committee, which is a different enforcement mechanism: nobody minds signing one waiver, and everybody minds appearing repeatedly on a board-level report. Section 8.2 explains why the consequence was also moved from access revocation, which the organisation cannot safely withhold, to backfill requisition approval, which it can.</w:t>
      </w:r>
    </w:p>
    <w:p w14:paraId="477F1CA5">
      <w:pPr>
        <w:pStyle w:val="3"/>
      </w:pPr>
      <w:r>
        <w:t>The second is that Pathway A is prospective. Roughly 1,450 people have already left, and nothing in this design recovers what went with them (§8.1, P5). That is correct and is not answered by better design. It is answered by scope: Phase 0 in §9.3 samples exits already made in order to size the loss, and the argument for acting now rests on the second wave rather than the first. Regretted voluntary attrition typically peaks six to eighteen months after a programme ends, and with the divisional separation completing in July 2026 the client is entering that window rather than leaving it (§6.2, P6).</w:t>
      </w:r>
    </w:p>
    <w:bookmarkEnd w:id="61"/>
    <w:p w14:paraId="0DB865B8">
      <w:pPr>
        <w:pStyle w:val="5"/>
      </w:pPr>
      <w:bookmarkStart w:id="62" w:name="justification-against-rosemann-2001"/>
      <w:r>
        <w:rPr>
          <w:color w:val="1F3864"/>
        </w:rPr>
        <w:t>7.2.3 Justification against Rosemann (2001)</w:t>
      </w:r>
    </w:p>
    <w:p w14:paraId="0001DA8C">
      <w:pPr>
        <w:pStyle w:val="25"/>
      </w:pPr>
      <w:r>
        <w:t>Rosemann (2001) groups process improvement into three types: improvements related to the outcome of a process, to the flow of activities, and to the resources involved. A redesign drawing on all three is structurally sounder than one that only rearranges activities. Table 19 maps each component of the selected solution to the improvement type it applies, which is also the argument for why the design should work.</w:t>
      </w:r>
    </w:p>
    <w:p w14:paraId="6958D2AE">
      <w:pPr>
        <w:pStyle w:val="3"/>
        <w:keepNext/>
        <w:spacing w:before="80" w:after="80" w:line="240" w:lineRule="auto"/>
        <w:jc w:val="left"/>
      </w:pPr>
      <w:r>
        <w:rPr>
          <w:b/>
          <w:bCs/>
          <w:sz w:val="22"/>
          <w:szCs w:val="22"/>
        </w:rPr>
        <w:t>Table 19.</w:t>
      </w:r>
      <w:r>
        <w:rPr>
          <w:i/>
          <w:iCs/>
          <w:sz w:val="22"/>
          <w:szCs w:val="22"/>
        </w:rPr>
        <w:t xml:space="preserve"> The selected solution mapped to Rosemann’s (2001) improvement types</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1367"/>
        <w:gridCol w:w="1990"/>
        <w:gridCol w:w="5427"/>
      </w:tblGrid>
      <w:tr w14:paraId="65C3265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16CD89AE">
            <w:pPr>
              <w:pStyle w:val="26"/>
              <w:keepNext/>
              <w:jc w:val="left"/>
            </w:pPr>
            <w:r>
              <w:rPr>
                <w:b/>
                <w:bCs/>
                <w:color w:val="FFFFFF"/>
                <w:sz w:val="20"/>
                <w:szCs w:val="20"/>
              </w:rPr>
              <w:t>Improvement type</w:t>
            </w:r>
          </w:p>
        </w:tc>
        <w:tc>
          <w:tcPr>
            <w:shd w:val="clear" w:color="auto" w:fill="1F3864"/>
          </w:tcPr>
          <w:p w14:paraId="1FF64040">
            <w:pPr>
              <w:pStyle w:val="26"/>
              <w:keepNext/>
              <w:jc w:val="left"/>
            </w:pPr>
            <w:r>
              <w:rPr>
                <w:b/>
                <w:bCs/>
                <w:color w:val="FFFFFF"/>
                <w:sz w:val="20"/>
                <w:szCs w:val="20"/>
              </w:rPr>
              <w:t>Rosemann’s mechanism</w:t>
            </w:r>
          </w:p>
        </w:tc>
        <w:tc>
          <w:tcPr>
            <w:shd w:val="clear" w:color="auto" w:fill="1F3864"/>
          </w:tcPr>
          <w:p w14:paraId="415A91C5">
            <w:pPr>
              <w:pStyle w:val="26"/>
              <w:keepNext/>
              <w:jc w:val="left"/>
            </w:pPr>
            <w:r>
              <w:rPr>
                <w:b/>
                <w:bCs/>
                <w:color w:val="FFFFFF"/>
                <w:sz w:val="20"/>
                <w:szCs w:val="20"/>
              </w:rPr>
              <w:t>Applied to Spark’s exit process</w:t>
            </w:r>
          </w:p>
        </w:tc>
      </w:tr>
      <w:tr w14:paraId="652B3F6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1E561202">
            <w:pPr>
              <w:pStyle w:val="26"/>
              <w:keepNext/>
              <w:jc w:val="left"/>
            </w:pPr>
            <w:r>
              <w:rPr>
                <w:b/>
                <w:bCs/>
                <w:sz w:val="20"/>
                <w:szCs w:val="20"/>
              </w:rPr>
              <w:t>Outcome-related</w:t>
            </w:r>
          </w:p>
        </w:tc>
        <w:tc>
          <w:p w14:paraId="655F5C07">
            <w:pPr>
              <w:pStyle w:val="26"/>
              <w:keepNext/>
              <w:jc w:val="left"/>
            </w:pPr>
            <w:r>
              <w:rPr>
                <w:i/>
                <w:iCs/>
                <w:sz w:val="20"/>
                <w:szCs w:val="20"/>
              </w:rPr>
              <w:t>Harmonisation of an outcome</w:t>
            </w:r>
            <w:r>
              <w:rPr>
                <w:sz w:val="20"/>
                <w:szCs w:val="20"/>
              </w:rPr>
              <w:t xml:space="preserve"> — horizontal standardisation of documents</w:t>
            </w:r>
          </w:p>
        </w:tc>
        <w:tc>
          <w:p w14:paraId="0066C2B0">
            <w:pPr>
              <w:pStyle w:val="26"/>
              <w:keepNext/>
              <w:jc w:val="left"/>
            </w:pPr>
            <w:r>
              <w:rPr>
                <w:sz w:val="20"/>
                <w:szCs w:val="20"/>
              </w:rPr>
              <w:t>The standard handover pack replaces an artefact whose form each departing employee chooses with a fixed structure: systems and access, recurring obligations and their timing, undocumented workarounds, in-flight commitments, escalation contacts, known fragilities. Fixed structure matters more than length, because it makes omissions visible where a free-form document hides them.</w:t>
            </w:r>
          </w:p>
        </w:tc>
      </w:tr>
      <w:tr w14:paraId="4635CFB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554DF99D">
            <w:pPr>
              <w:pStyle w:val="26"/>
              <w:jc w:val="left"/>
            </w:pPr>
            <w:r>
              <w:rPr>
                <w:b/>
                <w:bCs/>
                <w:sz w:val="20"/>
                <w:szCs w:val="20"/>
              </w:rPr>
              <w:t>Outcome-related</w:t>
            </w:r>
          </w:p>
        </w:tc>
        <w:tc>
          <w:tcPr>
            <w:shd w:val="clear" w:color="auto" w:fill="F2F5F9"/>
          </w:tcPr>
          <w:p w14:paraId="7C148592">
            <w:pPr>
              <w:pStyle w:val="26"/>
              <w:jc w:val="left"/>
            </w:pPr>
            <w:r>
              <w:rPr>
                <w:i/>
                <w:iCs/>
                <w:sz w:val="20"/>
                <w:szCs w:val="20"/>
              </w:rPr>
              <w:t>Digitalisation of an outcome</w:t>
            </w:r>
          </w:p>
        </w:tc>
        <w:tc>
          <w:tcPr>
            <w:shd w:val="clear" w:color="auto" w:fill="F2F5F9"/>
          </w:tcPr>
          <w:p w14:paraId="797EC7C0">
            <w:pPr>
              <w:pStyle w:val="26"/>
              <w:jc w:val="left"/>
            </w:pPr>
            <w:r>
              <w:rPr>
                <w:sz w:val="20"/>
                <w:szCs w:val="20"/>
              </w:rPr>
              <w:t>The pack becomes a structured record in the HRIS rather than an email or a file on a personal drive. This is what makes VHCR computable, since an outcome that is not digitised cannot be measured, and Rae Huang’s interview identified unrecoverable personal-drive storage as a live risk.</w:t>
            </w:r>
          </w:p>
        </w:tc>
      </w:tr>
      <w:tr w14:paraId="58A1AA9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D3A47B1">
            <w:pPr>
              <w:pStyle w:val="26"/>
              <w:jc w:val="left"/>
            </w:pPr>
            <w:r>
              <w:rPr>
                <w:b/>
                <w:bCs/>
                <w:sz w:val="20"/>
                <w:szCs w:val="20"/>
              </w:rPr>
              <w:t>Outcome-related</w:t>
            </w:r>
          </w:p>
        </w:tc>
        <w:tc>
          <w:p w14:paraId="6273BA84">
            <w:pPr>
              <w:pStyle w:val="26"/>
              <w:jc w:val="left"/>
            </w:pPr>
            <w:r>
              <w:rPr>
                <w:i/>
                <w:iCs/>
                <w:sz w:val="20"/>
                <w:szCs w:val="20"/>
              </w:rPr>
              <w:t>Process-oriented optimisation of an outcome</w:t>
            </w:r>
          </w:p>
        </w:tc>
        <w:tc>
          <w:p w14:paraId="321FFAFC">
            <w:pPr>
              <w:pStyle w:val="26"/>
              <w:jc w:val="left"/>
            </w:pPr>
            <w:r>
              <w:rPr>
                <w:sz w:val="20"/>
                <w:szCs w:val="20"/>
              </w:rPr>
              <w:t>The outcome is redefined from “the employment relationship is closed” to “the work continues”. Every other change follows from that redefinition.</w:t>
            </w:r>
          </w:p>
        </w:tc>
      </w:tr>
      <w:tr w14:paraId="215B0AE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2687FD52">
            <w:pPr>
              <w:pStyle w:val="26"/>
              <w:jc w:val="left"/>
            </w:pPr>
            <w:r>
              <w:rPr>
                <w:b/>
                <w:bCs/>
                <w:sz w:val="20"/>
                <w:szCs w:val="20"/>
              </w:rPr>
              <w:t>Activity-related</w:t>
            </w:r>
          </w:p>
        </w:tc>
        <w:tc>
          <w:tcPr>
            <w:shd w:val="clear" w:color="auto" w:fill="F2F5F9"/>
          </w:tcPr>
          <w:p w14:paraId="6D2CD8E9">
            <w:pPr>
              <w:pStyle w:val="26"/>
              <w:jc w:val="left"/>
            </w:pPr>
            <w:r>
              <w:rPr>
                <w:i/>
                <w:iCs/>
                <w:sz w:val="20"/>
                <w:szCs w:val="20"/>
              </w:rPr>
              <w:t>Change the flow of activities: pull instead of push</w:t>
            </w:r>
          </w:p>
        </w:tc>
        <w:tc>
          <w:tcPr>
            <w:shd w:val="clear" w:color="auto" w:fill="F2F5F9"/>
          </w:tcPr>
          <w:p w14:paraId="249B34EF">
            <w:pPr>
              <w:pStyle w:val="26"/>
              <w:jc w:val="left"/>
            </w:pPr>
            <w:r>
              <w:rPr>
                <w:sz w:val="20"/>
                <w:szCs w:val="20"/>
              </w:rPr>
              <w:t>The receiving owner specifies what they need before the departing employee writes anything. Under the AS-IS design the departing employee pushes an artefact of their own choosing at a receiver who has asked for nothing specific; under the TO-BE design the receiver pulls against a stated need. Rosemann’s argument that pull replaces speculative production with demand-triggered production applies directly, since the departing employee stops guessing what will be wanted.</w:t>
            </w:r>
          </w:p>
        </w:tc>
      </w:tr>
      <w:tr w14:paraId="1C0C525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55B31212">
            <w:pPr>
              <w:pStyle w:val="26"/>
              <w:jc w:val="left"/>
            </w:pPr>
            <w:r>
              <w:rPr>
                <w:b/>
                <w:bCs/>
                <w:sz w:val="20"/>
                <w:szCs w:val="20"/>
              </w:rPr>
              <w:t>Activity-related</w:t>
            </w:r>
          </w:p>
        </w:tc>
        <w:tc>
          <w:p w14:paraId="1AC07B77">
            <w:pPr>
              <w:pStyle w:val="26"/>
              <w:jc w:val="left"/>
            </w:pPr>
            <w:r>
              <w:rPr>
                <w:i/>
                <w:iCs/>
                <w:sz w:val="20"/>
                <w:szCs w:val="20"/>
              </w:rPr>
              <w:t>Focus on bottleneck activities</w:t>
            </w:r>
          </w:p>
        </w:tc>
        <w:tc>
          <w:p w14:paraId="3DB465BF">
            <w:pPr>
              <w:pStyle w:val="26"/>
              <w:jc w:val="left"/>
            </w:pPr>
            <w:r>
              <w:rPr>
                <w:sz w:val="20"/>
                <w:szCs w:val="20"/>
              </w:rPr>
              <w:t>The bottleneck is verification, not capture. Rosemann’s rule that an hour lost at a bottleneck is lost to the whole system explains why adding capture effort without adding verification capacity achieves nothing: unverified packs simply accumulate. The redesign therefore protects receiver time rather than adding to the departing employee’s workload.</w:t>
            </w:r>
          </w:p>
        </w:tc>
      </w:tr>
      <w:tr w14:paraId="588FF03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06469849">
            <w:pPr>
              <w:pStyle w:val="26"/>
              <w:jc w:val="left"/>
            </w:pPr>
            <w:r>
              <w:rPr>
                <w:b/>
                <w:bCs/>
                <w:sz w:val="20"/>
                <w:szCs w:val="20"/>
              </w:rPr>
              <w:t>Activity-related</w:t>
            </w:r>
          </w:p>
        </w:tc>
        <w:tc>
          <w:tcPr>
            <w:shd w:val="clear" w:color="auto" w:fill="F2F5F9"/>
          </w:tcPr>
          <w:p w14:paraId="05F0949F">
            <w:pPr>
              <w:pStyle w:val="26"/>
              <w:jc w:val="left"/>
            </w:pPr>
            <w:r>
              <w:rPr>
                <w:i/>
                <w:iCs/>
                <w:sz w:val="20"/>
                <w:szCs w:val="20"/>
              </w:rPr>
              <w:t>Parallel routing of activities</w:t>
            </w:r>
          </w:p>
        </w:tc>
        <w:tc>
          <w:tcPr>
            <w:shd w:val="clear" w:color="auto" w:fill="F2F5F9"/>
          </w:tcPr>
          <w:p w14:paraId="4C0322F3">
            <w:pPr>
              <w:pStyle w:val="26"/>
              <w:jc w:val="left"/>
            </w:pPr>
            <w:r>
              <w:rPr>
                <w:sz w:val="20"/>
                <w:szCs w:val="20"/>
              </w:rPr>
              <w:t>Knowledge transfer and administrative offboarding run in parallel from the moment the exit is confirmed, and are joined before revocation. In the AS-IS model handover is squeezed into whatever is left of the notice period after the administrative tasks; running them in parallel lengthens the transfer window without lengthening the exit.</w:t>
            </w:r>
          </w:p>
        </w:tc>
      </w:tr>
      <w:tr w14:paraId="60547C6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2A1BDDED">
            <w:pPr>
              <w:pStyle w:val="26"/>
              <w:jc w:val="left"/>
            </w:pPr>
            <w:r>
              <w:rPr>
                <w:b/>
                <w:bCs/>
                <w:sz w:val="20"/>
                <w:szCs w:val="20"/>
              </w:rPr>
              <w:t>Activity-related</w:t>
            </w:r>
          </w:p>
        </w:tc>
        <w:tc>
          <w:p w14:paraId="099F9872">
            <w:pPr>
              <w:pStyle w:val="26"/>
              <w:jc w:val="left"/>
            </w:pPr>
            <w:r>
              <w:rPr>
                <w:i/>
                <w:iCs/>
                <w:sz w:val="20"/>
                <w:szCs w:val="20"/>
              </w:rPr>
              <w:t>Automation of activities</w:t>
            </w:r>
          </w:p>
        </w:tc>
        <w:tc>
          <w:p w14:paraId="43E95A15">
            <w:pPr>
              <w:pStyle w:val="26"/>
              <w:jc w:val="left"/>
            </w:pPr>
            <w:r>
              <w:rPr>
                <w:sz w:val="20"/>
                <w:szCs w:val="20"/>
              </w:rPr>
              <w:t>Criticality triage fires automatically from HRIS attributes already held, such as system ownership, on-call membership, tenure and sole-operator status. Automation here is about integrity rather than efficiency, because an automatic classification cannot be under-declared by a manager who would rather avoid the extra work, which is the gaming risk the GenAI interview raised.</w:t>
            </w:r>
          </w:p>
        </w:tc>
      </w:tr>
      <w:tr w14:paraId="37DCFF5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388E9DEE">
            <w:pPr>
              <w:pStyle w:val="26"/>
              <w:jc w:val="left"/>
            </w:pPr>
            <w:r>
              <w:rPr>
                <w:b/>
                <w:bCs/>
                <w:sz w:val="20"/>
                <w:szCs w:val="20"/>
              </w:rPr>
              <w:t>Resource-related</w:t>
            </w:r>
          </w:p>
        </w:tc>
        <w:tc>
          <w:tcPr>
            <w:shd w:val="clear" w:color="auto" w:fill="F2F5F9"/>
          </w:tcPr>
          <w:p w14:paraId="204E6789">
            <w:pPr>
              <w:pStyle w:val="26"/>
              <w:jc w:val="left"/>
            </w:pPr>
            <w:r>
              <w:rPr>
                <w:i/>
                <w:iCs/>
                <w:sz w:val="20"/>
                <w:szCs w:val="20"/>
              </w:rPr>
              <w:t>Assignment of resources</w:t>
            </w:r>
          </w:p>
        </w:tc>
        <w:tc>
          <w:tcPr>
            <w:shd w:val="clear" w:color="auto" w:fill="F2F5F9"/>
          </w:tcPr>
          <w:p w14:paraId="5370A83D">
            <w:pPr>
              <w:pStyle w:val="26"/>
              <w:jc w:val="left"/>
            </w:pPr>
            <w:r>
              <w:rPr>
                <w:sz w:val="20"/>
                <w:szCs w:val="20"/>
              </w:rPr>
              <w:t>A named receiving owner is assigned when the exit is confirmed rather than when the person leaves. This is the single most important change, because it converts an unowned outcome into an owned one, which is the root cause stated in §7.1.</w:t>
            </w:r>
          </w:p>
        </w:tc>
      </w:tr>
      <w:tr w14:paraId="25C0DCD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186786A2">
            <w:pPr>
              <w:pStyle w:val="26"/>
              <w:jc w:val="left"/>
            </w:pPr>
            <w:r>
              <w:rPr>
                <w:b/>
                <w:bCs/>
                <w:sz w:val="20"/>
                <w:szCs w:val="20"/>
              </w:rPr>
              <w:t>Resource-related</w:t>
            </w:r>
          </w:p>
        </w:tc>
        <w:tc>
          <w:p w14:paraId="2AB627C2">
            <w:pPr>
              <w:pStyle w:val="26"/>
              <w:jc w:val="left"/>
            </w:pPr>
            <w:r>
              <w:rPr>
                <w:i/>
                <w:iCs/>
                <w:sz w:val="20"/>
                <w:szCs w:val="20"/>
              </w:rPr>
              <w:t>Job enrichment</w:t>
            </w:r>
          </w:p>
        </w:tc>
        <w:tc>
          <w:p w14:paraId="0BD85BC0">
            <w:pPr>
              <w:pStyle w:val="26"/>
              <w:jc w:val="left"/>
            </w:pPr>
            <w:r>
              <w:rPr>
                <w:sz w:val="20"/>
                <w:szCs w:val="20"/>
              </w:rPr>
              <w:t>The receiving-owner role is a recorded, visible accountability rather than an administrative task. Rosemann’s point about enrichment raising engagement matters here because the design depends on this person verifying honestly rather than signing to clear a queue.</w:t>
            </w:r>
          </w:p>
        </w:tc>
      </w:tr>
    </w:tbl>
    <w:p w14:paraId="5575F960">
      <w:pPr>
        <w:pStyle w:val="3"/>
      </w:pPr>
      <w:r>
        <w:t xml:space="preserve">Two of Rosemann’s mechanisms were considered and not applied. </w:t>
      </w:r>
      <w:r>
        <w:rPr>
          <w:i/>
          <w:iCs/>
        </w:rPr>
        <w:t>Elimination of activities</w:t>
      </w:r>
      <w:r>
        <w:t xml:space="preserve"> does not fit, since nothing in the current process is redundant and the problem is what is missing. </w:t>
      </w:r>
      <w:r>
        <w:rPr>
          <w:i/>
          <w:iCs/>
        </w:rPr>
        <w:t>Job enlargement</w:t>
      </w:r>
      <w:r>
        <w:t xml:space="preserve"> was rejected because adding verification to an already stretched receiving manager’s task list, without recognising it as a distinct accountability, would produce exactly the sign-without-reading failure both interviews predicted.</w:t>
      </w:r>
    </w:p>
    <w:p w14:paraId="11DD4D32">
      <w:pPr>
        <w:pStyle w:val="3"/>
      </w:pPr>
      <w:r>
        <w:t>The design is also consistent with Rosemann’s (2006) warnings about process modelling. In particular it does not centre the TO-BE model on new IT, which he identifies as a standard pitfall; the only technology change is two mandatory fields on an existing HRIS record.</w:t>
      </w:r>
    </w:p>
    <w:bookmarkEnd w:id="59"/>
    <w:bookmarkEnd w:id="62"/>
    <w:p w14:paraId="3C02E497">
      <w:pPr>
        <w:pStyle w:val="4"/>
      </w:pPr>
      <w:bookmarkStart w:id="63" w:name="_Toc13034"/>
      <w:bookmarkStart w:id="64" w:name="Xb31ae16d3409dc73581a8bbeb80cdd59adc22d3"/>
      <w:r>
        <w:rPr>
          <w:color w:val="1F3864"/>
        </w:rPr>
        <w:t>7.3 How the chosen solution improves the dysfunctional process</w:t>
      </w:r>
      <w:bookmarkEnd w:id="63"/>
    </w:p>
    <w:p w14:paraId="7E1F1F3F">
      <w:pPr>
        <w:pStyle w:val="25"/>
      </w:pPr>
      <w:r>
        <w:t>Table 20 maps the four failure points identified in the AS-IS model (§1.6) to the change that removes each one, and to the measure that will show it has been removed.</w:t>
      </w:r>
    </w:p>
    <w:p w14:paraId="5725805B">
      <w:pPr>
        <w:pStyle w:val="3"/>
        <w:keepNext/>
        <w:spacing w:before="80" w:after="80" w:line="240" w:lineRule="auto"/>
        <w:jc w:val="left"/>
      </w:pPr>
      <w:r>
        <w:rPr>
          <w:b/>
          <w:bCs/>
          <w:sz w:val="22"/>
          <w:szCs w:val="22"/>
        </w:rPr>
        <w:t>Table 20.</w:t>
      </w:r>
      <w:r>
        <w:rPr>
          <w:i/>
          <w:iCs/>
          <w:sz w:val="22"/>
          <w:szCs w:val="22"/>
        </w:rPr>
        <w:t xml:space="preserve"> AS-IS failure points and the corresponding TO-BE changes</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244"/>
        <w:gridCol w:w="1756"/>
        <w:gridCol w:w="1710"/>
        <w:gridCol w:w="3340"/>
        <w:gridCol w:w="1734"/>
      </w:tblGrid>
      <w:tr w14:paraId="69A33A7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6D5C71CE">
            <w:pPr>
              <w:pStyle w:val="26"/>
              <w:keepNext/>
              <w:jc w:val="left"/>
            </w:pPr>
            <w:r>
              <w:rPr>
                <w:b/>
                <w:bCs/>
                <w:color w:val="FFFFFF"/>
                <w:sz w:val="20"/>
                <w:szCs w:val="20"/>
              </w:rPr>
              <w:t>#</w:t>
            </w:r>
          </w:p>
        </w:tc>
        <w:tc>
          <w:tcPr>
            <w:shd w:val="clear" w:color="auto" w:fill="1F3864"/>
          </w:tcPr>
          <w:p w14:paraId="75E4DF17">
            <w:pPr>
              <w:pStyle w:val="26"/>
              <w:keepNext/>
              <w:jc w:val="left"/>
            </w:pPr>
            <w:r>
              <w:rPr>
                <w:b/>
                <w:bCs/>
                <w:color w:val="FFFFFF"/>
                <w:sz w:val="20"/>
                <w:szCs w:val="20"/>
              </w:rPr>
              <w:t>AS-IS failure</w:t>
            </w:r>
          </w:p>
        </w:tc>
        <w:tc>
          <w:tcPr>
            <w:shd w:val="clear" w:color="auto" w:fill="1F3864"/>
          </w:tcPr>
          <w:p w14:paraId="5A2455F5">
            <w:pPr>
              <w:pStyle w:val="26"/>
              <w:keepNext/>
              <w:jc w:val="left"/>
            </w:pPr>
            <w:r>
              <w:rPr>
                <w:b/>
                <w:bCs/>
                <w:color w:val="FFFFFF"/>
                <w:sz w:val="20"/>
                <w:szCs w:val="20"/>
              </w:rPr>
              <w:t>Why it fails</w:t>
            </w:r>
          </w:p>
        </w:tc>
        <w:tc>
          <w:tcPr>
            <w:shd w:val="clear" w:color="auto" w:fill="1F3864"/>
          </w:tcPr>
          <w:p w14:paraId="7050F671">
            <w:pPr>
              <w:pStyle w:val="26"/>
              <w:keepNext/>
              <w:jc w:val="left"/>
            </w:pPr>
            <w:r>
              <w:rPr>
                <w:b/>
                <w:bCs/>
                <w:color w:val="FFFFFF"/>
                <w:sz w:val="20"/>
                <w:szCs w:val="20"/>
              </w:rPr>
              <w:t>TO-BE change</w:t>
            </w:r>
          </w:p>
        </w:tc>
        <w:tc>
          <w:tcPr>
            <w:shd w:val="clear" w:color="auto" w:fill="1F3864"/>
          </w:tcPr>
          <w:p w14:paraId="69D7CB3E">
            <w:pPr>
              <w:pStyle w:val="26"/>
              <w:keepNext/>
              <w:jc w:val="left"/>
            </w:pPr>
            <w:r>
              <w:rPr>
                <w:b/>
                <w:bCs/>
                <w:color w:val="FFFFFF"/>
                <w:sz w:val="20"/>
                <w:szCs w:val="20"/>
              </w:rPr>
              <w:t>Measured by</w:t>
            </w:r>
          </w:p>
        </w:tc>
      </w:tr>
      <w:tr w14:paraId="289924C4">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0257345A">
            <w:pPr>
              <w:pStyle w:val="26"/>
              <w:keepNext/>
              <w:jc w:val="left"/>
            </w:pPr>
            <w:r>
              <w:rPr>
                <w:sz w:val="20"/>
                <w:szCs w:val="20"/>
              </w:rPr>
              <w:t>1</w:t>
            </w:r>
          </w:p>
        </w:tc>
        <w:tc>
          <w:p w14:paraId="16E5D808">
            <w:pPr>
              <w:pStyle w:val="26"/>
              <w:keepNext/>
              <w:jc w:val="left"/>
            </w:pPr>
            <w:r>
              <w:rPr>
                <w:sz w:val="20"/>
                <w:szCs w:val="20"/>
              </w:rPr>
              <w:t>“Prepare handover at own discretion” — no template, no completion criterion</w:t>
            </w:r>
          </w:p>
        </w:tc>
        <w:tc>
          <w:p w14:paraId="7622BA91">
            <w:pPr>
              <w:pStyle w:val="26"/>
              <w:keepNext/>
              <w:jc w:val="left"/>
            </w:pPr>
            <w:r>
              <w:rPr>
                <w:sz w:val="20"/>
                <w:szCs w:val="20"/>
              </w:rPr>
              <w:t>Output quality is invisible, so variation cannot be detected or managed</w:t>
            </w:r>
          </w:p>
        </w:tc>
        <w:tc>
          <w:p w14:paraId="4A15BB1D">
            <w:pPr>
              <w:pStyle w:val="26"/>
              <w:keepNext/>
              <w:jc w:val="left"/>
            </w:pPr>
            <w:r>
              <w:rPr>
                <w:sz w:val="20"/>
                <w:szCs w:val="20"/>
              </w:rPr>
              <w:t>Standard handover pack with fixed sections; receiving owner specifies the requirement first (pull)</w:t>
            </w:r>
          </w:p>
        </w:tc>
        <w:tc>
          <w:p w14:paraId="314E1F2B">
            <w:pPr>
              <w:pStyle w:val="26"/>
              <w:keepNext/>
              <w:jc w:val="left"/>
            </w:pPr>
            <w:r>
              <w:rPr>
                <w:sz w:val="20"/>
                <w:szCs w:val="20"/>
              </w:rPr>
              <w:t>VHCR</w:t>
            </w:r>
          </w:p>
        </w:tc>
      </w:tr>
      <w:tr w14:paraId="7EA1A11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7522693F">
            <w:pPr>
              <w:pStyle w:val="26"/>
              <w:jc w:val="left"/>
            </w:pPr>
            <w:r>
              <w:rPr>
                <w:sz w:val="20"/>
                <w:szCs w:val="20"/>
              </w:rPr>
              <w:t>2</w:t>
            </w:r>
          </w:p>
        </w:tc>
        <w:tc>
          <w:tcPr>
            <w:shd w:val="clear" w:color="auto" w:fill="F2F5F9"/>
          </w:tcPr>
          <w:p w14:paraId="14696B60">
            <w:pPr>
              <w:pStyle w:val="26"/>
              <w:jc w:val="left"/>
            </w:pPr>
            <w:r>
              <w:rPr>
                <w:sz w:val="20"/>
                <w:szCs w:val="20"/>
              </w:rPr>
              <w:t>Timer boundary event — the notice period can expire before handover ends</w:t>
            </w:r>
          </w:p>
        </w:tc>
        <w:tc>
          <w:tcPr>
            <w:shd w:val="clear" w:color="auto" w:fill="F2F5F9"/>
          </w:tcPr>
          <w:p w14:paraId="17DE26C8">
            <w:pPr>
              <w:pStyle w:val="26"/>
              <w:jc w:val="left"/>
            </w:pPr>
            <w:r>
              <w:rPr>
                <w:sz w:val="20"/>
                <w:szCs w:val="20"/>
              </w:rPr>
              <w:t>Transfer time is set by employment process, not by knowledge complexity</w:t>
            </w:r>
          </w:p>
        </w:tc>
        <w:tc>
          <w:tcPr>
            <w:shd w:val="clear" w:color="auto" w:fill="F2F5F9"/>
          </w:tcPr>
          <w:p w14:paraId="3C9229D6">
            <w:pPr>
              <w:pStyle w:val="26"/>
              <w:jc w:val="left"/>
            </w:pPr>
            <w:r>
              <w:rPr>
                <w:sz w:val="20"/>
                <w:szCs w:val="20"/>
              </w:rPr>
              <w:t>Transfer runs in parallel with administrative offboarding from exit confirmation; triage fires within 5 working days</w:t>
            </w:r>
          </w:p>
        </w:tc>
        <w:tc>
          <w:tcPr>
            <w:shd w:val="clear" w:color="auto" w:fill="F2F5F9"/>
          </w:tcPr>
          <w:p w14:paraId="172FF9F7">
            <w:pPr>
              <w:pStyle w:val="26"/>
              <w:jc w:val="left"/>
            </w:pPr>
            <w:r>
              <w:rPr>
                <w:sz w:val="20"/>
                <w:szCs w:val="20"/>
              </w:rPr>
              <w:t>CAC; HVLT</w:t>
            </w:r>
          </w:p>
        </w:tc>
      </w:tr>
      <w:tr w14:paraId="704EF20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7AF5203">
            <w:pPr>
              <w:pStyle w:val="26"/>
              <w:jc w:val="left"/>
            </w:pPr>
            <w:r>
              <w:rPr>
                <w:sz w:val="20"/>
                <w:szCs w:val="20"/>
              </w:rPr>
              <w:t>3</w:t>
            </w:r>
          </w:p>
        </w:tc>
        <w:tc>
          <w:p w14:paraId="63C66541">
            <w:pPr>
              <w:pStyle w:val="26"/>
              <w:jc w:val="left"/>
            </w:pPr>
            <w:r>
              <w:rPr>
                <w:sz w:val="20"/>
                <w:szCs w:val="20"/>
              </w:rPr>
              <w:t>Offboarding gateway asks only “Checklist complete?”</w:t>
            </w:r>
          </w:p>
        </w:tc>
        <w:tc>
          <w:p w14:paraId="582D9DC0">
            <w:pPr>
              <w:pStyle w:val="26"/>
              <w:jc w:val="left"/>
            </w:pPr>
            <w:r>
              <w:rPr>
                <w:sz w:val="20"/>
                <w:szCs w:val="20"/>
              </w:rPr>
              <w:t>Knowledge is not represented in any decision the process makes</w:t>
            </w:r>
          </w:p>
        </w:tc>
        <w:tc>
          <w:p w14:paraId="0ABE820C">
            <w:pPr>
              <w:pStyle w:val="26"/>
              <w:jc w:val="left"/>
            </w:pPr>
            <w:r>
              <w:rPr>
                <w:sz w:val="20"/>
                <w:szCs w:val="20"/>
              </w:rPr>
              <w:t>Verification by demonstrated competence becomes a decision in its own right, and failing it blocks approval of the backfill requisition. Access revocation is left unconditional, with delegated mailbox and drive access granted to the receiver</w:t>
            </w:r>
          </w:p>
        </w:tc>
        <w:tc>
          <w:p w14:paraId="6B311AE9">
            <w:pPr>
              <w:pStyle w:val="26"/>
              <w:jc w:val="left"/>
            </w:pPr>
            <w:r>
              <w:rPr>
                <w:sz w:val="20"/>
                <w:szCs w:val="20"/>
              </w:rPr>
              <w:t>VHCR; exception count</w:t>
            </w:r>
          </w:p>
        </w:tc>
      </w:tr>
      <w:tr w14:paraId="6EB3563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5829DA53">
            <w:pPr>
              <w:pStyle w:val="26"/>
              <w:jc w:val="left"/>
            </w:pPr>
            <w:r>
              <w:rPr>
                <w:sz w:val="20"/>
                <w:szCs w:val="20"/>
              </w:rPr>
              <w:t>4</w:t>
            </w:r>
          </w:p>
        </w:tc>
        <w:tc>
          <w:tcPr>
            <w:shd w:val="clear" w:color="auto" w:fill="F2F5F9"/>
          </w:tcPr>
          <w:p w14:paraId="0F8991CE">
            <w:pPr>
              <w:pStyle w:val="26"/>
              <w:jc w:val="left"/>
            </w:pPr>
            <w:r>
              <w:rPr>
                <w:sz w:val="20"/>
                <w:szCs w:val="20"/>
              </w:rPr>
              <w:t>Receiving team’s reconstruct-and-escalate loop ending in contractor engagement</w:t>
            </w:r>
          </w:p>
        </w:tc>
        <w:tc>
          <w:tcPr>
            <w:shd w:val="clear" w:color="auto" w:fill="F2F5F9"/>
          </w:tcPr>
          <w:p w14:paraId="59CFBE41">
            <w:pPr>
              <w:pStyle w:val="26"/>
              <w:jc w:val="left"/>
            </w:pPr>
            <w:r>
              <w:rPr>
                <w:sz w:val="20"/>
                <w:szCs w:val="20"/>
              </w:rPr>
              <w:t>The receiving team inherits the work without the reasoning behind it</w:t>
            </w:r>
          </w:p>
        </w:tc>
        <w:tc>
          <w:tcPr>
            <w:shd w:val="clear" w:color="auto" w:fill="F2F5F9"/>
          </w:tcPr>
          <w:p w14:paraId="06C26FBD">
            <w:pPr>
              <w:pStyle w:val="26"/>
              <w:jc w:val="left"/>
            </w:pPr>
            <w:r>
              <w:rPr>
                <w:sz w:val="20"/>
                <w:szCs w:val="20"/>
              </w:rPr>
              <w:t>Competence check while the departing employee is still available; delegated mailbox and drive access at revocation; T+45 check asking the receiver what they had to rediscover</w:t>
            </w:r>
          </w:p>
        </w:tc>
        <w:tc>
          <w:tcPr>
            <w:shd w:val="clear" w:color="auto" w:fill="F2F5F9"/>
          </w:tcPr>
          <w:p w14:paraId="42E6454E">
            <w:pPr>
              <w:pStyle w:val="26"/>
              <w:jc w:val="left"/>
            </w:pPr>
            <w:r>
              <w:rPr>
                <w:sz w:val="20"/>
                <w:szCs w:val="20"/>
              </w:rPr>
              <w:t>90-day reopen rate; contractor engagements attributable to a specific exit</w:t>
            </w:r>
          </w:p>
        </w:tc>
      </w:tr>
    </w:tbl>
    <w:p w14:paraId="08E881AD">
      <w:pPr>
        <w:pStyle w:val="3"/>
      </w:pPr>
      <w:r>
        <w:t>Four things follow, roughly in the order the client would experience them.</w:t>
      </w:r>
    </w:p>
    <w:p w14:paraId="33B456A3">
      <w:pPr>
        <w:pStyle w:val="3"/>
      </w:pPr>
      <w:r>
        <w:t>The completion criterion moves from a date to a demonstration. Under the AS-IS design an exit completes when the calendar says so and a manager ticks a box; under the TO-BE design the handover completes when the receiving owner has actually performed the work unaided, or when a named approver accepts a logged exception. That is the whole of the change, and everything else supports it. Note what it does not do: it does not hold the leaver’s account open. Section 8.2 explains why that was removed.</w:t>
      </w:r>
    </w:p>
    <w:p w14:paraId="0328DAC4">
      <w:pPr>
        <w:pStyle w:val="3"/>
      </w:pPr>
      <w:r>
        <w:t>The failure becomes visible before it becomes expensive. VHCR, CAC and HVLT make a failed handover appear in a monthly report rather than in an incident three months later that nobody connects to the exit. As both interviews suggested, a failure with no metric produces no management response.</w:t>
      </w:r>
    </w:p>
    <w:p w14:paraId="2209CD1D">
      <w:pPr>
        <w:pStyle w:val="3"/>
      </w:pPr>
      <w:r>
        <w:t>The exception is designed rather than improvised. Both interviews independently predicted that an undesigned override would become the default route within two quarters (§6.1, Q25; §6.2, P5). The TO-BE design therefore permits the exception, requiring a named divisional approver, blocking the backfill requisition until the gap is remediated, and reporting it quarterly to the audit and risk committee. Making the override countable rather than difficult is what keeps it real without putting it on the critical path of an urgent exit, and, as §8.2 sets out, the consequence attaches to something the organisation controls rather than to the leaver’s access.</w:t>
      </w:r>
    </w:p>
    <w:p w14:paraId="14D1C323">
      <w:pPr>
        <w:pStyle w:val="3"/>
      </w:pPr>
      <w:r>
        <w:t>The financial leakage becomes attributable. Recording criticality and verification against each exit gives the timing-and-causality test in §4.5 something to join to, so that contractor engagements can be matched to the exits that prompted them rather than inferred from a movement in the ledger. That closes the accounting gap the financial-domain interview identified, by giving the subtraction an owner.</w:t>
      </w:r>
    </w:p>
    <w:p w14:paraId="02380AFB">
      <w:pPr>
        <w:pStyle w:val="3"/>
      </w:pPr>
      <w:r>
        <w:t xml:space="preserve">Applying the improvement target from §2.1, raising VHCR from an estimated baseline below 50% to 90% reduces unverified critical exits from roughly 190 to roughly 38 over an equivalent period. On the cost model in Table 5 that recovers approximately </w:t>
      </w:r>
      <w:r>
        <w:rPr>
          <w:b/>
          <w:bCs/>
        </w:rPr>
        <w:t>NZ$1.4 million a year</w:t>
      </w:r>
      <w:r>
        <w:t xml:space="preserve"> of rework and contractor spend, against an implementation cost well under NZ$100,000 since it consists of configuration, a template and a report. What remains is the tacit component that no artefact would have carried, since tacit knowledge is acquired through shared experience rather than through documents and cannot be fully externalised into explicit form (Nonaka &amp; Takeuchi, 1995), which only the phase-two deputy model in Section 9.3 addresses.</w:t>
      </w:r>
    </w:p>
    <w:bookmarkEnd w:id="55"/>
    <w:bookmarkEnd w:id="64"/>
    <w:p w14:paraId="31485EAE">
      <w:pPr>
        <w:pStyle w:val="2"/>
      </w:pPr>
      <w:bookmarkStart w:id="65" w:name="_Toc6533"/>
      <w:bookmarkStart w:id="66" w:name="proposing-the-to-be-process-model"/>
      <w:r>
        <w:rPr>
          <w:color w:val="1F3864"/>
        </w:rPr>
        <w:t>8. Proposing the TO-BE Process Model</w:t>
      </w:r>
      <w:bookmarkEnd w:id="65"/>
    </w:p>
    <w:p w14:paraId="7D32C6DA">
      <w:pPr>
        <w:pStyle w:val="4"/>
      </w:pPr>
      <w:bookmarkStart w:id="67" w:name="_Toc11877"/>
      <w:bookmarkStart w:id="68" w:name="X00f721de06ee26d1fadc628f73d437ea60f85e2"/>
      <w:r>
        <w:rPr>
          <w:color w:val="1F3864"/>
        </w:rPr>
        <w:t>8.1 Use of GenAI to flesh out the TO-BE process</w:t>
      </w:r>
      <w:bookmarkEnd w:id="67"/>
    </w:p>
    <w:p w14:paraId="3D55EC75">
      <w:pPr>
        <w:pStyle w:val="25"/>
      </w:pPr>
      <w:r>
        <w:t>Generative AI was used to work out the structure, sequence and detail of the process before it was modelled, and then to attack the result. The transcript below is the substantive exchange.</w:t>
      </w:r>
    </w:p>
    <w:p w14:paraId="0FBB470D">
      <w:pPr>
        <w:pStyle w:val="3"/>
      </w:pPr>
      <w:r>
        <w:rPr>
          <w:b/>
          <w:bCs/>
        </w:rPr>
        <w:t>System: Claude (Anthropic), model claude-opus-5. Method: A separate conversation from §6.2, with no access to that transcript, to this report, or to any tools, so that the design was not anchored on the diagnostic interview.</w:t>
      </w:r>
      <w:r>
        <w:br w:type="textWrapping"/>
      </w:r>
      <w:r>
        <w:br w:type="textWrapping"/>
      </w:r>
    </w:p>
    <w:p w14:paraId="2195C2A2">
      <w:pPr>
        <w:pStyle w:val="3"/>
      </w:pPr>
      <w:r>
        <w:t>The output is treated as a design input to be evaluated rather than as an authority. Section 8.2 records what was adopted, modified and rejected. One item in the critique changed the recommended solution.</w:t>
      </w:r>
    </w:p>
    <w:p w14:paraId="183AE541">
      <w:r>
        <w:pict>
          <v:rect id="_x0000_i1032" o:spt="1" style="height:1.5pt;width:0pt;" coordsize="21600,21600" o:hr="t" o:hrstd="t" o:hralign="center">
            <v:path/>
            <v:fill focussize="0,0"/>
            <v:stroke/>
            <v:imagedata o:title=""/>
            <o:lock v:ext="edit"/>
            <w10:wrap type="none"/>
            <w10:anchorlock/>
          </v:rect>
        </w:pict>
      </w:r>
    </w:p>
    <w:p w14:paraId="7E85C939">
      <w:pPr>
        <w:pStyle w:val="25"/>
      </w:pPr>
      <w:r>
        <w:rPr>
          <w:b/>
          <w:bCs/>
        </w:rPr>
        <w:t>PROMPT 1.</w:t>
      </w:r>
      <w:r>
        <w:t xml:space="preserve"> </w:t>
      </w:r>
      <w:r>
        <w:rPr>
          <w:i/>
          <w:iCs/>
        </w:rPr>
        <w:t>“I have selected a solution: a gated knowledge handover for Spark New Zealand, with automatic criticality triage from HRIS attributes, a named receiving owner assigned at exit confirmation, a standard handover pack, and a verification gate before system access revocation. Set out the TO-BE process as an ordered sequence of activities, with the participant for each step, the decision points and their conditions, and the events that start and end it. Assume BPMN 2.0 with lanes.”</w:t>
      </w:r>
    </w:p>
    <w:p w14:paraId="5A7D9207">
      <w:pPr>
        <w:pStyle w:val="3"/>
      </w:pPr>
      <w:r>
        <w:rPr>
          <w:b/>
          <w:bCs/>
        </w:rPr>
        <w:t>RESPONSE 1.</w:t>
      </w:r>
      <w:r>
        <w:t xml:space="preserve"> </w:t>
      </w:r>
      <w:r>
        <w:rPr>
          <w:i/>
          <w:iCs/>
        </w:rPr>
        <w:t>(abridged — the full lane list and nineteen-step sequence were returned; the specification adopted for modelling is consolidated in Table 22.)</w:t>
      </w:r>
    </w:p>
    <w:p w14:paraId="2C948317">
      <w:pPr>
        <w:pStyle w:val="3"/>
      </w:pPr>
      <w:r>
        <w:rPr>
          <w:b/>
          <w:bCs/>
        </w:rPr>
        <w:t>Lanes:</w:t>
      </w:r>
      <w:r>
        <w:t xml:space="preserve"> Leaver; People Leader; People Services (HR Operations); Knowledge Handover Service (automated rules engine); Receiving Owner; Knowledge Governance Lead; IT Identity and Access Management.</w:t>
      </w:r>
    </w:p>
    <w:p w14:paraId="25DD810D">
      <w:pPr>
        <w:pStyle w:val="3"/>
      </w:pPr>
      <w:r>
        <w:rPr>
          <w:b/>
          <w:bCs/>
        </w:rPr>
        <w:t>Start event:</w:t>
      </w:r>
      <w:r>
        <w:t xml:space="preserve"> message start event, “Exit confirmed in HRIS”, emitted when a resignation, end of fixed term, or termination is recorded and the exit date is set. No manual initiation.</w:t>
      </w:r>
    </w:p>
    <w:p w14:paraId="1D1572D7">
      <w:pPr>
        <w:pStyle w:val="3"/>
      </w:pPr>
      <w:r>
        <w:t>The sequence runs: consume the HRIS message and create the handover case; pull HRIS attributes (role family, tenure, on-call status, sole-incumbent flag, entitlement count, regulated system access); run automatic criticality triage against a ruleset; notify the People Leader of the rating and the due date at exit date minus five working days; the leader confirms or challenges the rating; the leader names a single receiving individual, not a team and not “TBC”; issue a handover pack pre-populated from source systems; the leaver completes it; leaver and receiver conduct walkthrough sessions, with shadowing mandatory for critical cases; the receiver acknowledges receipt and completeness; the People Leader assesses the verification gate; the outcome is recorded and a release token issued; revocation is authorised to IAM; access is revoked and entitlements reassigned; the case is closed and the pack archived.</w:t>
      </w:r>
    </w:p>
    <w:p w14:paraId="65CF0B92">
      <w:pPr>
        <w:pStyle w:val="3"/>
      </w:pPr>
      <w:r>
        <w:rPr>
          <w:b/>
          <w:bCs/>
        </w:rPr>
        <w:t>Decision points.</w:t>
      </w:r>
      <w:r>
        <w:t xml:space="preserve"> Gateway 1, criticality is critical? Yes, full path; No, abbreviated path. Gateway 2, rating accepted by the People Leader? Yes, continue; No, the Governance Lead re-rates and the ruleset is updated where the challenge is upheld. Gateway 3, receiving owner named within three working days? Yes, continue; No, escalate and appoint an interim custodian. Gateway 4, verification passed? Yes, proceed; No, remediation task to the leaver and re-verification. Gateway 5, exit date reached with verification still failing? Yes, the Governance Lead chooses between a time-boxed access extension and formal residual-risk acceptance; No, remediation continues.</w:t>
      </w:r>
    </w:p>
    <w:p w14:paraId="50B7CA6E">
      <w:pPr>
        <w:pStyle w:val="3"/>
      </w:pPr>
      <w:r>
        <w:rPr>
          <w:b/>
          <w:bCs/>
        </w:rPr>
        <w:t>Boundary events:</w:t>
      </w:r>
      <w:r>
        <w:t xml:space="preserve"> interrupting timers on naming the owner and on completing the pack; an interrupting message for “exit cancelled”.</w:t>
      </w:r>
    </w:p>
    <w:p w14:paraId="3823AF07">
      <w:pPr>
        <w:pStyle w:val="3"/>
      </w:pPr>
      <w:r>
        <w:rPr>
          <w:b/>
          <w:bCs/>
        </w:rPr>
        <w:t>End events:</w:t>
      </w:r>
      <w:r>
        <w:t xml:space="preserve"> “Access revoked, handover closed”; “Handover closed with accepted residual risk”; and a terminate end, “Exit cancelled”.</w:t>
      </w:r>
    </w:p>
    <w:p w14:paraId="50C4890C">
      <w:r>
        <w:pict>
          <v:rect id="_x0000_i1033" o:spt="1" style="height:1.5pt;width:0pt;" coordsize="21600,21600" o:hr="t" o:hrstd="t" o:hralign="center">
            <v:path/>
            <v:fill focussize="0,0"/>
            <v:stroke/>
            <v:imagedata o:title=""/>
            <o:lock v:ext="edit"/>
            <w10:wrap type="none"/>
            <w10:anchorlock/>
          </v:rect>
        </w:pict>
      </w:r>
    </w:p>
    <w:p w14:paraId="1BB308A8">
      <w:pPr>
        <w:pStyle w:val="25"/>
      </w:pPr>
      <w:r>
        <w:rPr>
          <w:b/>
          <w:bCs/>
        </w:rPr>
        <w:t>PROMPT 2.</w:t>
      </w:r>
      <w:r>
        <w:t xml:space="preserve"> </w:t>
      </w:r>
      <w:r>
        <w:rPr>
          <w:i/>
          <w:iCs/>
        </w:rPr>
        <w:t>“Critique that design. Where will it fail in practice, and what would you change?”</w:t>
      </w:r>
    </w:p>
    <w:p w14:paraId="03C935FE">
      <w:pPr>
        <w:pStyle w:val="3"/>
      </w:pPr>
      <w:r>
        <w:rPr>
          <w:b/>
          <w:bCs/>
        </w:rPr>
        <w:t>RESPONSE 2.</w:t>
      </w:r>
      <w:r>
        <w:t xml:space="preserve"> Eleven failure modes, the first three of which matter most.</w:t>
      </w:r>
    </w:p>
    <w:p w14:paraId="39CC1F74">
      <w:pPr>
        <w:pStyle w:val="3"/>
      </w:pPr>
      <w:r>
        <w:rPr>
          <w:b/>
          <w:bCs/>
        </w:rPr>
        <w:t>The verification gate is held by the wrong person.</w:t>
      </w:r>
      <w:r>
        <w:t xml:space="preserve"> The People Leader is the party most incentivised to close the case: they want the exit off their plate and the backfill requisition moving. A gate whose owner benefits from passing it becomes a rubber stamp within two quarters. Give the gate to the Receiving Owner, who bears the cost of a bad handover, with the People Leader as escalation only, plus 10% governance sampling.</w:t>
      </w:r>
    </w:p>
    <w:p w14:paraId="285126A6">
      <w:pPr>
        <w:pStyle w:val="3"/>
      </w:pPr>
      <w:r>
        <w:rPr>
          <w:b/>
          <w:bCs/>
        </w:rPr>
        <w:t>Gating access revocation on handover completion is a security defect.</w:t>
      </w:r>
      <w:r>
        <w:t xml:space="preserve"> It hands the leaver leverage — stall and keep access — and it breaks entirely for dismissals, redundancies and hostile exits, where immediate cut-off is mandatory. Decouple them. Revoke on the last working day unconditionally, with a parallel risk-triggered immediate-revocation path. Escrow mailbox and drive delegation to the Receiving Owner so that revocation does not destroy the knowledge. Then gate something the organisation controls: an unverified handover blocks backfill requisition approval and surfaces on the leader’s scorecard. Do not gate final pay; the Wages Protection Act 1983 makes that unlawful.</w:t>
      </w:r>
    </w:p>
    <w:p w14:paraId="5C73A274">
      <w:pPr>
        <w:pStyle w:val="3"/>
      </w:pPr>
      <w:r>
        <w:rPr>
          <w:b/>
          <w:bCs/>
        </w:rPr>
        <w:t>Exit date minus five days is far too late, and it is the wrong date.</w:t>
      </w:r>
      <w:r>
        <w:t xml:space="preserve"> Leavers typically burn accrued annual leave at the end, so the HRIS termination date is often weeks after the last working day. Key milestones off the last working day from the leave and roster system, trigger at notice acceptance, and set the pack milestone at 50% of the notice period.</w:t>
      </w:r>
    </w:p>
    <w:p w14:paraId="4BB05591">
      <w:pPr>
        <w:pStyle w:val="3"/>
      </w:pPr>
      <w:r>
        <w:rPr>
          <w:b/>
          <w:bCs/>
        </w:rPr>
        <w:t>HRIS attributes describe positions, not people.</w:t>
      </w:r>
      <w:r>
        <w:t xml:space="preserve"> They are stale and they miss exactly the criticality that matters: sole approver in a workflow, unique privileged-access group membership, sole CMDB owner, top incident responder, author of the undocumented script that runs billing. Blend HRIS with entitlement, ITSM and change-record telemetry, and add a rule that missing or ambiguous data biases up to Critical, not down.</w:t>
      </w:r>
    </w:p>
    <w:p w14:paraId="3445E1AD">
      <w:pPr>
        <w:pStyle w:val="3"/>
      </w:pPr>
      <w:r>
        <w:rPr>
          <w:b/>
          <w:bCs/>
        </w:rPr>
        <w:t>Six further points, more briefly.</w:t>
      </w:r>
      <w:r>
        <w:t xml:space="preserve"> There is no gateway for “no receiving owner exists”, and in a restructure the successor is often unfunded or exiting themselves, so “interim custodian appointed by Governance” quietly becomes a dumping ground; make the appointing leader the default custodian, cap the load, and expire it at 90 days. Gateways 2 and 4 can loop indefinitely, so add iteration counters escalating after two failed cycles. Completeness is not quality: mandatory-field checks produce padded documents that transfer nothing, and the only credible test is demonstrated competence, where the Receiving Owner independently executes two or three real tasks from the pack while the leaver observes. The Governance Lead is a single choke point absorbing three escalation paths. Contractors, vendors and secondees never enter the process at all, because the start event is an HRIS message, yet they hold disproportionate undocumented knowledge. And nothing measures whether the handover worked, so add a T+45 check with the Receiving Owner asking what they had to rediscover, and feed the answers back into the triage ruleset.</w:t>
      </w:r>
    </w:p>
    <w:p w14:paraId="154EEE78">
      <w:pPr>
        <w:pStyle w:val="3"/>
      </w:pPr>
      <w:r>
        <w:rPr>
          <w:b/>
          <w:bCs/>
        </w:rPr>
        <w:t>Two smaller fixes.</w:t>
      </w:r>
      <w:r>
        <w:t xml:space="preserve"> Make “exit cancelled” a suspend rather than a terminate, since withdrawn resignations frequently precede real ones and the pack retains value. And treat packs as personal-information holdings under the Privacy Act 2020: the pack should record credential rotation, never credential custody.</w:t>
      </w:r>
    </w:p>
    <w:p w14:paraId="6C829325">
      <w:r>
        <w:pict>
          <v:rect id="_x0000_i1034" o:spt="1" style="height:1.5pt;width:0pt;" coordsize="21600,21600" o:hr="t" o:hrstd="t" o:hralign="center">
            <v:path/>
            <v:fill focussize="0,0"/>
            <v:stroke/>
            <v:imagedata o:title=""/>
            <o:lock v:ext="edit"/>
            <w10:wrap type="none"/>
            <w10:anchorlock/>
          </v:rect>
        </w:pict>
      </w:r>
    </w:p>
    <w:p w14:paraId="34E3FAC4">
      <w:pPr>
        <w:pStyle w:val="25"/>
      </w:pPr>
      <w:r>
        <w:rPr>
          <w:b/>
          <w:bCs/>
        </w:rPr>
        <w:t>PROMPT 3.</w:t>
      </w:r>
      <w:r>
        <w:t xml:space="preserve"> </w:t>
      </w:r>
      <w:r>
        <w:rPr>
          <w:i/>
          <w:iCs/>
        </w:rPr>
        <w:t>“Which single element carries the most of the benefit, and which could be dropped?”</w:t>
      </w:r>
    </w:p>
    <w:p w14:paraId="252DB3F2">
      <w:pPr>
        <w:pStyle w:val="3"/>
      </w:pPr>
      <w:r>
        <w:rPr>
          <w:b/>
          <w:bCs/>
        </w:rPr>
        <w:t>RESPONSE 3.</w:t>
      </w:r>
      <w:r>
        <w:t xml:space="preserve"> </w:t>
      </w:r>
      <w:r>
        <w:rPr>
          <w:b/>
          <w:bCs/>
        </w:rPr>
        <w:t>Carries the most benefit: the named receiving owner at exit confirmation.</w:t>
      </w:r>
      <w:r>
        <w:t xml:space="preserve"> It is the element everything else depends on. A handover pack with no named reader is a document, not a transfer — it gets written to satisfy a checklist and is never opened. Verification has no credible assessor without someone who will personally suffer if the content is thin. Triage has no consequence without a person to route the work to. Naming the owner is what converts the process from compliance theatre into a transaction with a counterparty who has skin in the game.</w:t>
      </w:r>
    </w:p>
    <w:p w14:paraId="10CCB423">
      <w:pPr>
        <w:pStyle w:val="3"/>
      </w:pPr>
      <w:r>
        <w:t>It is also the cheapest element by a wide margin: one mandatory field, one decision by the People Leader, no new tooling. And its largest benefit is upstream and indirect — forcing a leader to name a successor at exit confirmation makes them confront single points of failure they have been quietly tolerating. A meaningful share of the value lands before any knowledge is written down, in the leaders who realise they cannot answer the question.</w:t>
      </w:r>
    </w:p>
    <w:p w14:paraId="23C960F3">
      <w:pPr>
        <w:pStyle w:val="3"/>
      </w:pPr>
      <w:r>
        <w:rPr>
          <w:b/>
          <w:bCs/>
        </w:rPr>
        <w:t>Could be dropped: the automatic criticality triage from HRIS attributes.</w:t>
      </w:r>
      <w:r>
        <w:t xml:space="preserve"> It is the most engineering-heavy component, the most brittle, and it largely reproduces a judgement the People Leader can make in thirty seconds. HRIS attributes describe positions rather than people and go stale between reviews, so the scoring model will spend its first year being overridden and retuned, and every override consumes governance capacity the process needs elsewhere.</w:t>
      </w:r>
    </w:p>
    <w:p w14:paraId="46B41E5C">
      <w:pPr>
        <w:pStyle w:val="3"/>
      </w:pPr>
      <w:r>
        <w:t>Replace it with two much cheaper things. First, three questions to the leader at exit confirmation: can anyone else do this person’s core task today, do they hold sole access to any system or vendor relationship, and do they have commitments landing after their last working day. Second, one automated query — sole-owner flags in the CMDB and unique entitlement group membership. That is a report, not a rules engine, and it catches the failure mode humans genuinely miss.</w:t>
      </w:r>
    </w:p>
    <w:p w14:paraId="73DCDC1F">
      <w:pPr>
        <w:pStyle w:val="3"/>
      </w:pPr>
      <w:r>
        <w:t>Collapse the three-tier taxonomy to two, Full and Light. Three tiers invites argument about the middle tier without changing what anyone does. Runner-up for removal: the standalone Knowledge Governance Lead lane, which can fold into the existing People Services escalation path until volume justifies a dedicated role.</w:t>
      </w:r>
    </w:p>
    <w:p w14:paraId="547C36A4">
      <w:r>
        <w:pict>
          <v:rect id="_x0000_i1035" o:spt="1" style="height:1.5pt;width:0pt;" coordsize="21600,21600" o:hr="t" o:hrstd="t" o:hralign="center">
            <v:path/>
            <v:fill focussize="0,0"/>
            <v:stroke/>
            <v:imagedata o:title=""/>
            <o:lock v:ext="edit"/>
            <w10:wrap type="none"/>
            <w10:anchorlock/>
          </v:rect>
        </w:pict>
      </w:r>
    </w:p>
    <w:bookmarkEnd w:id="68"/>
    <w:p w14:paraId="52F3FCB2">
      <w:pPr>
        <w:pStyle w:val="4"/>
      </w:pPr>
      <w:bookmarkStart w:id="69" w:name="_Toc29984"/>
      <w:bookmarkStart w:id="70" w:name="evaluation-of-the-genai-output"/>
      <w:r>
        <w:rPr>
          <w:color w:val="1F3864"/>
        </w:rPr>
        <w:t>8.2 Evaluation of the GenAI output</w:t>
      </w:r>
      <w:bookmarkEnd w:id="69"/>
    </w:p>
    <w:p w14:paraId="7E3AA0B2">
      <w:pPr>
        <w:pStyle w:val="25"/>
      </w:pPr>
      <w:r>
        <w:t>The critique produced fourteen distinct proposals, grouped into ten below. Eight groups were adopted, one modified and one rejected. One of them changed the recommendation.</w:t>
      </w:r>
    </w:p>
    <w:p w14:paraId="7D5F43E3">
      <w:pPr>
        <w:pStyle w:val="3"/>
        <w:keepNext/>
        <w:spacing w:before="80" w:after="80" w:line="240" w:lineRule="auto"/>
        <w:jc w:val="left"/>
      </w:pPr>
      <w:r>
        <w:rPr>
          <w:b/>
          <w:bCs/>
          <w:sz w:val="22"/>
          <w:szCs w:val="22"/>
        </w:rPr>
        <w:t>Table 21.</w:t>
      </w:r>
      <w:r>
        <w:rPr>
          <w:i/>
          <w:iCs/>
          <w:sz w:val="22"/>
          <w:szCs w:val="22"/>
        </w:rPr>
        <w:t xml:space="preserve"> Treatment of the GenAI design proposals</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344"/>
        <w:gridCol w:w="2430"/>
        <w:gridCol w:w="1869"/>
        <w:gridCol w:w="4141"/>
      </w:tblGrid>
      <w:tr w14:paraId="5CE82DD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5C9277AE">
            <w:pPr>
              <w:pStyle w:val="26"/>
              <w:keepNext/>
              <w:jc w:val="left"/>
            </w:pPr>
            <w:r>
              <w:rPr>
                <w:b/>
                <w:bCs/>
                <w:color w:val="FFFFFF"/>
                <w:sz w:val="20"/>
                <w:szCs w:val="20"/>
              </w:rPr>
              <w:t>#</w:t>
            </w:r>
          </w:p>
        </w:tc>
        <w:tc>
          <w:tcPr>
            <w:shd w:val="clear" w:color="auto" w:fill="1F3864"/>
          </w:tcPr>
          <w:p w14:paraId="748466A0">
            <w:pPr>
              <w:pStyle w:val="26"/>
              <w:keepNext/>
              <w:jc w:val="left"/>
            </w:pPr>
            <w:r>
              <w:rPr>
                <w:b/>
                <w:bCs/>
                <w:color w:val="FFFFFF"/>
                <w:sz w:val="20"/>
                <w:szCs w:val="20"/>
              </w:rPr>
              <w:t>Proposal</w:t>
            </w:r>
          </w:p>
        </w:tc>
        <w:tc>
          <w:tcPr>
            <w:shd w:val="clear" w:color="auto" w:fill="1F3864"/>
          </w:tcPr>
          <w:p w14:paraId="181F394F">
            <w:pPr>
              <w:pStyle w:val="26"/>
              <w:keepNext/>
              <w:jc w:val="left"/>
            </w:pPr>
            <w:r>
              <w:rPr>
                <w:b/>
                <w:bCs/>
                <w:color w:val="FFFFFF"/>
                <w:sz w:val="20"/>
                <w:szCs w:val="20"/>
              </w:rPr>
              <w:t>Decision</w:t>
            </w:r>
          </w:p>
        </w:tc>
        <w:tc>
          <w:tcPr>
            <w:shd w:val="clear" w:color="auto" w:fill="1F3864"/>
          </w:tcPr>
          <w:p w14:paraId="27F5C544">
            <w:pPr>
              <w:pStyle w:val="26"/>
              <w:keepNext/>
              <w:jc w:val="left"/>
            </w:pPr>
            <w:r>
              <w:rPr>
                <w:b/>
                <w:bCs/>
                <w:color w:val="FFFFFF"/>
                <w:sz w:val="20"/>
                <w:szCs w:val="20"/>
              </w:rPr>
              <w:t>Reasoning</w:t>
            </w:r>
          </w:p>
        </w:tc>
      </w:tr>
      <w:tr w14:paraId="445D72EA">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1163821D">
            <w:pPr>
              <w:pStyle w:val="26"/>
              <w:keepNext/>
              <w:jc w:val="left"/>
            </w:pPr>
            <w:r>
              <w:rPr>
                <w:sz w:val="20"/>
                <w:szCs w:val="20"/>
              </w:rPr>
              <w:t>1</w:t>
            </w:r>
          </w:p>
        </w:tc>
        <w:tc>
          <w:p w14:paraId="1EC24DA9">
            <w:pPr>
              <w:pStyle w:val="26"/>
              <w:keepNext/>
              <w:jc w:val="left"/>
            </w:pPr>
            <w:r>
              <w:rPr>
                <w:sz w:val="20"/>
                <w:szCs w:val="20"/>
              </w:rPr>
              <w:t>Move the verification gate from the People Leader to the Receiving Owner</w:t>
            </w:r>
          </w:p>
        </w:tc>
        <w:tc>
          <w:p w14:paraId="0F679AEA">
            <w:pPr>
              <w:pStyle w:val="26"/>
              <w:keepNext/>
              <w:jc w:val="left"/>
            </w:pPr>
            <w:r>
              <w:rPr>
                <w:sz w:val="20"/>
                <w:szCs w:val="20"/>
              </w:rPr>
              <w:t>Adopted</w:t>
            </w:r>
          </w:p>
        </w:tc>
        <w:tc>
          <w:p w14:paraId="087EE69E">
            <w:pPr>
              <w:pStyle w:val="26"/>
              <w:keepNext/>
              <w:jc w:val="left"/>
            </w:pPr>
            <w:r>
              <w:rPr>
                <w:sz w:val="20"/>
                <w:szCs w:val="20"/>
              </w:rPr>
              <w:t>The leader benefits from closing the case; the receiver bears the cost of a bad handover. Rae Huang said the same thing independently (Q24). This was the design’s intent, but the first draft left the leader assessing the gate, which would have reproduced the failure.</w:t>
            </w:r>
          </w:p>
        </w:tc>
      </w:tr>
      <w:tr w14:paraId="2E239A3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043F1462">
            <w:pPr>
              <w:pStyle w:val="26"/>
              <w:jc w:val="left"/>
            </w:pPr>
            <w:r>
              <w:rPr>
                <w:sz w:val="20"/>
                <w:szCs w:val="20"/>
              </w:rPr>
              <w:t>2</w:t>
            </w:r>
          </w:p>
        </w:tc>
        <w:tc>
          <w:tcPr>
            <w:shd w:val="clear" w:color="auto" w:fill="F2F5F9"/>
          </w:tcPr>
          <w:p w14:paraId="3C49367A">
            <w:pPr>
              <w:pStyle w:val="26"/>
              <w:jc w:val="left"/>
            </w:pPr>
            <w:r>
              <w:rPr>
                <w:sz w:val="20"/>
                <w:szCs w:val="20"/>
              </w:rPr>
              <w:t>Do not gate access revocation; escrow mailbox and drive delegation instead, and gate backfill requisition approval</w:t>
            </w:r>
          </w:p>
        </w:tc>
        <w:tc>
          <w:tcPr>
            <w:shd w:val="clear" w:color="auto" w:fill="F2F5F9"/>
          </w:tcPr>
          <w:p w14:paraId="63072730">
            <w:pPr>
              <w:pStyle w:val="26"/>
              <w:jc w:val="left"/>
            </w:pPr>
            <w:r>
              <w:rPr>
                <w:b/>
                <w:bCs/>
                <w:sz w:val="20"/>
                <w:szCs w:val="20"/>
              </w:rPr>
              <w:t>Adopted, and it changes the recommendation</w:t>
            </w:r>
          </w:p>
        </w:tc>
        <w:tc>
          <w:tcPr>
            <w:shd w:val="clear" w:color="auto" w:fill="F2F5F9"/>
          </w:tcPr>
          <w:p w14:paraId="0168AFE3">
            <w:pPr>
              <w:pStyle w:val="26"/>
              <w:jc w:val="left"/>
            </w:pPr>
            <w:r>
              <w:rPr>
                <w:sz w:val="20"/>
                <w:szCs w:val="20"/>
              </w:rPr>
              <w:t>The strongest objection received in this engagement. Gating revocation is a security defect: it gives a departing employee leverage to stall, and it is unworkable for dismissals, where immediate cut-off is mandatory. The redesign is set out below.</w:t>
            </w:r>
          </w:p>
        </w:tc>
      </w:tr>
      <w:tr w14:paraId="2FF808E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34B0EF5C">
            <w:pPr>
              <w:pStyle w:val="26"/>
              <w:jc w:val="left"/>
            </w:pPr>
            <w:r>
              <w:rPr>
                <w:sz w:val="20"/>
                <w:szCs w:val="20"/>
              </w:rPr>
              <w:t>3</w:t>
            </w:r>
          </w:p>
        </w:tc>
        <w:tc>
          <w:p w14:paraId="2527CC1B">
            <w:pPr>
              <w:pStyle w:val="26"/>
              <w:jc w:val="left"/>
            </w:pPr>
            <w:r>
              <w:rPr>
                <w:sz w:val="20"/>
                <w:szCs w:val="20"/>
              </w:rPr>
              <w:t>Key milestones off the last working day rather than the HRIS exit date; trigger at notice acceptance; pack due at 50% of the notice period</w:t>
            </w:r>
          </w:p>
        </w:tc>
        <w:tc>
          <w:p w14:paraId="3FDA8D1A">
            <w:pPr>
              <w:pStyle w:val="26"/>
              <w:jc w:val="left"/>
            </w:pPr>
            <w:r>
              <w:rPr>
                <w:sz w:val="20"/>
                <w:szCs w:val="20"/>
              </w:rPr>
              <w:t>Adopted</w:t>
            </w:r>
          </w:p>
        </w:tc>
        <w:tc>
          <w:p w14:paraId="054CE973">
            <w:pPr>
              <w:pStyle w:val="26"/>
              <w:jc w:val="left"/>
            </w:pPr>
            <w:r>
              <w:rPr>
                <w:sz w:val="20"/>
                <w:szCs w:val="20"/>
              </w:rPr>
              <w:t>A concrete error in the first draft. Leave is commonly taken at the end, so the HRIS termination date can sit weeks after the person stops working. Every milestone has been re-keyed.</w:t>
            </w:r>
          </w:p>
        </w:tc>
      </w:tr>
      <w:tr w14:paraId="4712A5F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5260EB2C">
            <w:pPr>
              <w:pStyle w:val="26"/>
              <w:jc w:val="left"/>
            </w:pPr>
            <w:r>
              <w:rPr>
                <w:sz w:val="20"/>
                <w:szCs w:val="20"/>
              </w:rPr>
              <w:t>4</w:t>
            </w:r>
          </w:p>
        </w:tc>
        <w:tc>
          <w:tcPr>
            <w:shd w:val="clear" w:color="auto" w:fill="F2F5F9"/>
          </w:tcPr>
          <w:p w14:paraId="35BE576E">
            <w:pPr>
              <w:pStyle w:val="26"/>
              <w:jc w:val="left"/>
            </w:pPr>
            <w:r>
              <w:rPr>
                <w:sz w:val="20"/>
                <w:szCs w:val="20"/>
              </w:rPr>
              <w:t>Blend HRIS attributes with entitlement, ITSM and change-record data; bias ambiguous cases up to Critical</w:t>
            </w:r>
          </w:p>
        </w:tc>
        <w:tc>
          <w:tcPr>
            <w:shd w:val="clear" w:color="auto" w:fill="F2F5F9"/>
          </w:tcPr>
          <w:p w14:paraId="011574B0">
            <w:pPr>
              <w:pStyle w:val="26"/>
              <w:jc w:val="left"/>
            </w:pPr>
            <w:r>
              <w:rPr>
                <w:sz w:val="20"/>
                <w:szCs w:val="20"/>
              </w:rPr>
              <w:t>Adopted</w:t>
            </w:r>
          </w:p>
        </w:tc>
        <w:tc>
          <w:tcPr>
            <w:shd w:val="clear" w:color="auto" w:fill="F2F5F9"/>
          </w:tcPr>
          <w:p w14:paraId="77F8FF33">
            <w:pPr>
              <w:pStyle w:val="26"/>
              <w:jc w:val="left"/>
            </w:pPr>
            <w:r>
              <w:rPr>
                <w:sz w:val="20"/>
                <w:szCs w:val="20"/>
              </w:rPr>
              <w:t>Consistent with P3, that entitlement data is factual and already collected for audit. The bias-up rule is a cheap answer to the asymmetry of error costs.</w:t>
            </w:r>
          </w:p>
        </w:tc>
      </w:tr>
      <w:tr w14:paraId="7015132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2590ED5B">
            <w:pPr>
              <w:pStyle w:val="26"/>
              <w:jc w:val="left"/>
            </w:pPr>
            <w:r>
              <w:rPr>
                <w:sz w:val="20"/>
                <w:szCs w:val="20"/>
              </w:rPr>
              <w:t>5</w:t>
            </w:r>
          </w:p>
        </w:tc>
        <w:tc>
          <w:p w14:paraId="22619DC7">
            <w:pPr>
              <w:pStyle w:val="26"/>
              <w:jc w:val="left"/>
            </w:pPr>
            <w:r>
              <w:rPr>
                <w:sz w:val="20"/>
                <w:szCs w:val="20"/>
              </w:rPr>
              <w:t>Demonstrated competence instead of a completeness check: the receiver performs two or three real tasks while the leaver observes</w:t>
            </w:r>
          </w:p>
        </w:tc>
        <w:tc>
          <w:p w14:paraId="23BA6BAD">
            <w:pPr>
              <w:pStyle w:val="26"/>
              <w:jc w:val="left"/>
            </w:pPr>
            <w:r>
              <w:rPr>
                <w:sz w:val="20"/>
                <w:szCs w:val="20"/>
              </w:rPr>
              <w:t>Adopted</w:t>
            </w:r>
          </w:p>
        </w:tc>
        <w:tc>
          <w:p w14:paraId="096C2128">
            <w:pPr>
              <w:pStyle w:val="26"/>
              <w:jc w:val="left"/>
            </w:pPr>
            <w:r>
              <w:rPr>
                <w:sz w:val="20"/>
                <w:szCs w:val="20"/>
              </w:rPr>
              <w:t>The best idea in the critique. It converts verification from reading a document into a test that cannot be passed by padding, and it costs less than the review it replaces.</w:t>
            </w:r>
          </w:p>
        </w:tc>
      </w:tr>
      <w:tr w14:paraId="0AB84DD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57E21ED9">
            <w:pPr>
              <w:pStyle w:val="26"/>
              <w:jc w:val="left"/>
            </w:pPr>
            <w:r>
              <w:rPr>
                <w:sz w:val="20"/>
                <w:szCs w:val="20"/>
              </w:rPr>
              <w:t>6</w:t>
            </w:r>
          </w:p>
        </w:tc>
        <w:tc>
          <w:tcPr>
            <w:shd w:val="clear" w:color="auto" w:fill="F2F5F9"/>
          </w:tcPr>
          <w:p w14:paraId="4F9AD8C7">
            <w:pPr>
              <w:pStyle w:val="26"/>
              <w:jc w:val="left"/>
            </w:pPr>
            <w:r>
              <w:rPr>
                <w:sz w:val="20"/>
                <w:szCs w:val="20"/>
              </w:rPr>
              <w:t>Default the appointing leader to custodian where no receiver can be named; cap the load; expire at 90 days</w:t>
            </w:r>
          </w:p>
        </w:tc>
        <w:tc>
          <w:tcPr>
            <w:shd w:val="clear" w:color="auto" w:fill="F2F5F9"/>
          </w:tcPr>
          <w:p w14:paraId="0F9CE8B7">
            <w:pPr>
              <w:pStyle w:val="26"/>
              <w:jc w:val="left"/>
            </w:pPr>
            <w:r>
              <w:rPr>
                <w:sz w:val="20"/>
                <w:szCs w:val="20"/>
              </w:rPr>
              <w:t>Adopted</w:t>
            </w:r>
          </w:p>
        </w:tc>
        <w:tc>
          <w:tcPr>
            <w:shd w:val="clear" w:color="auto" w:fill="F2F5F9"/>
          </w:tcPr>
          <w:p w14:paraId="6D4454ED">
            <w:pPr>
              <w:pStyle w:val="26"/>
              <w:jc w:val="left"/>
            </w:pPr>
            <w:r>
              <w:rPr>
                <w:sz w:val="20"/>
                <w:szCs w:val="20"/>
              </w:rPr>
              <w:t>Closes a real gap. Both interviews warned that after a restructure there is often nobody receiving (Q25; P5).</w:t>
            </w:r>
          </w:p>
        </w:tc>
      </w:tr>
      <w:tr w14:paraId="61F171D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1FB6F3D7">
            <w:pPr>
              <w:pStyle w:val="26"/>
              <w:jc w:val="left"/>
            </w:pPr>
            <w:r>
              <w:rPr>
                <w:sz w:val="20"/>
                <w:szCs w:val="20"/>
              </w:rPr>
              <w:t>7</w:t>
            </w:r>
          </w:p>
        </w:tc>
        <w:tc>
          <w:p w14:paraId="7DFDB329">
            <w:pPr>
              <w:pStyle w:val="26"/>
              <w:jc w:val="left"/>
            </w:pPr>
            <w:r>
              <w:rPr>
                <w:sz w:val="20"/>
                <w:szCs w:val="20"/>
              </w:rPr>
              <w:t>Iteration counters on the remediation loops; a second start event for contractors and vendors; a T+45 feedback check feeding the triage rules</w:t>
            </w:r>
          </w:p>
        </w:tc>
        <w:tc>
          <w:p w14:paraId="1A8F9F1B">
            <w:pPr>
              <w:pStyle w:val="26"/>
              <w:jc w:val="left"/>
            </w:pPr>
            <w:r>
              <w:rPr>
                <w:sz w:val="20"/>
                <w:szCs w:val="20"/>
              </w:rPr>
              <w:t>Adopted</w:t>
            </w:r>
          </w:p>
        </w:tc>
        <w:tc>
          <w:p w14:paraId="583E4C55">
            <w:pPr>
              <w:pStyle w:val="26"/>
              <w:jc w:val="left"/>
            </w:pPr>
            <w:r>
              <w:rPr>
                <w:sz w:val="20"/>
                <w:szCs w:val="20"/>
              </w:rPr>
              <w:t>Three smaller fixes that the first draft missed. The T+45 check replaces the original 30-day check because it asks a specific question, what did you have to rediscover, and has a named consumer.</w:t>
            </w:r>
          </w:p>
        </w:tc>
      </w:tr>
      <w:tr w14:paraId="33CB8F1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2BA1AC32">
            <w:pPr>
              <w:pStyle w:val="26"/>
              <w:jc w:val="left"/>
            </w:pPr>
            <w:r>
              <w:rPr>
                <w:sz w:val="20"/>
                <w:szCs w:val="20"/>
              </w:rPr>
              <w:t>8</w:t>
            </w:r>
          </w:p>
        </w:tc>
        <w:tc>
          <w:tcPr>
            <w:shd w:val="clear" w:color="auto" w:fill="F2F5F9"/>
          </w:tcPr>
          <w:p w14:paraId="60D9CCF9">
            <w:pPr>
              <w:pStyle w:val="26"/>
              <w:jc w:val="left"/>
            </w:pPr>
            <w:r>
              <w:rPr>
                <w:sz w:val="20"/>
                <w:szCs w:val="20"/>
              </w:rPr>
              <w:t>Record credential rotation, never credential custody; treat packs as personal information under the Privacy Act 2020</w:t>
            </w:r>
          </w:p>
        </w:tc>
        <w:tc>
          <w:tcPr>
            <w:shd w:val="clear" w:color="auto" w:fill="F2F5F9"/>
          </w:tcPr>
          <w:p w14:paraId="0770E28B">
            <w:pPr>
              <w:pStyle w:val="26"/>
              <w:jc w:val="left"/>
            </w:pPr>
            <w:r>
              <w:rPr>
                <w:sz w:val="20"/>
                <w:szCs w:val="20"/>
              </w:rPr>
              <w:t>Adopted</w:t>
            </w:r>
          </w:p>
        </w:tc>
        <w:tc>
          <w:tcPr>
            <w:shd w:val="clear" w:color="auto" w:fill="F2F5F9"/>
          </w:tcPr>
          <w:p w14:paraId="65804AFB">
            <w:pPr>
              <w:pStyle w:val="26"/>
              <w:jc w:val="left"/>
            </w:pPr>
            <w:r>
              <w:rPr>
                <w:sz w:val="20"/>
                <w:szCs w:val="20"/>
              </w:rPr>
              <w:t>A compliance defect in the first draft that no other source caught.</w:t>
            </w:r>
          </w:p>
        </w:tc>
      </w:tr>
      <w:tr w14:paraId="4FAA4982">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15672904">
            <w:pPr>
              <w:pStyle w:val="26"/>
              <w:jc w:val="left"/>
            </w:pPr>
            <w:r>
              <w:rPr>
                <w:sz w:val="20"/>
                <w:szCs w:val="20"/>
              </w:rPr>
              <w:t>9</w:t>
            </w:r>
          </w:p>
        </w:tc>
        <w:tc>
          <w:p w14:paraId="4433CA86">
            <w:pPr>
              <w:pStyle w:val="26"/>
              <w:jc w:val="left"/>
            </w:pPr>
            <w:r>
              <w:rPr>
                <w:sz w:val="20"/>
                <w:szCs w:val="20"/>
              </w:rPr>
              <w:t>Drop the automatic triage; replace with three leader questions plus a sole-owner query, and collapse three tiers to two</w:t>
            </w:r>
          </w:p>
        </w:tc>
        <w:tc>
          <w:p w14:paraId="77AD06DE">
            <w:pPr>
              <w:pStyle w:val="26"/>
              <w:jc w:val="left"/>
            </w:pPr>
            <w:r>
              <w:rPr>
                <w:sz w:val="20"/>
                <w:szCs w:val="20"/>
              </w:rPr>
              <w:t>Modified</w:t>
            </w:r>
          </w:p>
        </w:tc>
        <w:tc>
          <w:p w14:paraId="111EDA7D">
            <w:pPr>
              <w:pStyle w:val="26"/>
              <w:jc w:val="left"/>
            </w:pPr>
            <w:r>
              <w:rPr>
                <w:sz w:val="20"/>
                <w:szCs w:val="20"/>
              </w:rPr>
              <w:t>The three questions and the two-tier model are adopted. The automated query is retained, because the GenAI’s own argument in P3 is that manager judgement names best performers rather than critical ones. Automation is kept for integrity rather than efficiency, but simplified from a rules engine to a report.</w:t>
            </w:r>
          </w:p>
        </w:tc>
      </w:tr>
      <w:tr w14:paraId="63C6C64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1BB9C4A6">
            <w:pPr>
              <w:pStyle w:val="26"/>
              <w:jc w:val="left"/>
            </w:pPr>
            <w:r>
              <w:rPr>
                <w:sz w:val="20"/>
                <w:szCs w:val="20"/>
              </w:rPr>
              <w:t>10</w:t>
            </w:r>
          </w:p>
        </w:tc>
        <w:tc>
          <w:tcPr>
            <w:shd w:val="clear" w:color="auto" w:fill="F2F5F9"/>
          </w:tcPr>
          <w:p w14:paraId="204229BB">
            <w:pPr>
              <w:pStyle w:val="26"/>
              <w:jc w:val="left"/>
            </w:pPr>
            <w:r>
              <w:rPr>
                <w:sz w:val="20"/>
                <w:szCs w:val="20"/>
              </w:rPr>
              <w:t>Fold the Knowledge Governance Lead into People Services; make “exit cancelled” a suspend rather than a terminate</w:t>
            </w:r>
          </w:p>
        </w:tc>
        <w:tc>
          <w:tcPr>
            <w:shd w:val="clear" w:color="auto" w:fill="F2F5F9"/>
          </w:tcPr>
          <w:p w14:paraId="5A01A376">
            <w:pPr>
              <w:pStyle w:val="26"/>
              <w:jc w:val="left"/>
            </w:pPr>
            <w:r>
              <w:rPr>
                <w:sz w:val="20"/>
                <w:szCs w:val="20"/>
              </w:rPr>
              <w:t>Rejected</w:t>
            </w:r>
          </w:p>
        </w:tc>
        <w:tc>
          <w:tcPr>
            <w:shd w:val="clear" w:color="auto" w:fill="F2F5F9"/>
          </w:tcPr>
          <w:p w14:paraId="5CD670CB">
            <w:pPr>
              <w:pStyle w:val="26"/>
              <w:jc w:val="left"/>
            </w:pPr>
            <w:r>
              <w:rPr>
                <w:sz w:val="20"/>
                <w:szCs w:val="20"/>
              </w:rPr>
              <w:t>The escalation approver has to sit outside the line that benefits from closing the exit, which is the same logic as proposal 1. The suspend state is sound but is housekeeping, and adding it to a diagram whose purpose is to show where the control sits would obscure that. Noted for implementation.</w:t>
            </w:r>
          </w:p>
        </w:tc>
      </w:tr>
    </w:tbl>
    <w:p w14:paraId="633AEF6B">
      <w:pPr>
        <w:pStyle w:val="3"/>
      </w:pPr>
      <w:r>
        <w:t>Proposal 2 is not a refinement. The design recommended in Section 7 made system access revocation conditional on verification, and the objection is that this is unsafe and, for the population it most needs to serve, unworkable. Three things follow.</w:t>
      </w:r>
    </w:p>
    <w:p w14:paraId="4C8C0775">
      <w:pPr>
        <w:pStyle w:val="3"/>
      </w:pPr>
      <w:r>
        <w:t>First, revocation is decoupled. Access is revoked on the last working day as it is today, and an immediate-revocation path remains available for dismissals and hostile exits. The security control is left alone.</w:t>
      </w:r>
    </w:p>
    <w:p w14:paraId="25CF9EAC">
      <w:pPr>
        <w:pStyle w:val="3"/>
      </w:pPr>
      <w:r>
        <w:t>Second, delegated access to the leaver’s mailbox and drives is granted to the receiving owner for a defined period at the point of revocation. This is what the gate was really trying to protect: not the leaver’s account, but the receiver’s ability to reach what the leaver left behind. It costs nothing and it removes the reason to hold the account open. It also answers the GenAI’s own disconfirming condition in §6.2 (P2), that “access revoked” is rarely the same as “knowledge unreachable”.</w:t>
      </w:r>
    </w:p>
    <w:p w14:paraId="1DF60B57">
      <w:pPr>
        <w:pStyle w:val="3"/>
      </w:pPr>
      <w:r>
        <w:t>Third, the consequence moves to something the organisation controls. An unverified handover for a critical role blocks approval of the backfill requisition and appears on the leader’s scorecard, with an exception requiring a named divisional approver and quarterly reporting to the audit and risk committee. This is a stronger lever than the original, because the leader wants the backfill and the timing works in the organisation’s favour rather than the leaver’s.</w:t>
      </w:r>
    </w:p>
    <w:p w14:paraId="190D4ED7">
      <w:pPr>
        <w:pStyle w:val="3"/>
      </w:pPr>
      <w:r>
        <w:t>The rest of the argument in Section 7 is unaffected. The root cause, the pathway selection and the Rosemann (2001) justification all rest on moving the completion event from the manager’s attestation to the receiver’s acceptance, which this design still does. What has changed is the enforcement mechanism, and it has changed to a safer and more durable one.</w:t>
      </w:r>
    </w:p>
    <w:bookmarkEnd w:id="70"/>
    <w:p w14:paraId="0195FEE9">
      <w:pPr>
        <w:pStyle w:val="4"/>
      </w:pPr>
      <w:bookmarkStart w:id="71" w:name="_Toc12936"/>
      <w:bookmarkStart w:id="72" w:name="the-to-be-process-model"/>
      <w:r>
        <w:rPr>
          <w:color w:val="1F3864"/>
        </w:rPr>
        <w:t>8.3 The TO-BE process model</w:t>
      </w:r>
      <w:bookmarkEnd w:id="71"/>
    </w:p>
    <w:p w14:paraId="267605B0">
      <w:pPr>
        <w:pStyle w:val="25"/>
        <w:jc w:val="center"/>
      </w:pPr>
      <w:r>
        <w:drawing>
          <wp:inline distT="0" distB="0" distL="114300" distR="114300">
            <wp:extent cx="5760720" cy="2228850"/>
            <wp:effectExtent l="0" t="0" r="0" b="0"/>
            <wp:docPr id="7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pic:cNvPicPr>
                      <a:picLocks noChangeAspect="1" noChangeArrowheads="1"/>
                    </pic:cNvPicPr>
                  </pic:nvPicPr>
                  <pic:blipFill>
                    <a:blip r:embed="rId11"/>
                    <a:stretch>
                      <a:fillRect/>
                    </a:stretch>
                  </pic:blipFill>
                  <pic:spPr>
                    <a:xfrm>
                      <a:off x="0" y="0"/>
                      <a:ext cx="5760720" cy="2229320"/>
                    </a:xfrm>
                    <a:prstGeom prst="rect">
                      <a:avLst/>
                    </a:prstGeom>
                    <a:noFill/>
                    <a:ln w="9525">
                      <a:noFill/>
                    </a:ln>
                  </pic:spPr>
                </pic:pic>
              </a:graphicData>
            </a:graphic>
          </wp:inline>
        </w:drawing>
      </w:r>
    </w:p>
    <w:p w14:paraId="2B77A3E8">
      <w:pPr>
        <w:pStyle w:val="3"/>
        <w:spacing w:before="60" w:after="160" w:line="240" w:lineRule="auto"/>
        <w:jc w:val="center"/>
      </w:pPr>
      <w:r>
        <w:rPr>
          <w:b/>
          <w:bCs/>
          <w:sz w:val="22"/>
          <w:szCs w:val="22"/>
        </w:rPr>
        <w:t>Figure 6.</w:t>
      </w:r>
      <w:r>
        <w:rPr>
          <w:i/>
          <w:iCs/>
          <w:sz w:val="22"/>
          <w:szCs w:val="22"/>
        </w:rPr>
        <w:t xml:space="preserve"> TO-BE gated knowledge handover process (BPMN 2.0), across five lanes with every conditional gateway labelled Yes/No.</w:t>
      </w:r>
    </w:p>
    <w:p w14:paraId="7C792950">
      <w:pPr>
        <w:pStyle w:val="3"/>
        <w:keepNext/>
        <w:spacing w:before="80" w:after="80" w:line="240" w:lineRule="auto"/>
        <w:jc w:val="left"/>
      </w:pPr>
      <w:r>
        <w:rPr>
          <w:b/>
          <w:bCs/>
          <w:sz w:val="22"/>
          <w:szCs w:val="22"/>
        </w:rPr>
        <w:t>Table 22.</w:t>
      </w:r>
      <w:r>
        <w:rPr>
          <w:i/>
          <w:iCs/>
          <w:sz w:val="22"/>
          <w:szCs w:val="22"/>
        </w:rPr>
        <w:t xml:space="preserve"> TO-BE gateway conditions</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900"/>
        <w:gridCol w:w="2384"/>
        <w:gridCol w:w="3240"/>
        <w:gridCol w:w="2260"/>
      </w:tblGrid>
      <w:tr w14:paraId="0E899E6A">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064A0E48">
            <w:pPr>
              <w:pStyle w:val="26"/>
              <w:keepNext/>
              <w:jc w:val="left"/>
            </w:pPr>
            <w:r>
              <w:rPr>
                <w:b/>
                <w:bCs/>
                <w:color w:val="FFFFFF"/>
                <w:sz w:val="20"/>
                <w:szCs w:val="20"/>
              </w:rPr>
              <w:t>Gateway</w:t>
            </w:r>
          </w:p>
        </w:tc>
        <w:tc>
          <w:tcPr>
            <w:shd w:val="clear" w:color="auto" w:fill="1F3864"/>
          </w:tcPr>
          <w:p w14:paraId="4C4093EF">
            <w:pPr>
              <w:pStyle w:val="26"/>
              <w:keepNext/>
              <w:jc w:val="left"/>
            </w:pPr>
            <w:r>
              <w:rPr>
                <w:b/>
                <w:bCs/>
                <w:color w:val="FFFFFF"/>
                <w:sz w:val="20"/>
                <w:szCs w:val="20"/>
              </w:rPr>
              <w:t>Condition</w:t>
            </w:r>
          </w:p>
        </w:tc>
        <w:tc>
          <w:tcPr>
            <w:shd w:val="clear" w:color="auto" w:fill="1F3864"/>
          </w:tcPr>
          <w:p w14:paraId="1110F01F">
            <w:pPr>
              <w:pStyle w:val="26"/>
              <w:keepNext/>
              <w:jc w:val="left"/>
            </w:pPr>
            <w:r>
              <w:rPr>
                <w:b/>
                <w:bCs/>
                <w:color w:val="FFFFFF"/>
                <w:sz w:val="20"/>
                <w:szCs w:val="20"/>
              </w:rPr>
              <w:t>Yes</w:t>
            </w:r>
          </w:p>
        </w:tc>
        <w:tc>
          <w:tcPr>
            <w:shd w:val="clear" w:color="auto" w:fill="1F3864"/>
          </w:tcPr>
          <w:p w14:paraId="7AD0056C">
            <w:pPr>
              <w:pStyle w:val="26"/>
              <w:keepNext/>
              <w:jc w:val="left"/>
            </w:pPr>
            <w:r>
              <w:rPr>
                <w:b/>
                <w:bCs/>
                <w:color w:val="FFFFFF"/>
                <w:sz w:val="20"/>
                <w:szCs w:val="20"/>
              </w:rPr>
              <w:t>No</w:t>
            </w:r>
          </w:p>
        </w:tc>
      </w:tr>
      <w:tr w14:paraId="753E816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72882081">
            <w:pPr>
              <w:pStyle w:val="26"/>
              <w:keepNext/>
              <w:jc w:val="left"/>
            </w:pPr>
            <w:r>
              <w:rPr>
                <w:sz w:val="20"/>
                <w:szCs w:val="20"/>
              </w:rPr>
              <w:t>1</w:t>
            </w:r>
          </w:p>
        </w:tc>
        <w:tc>
          <w:p w14:paraId="6E7A8C7C">
            <w:pPr>
              <w:pStyle w:val="26"/>
              <w:keepNext/>
              <w:jc w:val="left"/>
            </w:pPr>
            <w:r>
              <w:rPr>
                <w:sz w:val="20"/>
                <w:szCs w:val="20"/>
              </w:rPr>
              <w:t>Knowledge-critical? (automated entitlement query plus three questions to the leader)</w:t>
            </w:r>
          </w:p>
        </w:tc>
        <w:tc>
          <w:p w14:paraId="178AD000">
            <w:pPr>
              <w:pStyle w:val="26"/>
              <w:keepNext/>
              <w:jc w:val="left"/>
            </w:pPr>
            <w:r>
              <w:rPr>
                <w:sz w:val="20"/>
                <w:szCs w:val="20"/>
              </w:rPr>
              <w:t>Full path: named receiving owner, standard pack, competence check</w:t>
            </w:r>
          </w:p>
        </w:tc>
        <w:tc>
          <w:p w14:paraId="3840BF58">
            <w:pPr>
              <w:pStyle w:val="26"/>
              <w:keepNext/>
              <w:jc w:val="left"/>
            </w:pPr>
            <w:r>
              <w:rPr>
                <w:sz w:val="20"/>
                <w:szCs w:val="20"/>
              </w:rPr>
              <w:t>Light path: administrative offboarding only</w:t>
            </w:r>
          </w:p>
        </w:tc>
      </w:tr>
      <w:tr w14:paraId="4E9DC0D1">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0E73702E">
            <w:pPr>
              <w:pStyle w:val="26"/>
              <w:jc w:val="left"/>
            </w:pPr>
            <w:r>
              <w:rPr>
                <w:sz w:val="20"/>
                <w:szCs w:val="20"/>
              </w:rPr>
              <w:t>2</w:t>
            </w:r>
          </w:p>
        </w:tc>
        <w:tc>
          <w:tcPr>
            <w:shd w:val="clear" w:color="auto" w:fill="F2F5F9"/>
          </w:tcPr>
          <w:p w14:paraId="08961CF1">
            <w:pPr>
              <w:pStyle w:val="26"/>
              <w:jc w:val="left"/>
            </w:pPr>
            <w:r>
              <w:rPr>
                <w:sz w:val="20"/>
                <w:szCs w:val="20"/>
              </w:rPr>
              <w:t>Competence check passed — the receiving owner performed the sampled tasks unaided?</w:t>
            </w:r>
          </w:p>
        </w:tc>
        <w:tc>
          <w:tcPr>
            <w:shd w:val="clear" w:color="auto" w:fill="F2F5F9"/>
          </w:tcPr>
          <w:p w14:paraId="7C596B02">
            <w:pPr>
              <w:pStyle w:val="26"/>
              <w:jc w:val="left"/>
            </w:pPr>
            <w:r>
              <w:rPr>
                <w:sz w:val="20"/>
                <w:szCs w:val="20"/>
              </w:rPr>
              <w:t>Record the verification sign-off</w:t>
            </w:r>
          </w:p>
        </w:tc>
        <w:tc>
          <w:tcPr>
            <w:shd w:val="clear" w:color="auto" w:fill="F2F5F9"/>
          </w:tcPr>
          <w:p w14:paraId="48466422">
            <w:pPr>
              <w:pStyle w:val="26"/>
              <w:jc w:val="left"/>
            </w:pPr>
            <w:r>
              <w:rPr>
                <w:sz w:val="20"/>
                <w:szCs w:val="20"/>
              </w:rPr>
              <w:t>Gateway 3</w:t>
            </w:r>
          </w:p>
        </w:tc>
      </w:tr>
      <w:tr w14:paraId="6058454C">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42ABB349">
            <w:pPr>
              <w:pStyle w:val="26"/>
              <w:jc w:val="left"/>
            </w:pPr>
            <w:r>
              <w:rPr>
                <w:sz w:val="20"/>
                <w:szCs w:val="20"/>
              </w:rPr>
              <w:t>3</w:t>
            </w:r>
          </w:p>
        </w:tc>
        <w:tc>
          <w:p w14:paraId="43B0DAEB">
            <w:pPr>
              <w:pStyle w:val="26"/>
              <w:jc w:val="left"/>
            </w:pPr>
            <w:r>
              <w:rPr>
                <w:sz w:val="20"/>
                <w:szCs w:val="20"/>
              </w:rPr>
              <w:t>Remediable before the last working day?</w:t>
            </w:r>
          </w:p>
        </w:tc>
        <w:tc>
          <w:p w14:paraId="546B7B22">
            <w:pPr>
              <w:pStyle w:val="26"/>
              <w:jc w:val="left"/>
            </w:pPr>
            <w:r>
              <w:rPr>
                <w:sz w:val="20"/>
                <w:szCs w:val="20"/>
              </w:rPr>
              <w:t>Loop back to the handover and shadowing sessions, maximum two cycles</w:t>
            </w:r>
          </w:p>
        </w:tc>
        <w:tc>
          <w:p w14:paraId="148C5007">
            <w:pPr>
              <w:pStyle w:val="26"/>
              <w:jc w:val="left"/>
            </w:pPr>
            <w:r>
              <w:rPr>
                <w:sz w:val="20"/>
                <w:szCs w:val="20"/>
              </w:rPr>
              <w:t>Gateway 4</w:t>
            </w:r>
          </w:p>
        </w:tc>
      </w:tr>
      <w:tr w14:paraId="3C356C3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126748B1">
            <w:pPr>
              <w:pStyle w:val="26"/>
              <w:jc w:val="left"/>
            </w:pPr>
            <w:r>
              <w:rPr>
                <w:sz w:val="20"/>
                <w:szCs w:val="20"/>
              </w:rPr>
              <w:t>4</w:t>
            </w:r>
          </w:p>
        </w:tc>
        <w:tc>
          <w:tcPr>
            <w:shd w:val="clear" w:color="auto" w:fill="F2F5F9"/>
          </w:tcPr>
          <w:p w14:paraId="48E63E1C">
            <w:pPr>
              <w:pStyle w:val="26"/>
              <w:jc w:val="left"/>
            </w:pPr>
            <w:r>
              <w:rPr>
                <w:sz w:val="20"/>
                <w:szCs w:val="20"/>
              </w:rPr>
              <w:t>Exception approved by a named divisional lead?</w:t>
            </w:r>
          </w:p>
        </w:tc>
        <w:tc>
          <w:tcPr>
            <w:shd w:val="clear" w:color="auto" w:fill="F2F5F9"/>
          </w:tcPr>
          <w:p w14:paraId="67C1C29D">
            <w:pPr>
              <w:pStyle w:val="26"/>
              <w:jc w:val="left"/>
            </w:pPr>
            <w:r>
              <w:rPr>
                <w:sz w:val="20"/>
                <w:szCs w:val="20"/>
              </w:rPr>
              <w:t>Grant a time-boxed read-only extension; backfill requisition blocked pending remediation; reported quarterly to the audit and risk committee</w:t>
            </w:r>
          </w:p>
        </w:tc>
        <w:tc>
          <w:tcPr>
            <w:shd w:val="clear" w:color="auto" w:fill="F2F5F9"/>
          </w:tcPr>
          <w:p w14:paraId="30AFF298">
            <w:pPr>
              <w:pStyle w:val="26"/>
              <w:jc w:val="left"/>
            </w:pPr>
            <w:r>
              <w:rPr>
                <w:sz w:val="20"/>
                <w:szCs w:val="20"/>
              </w:rPr>
              <w:t>Escalate to the divisional lead; the exit is recorded as unverified in VHCR</w:t>
            </w:r>
          </w:p>
        </w:tc>
      </w:tr>
    </w:tbl>
    <w:p w14:paraId="79ABDBA2">
      <w:pPr>
        <w:pStyle w:val="3"/>
      </w:pPr>
      <w:r>
        <w:t>Two further gateways carry no condition and are there for control flow. The parallel split after the receiving owner is named starts knowledge transfer and administrative offboarding at the same time rather than one after the other. The inclusive join before revocation waits only for the branches that were actually started, which is what allows a non-critical exit to complete without being held behind a handover that was never required. Two timer boundary events bound the two steps that would otherwise drift: five working days for the leader to confirm or override the criticality rating, after which the receiving owner is assigned anyway, and ten working days on the read-only extension granted under an approved exception.</w:t>
      </w:r>
    </w:p>
    <w:p w14:paraId="691D5EFB">
      <w:pPr>
        <w:pStyle w:val="3"/>
      </w:pPr>
      <w:r>
        <w:t>Access revocation runs on its own path, unconditional on the above, with delegated mailbox and drive access granted to the receiving owner at the point of revocation. The complete model, including all five lanes, twenty-five flow elements, thirty sequence flows and the two timer boundary events, is shown in Figure 6 as a SAP Signavio BPMN 2.0 diagram. The AS-IS counterpart is Figure 2.</w:t>
      </w:r>
    </w:p>
    <w:p w14:paraId="48F60156">
      <w:pPr>
        <w:pStyle w:val="3"/>
      </w:pPr>
      <w:r>
        <w:t>Seven things distinguish the TO-BE model from the AS-IS model, and each traces back to a Rosemann (2001) improvement type in Table 19. Criticality triage exists at all, and combines an automated entitlement query with three questions to the leader rather than relying on judgement alone (</w:t>
      </w:r>
      <w:r>
        <w:rPr>
          <w:i/>
          <w:iCs/>
        </w:rPr>
        <w:t>automation</w:t>
      </w:r>
      <w:r>
        <w:t>). A named receiving owner is assigned when the exit is confirmed, rather than the work simply arriving at a team (</w:t>
      </w:r>
      <w:r>
        <w:rPr>
          <w:i/>
          <w:iCs/>
        </w:rPr>
        <w:t>assignment of resources</w:t>
      </w:r>
      <w:r>
        <w:t>). That owner specifies what they need before the pack is written (</w:t>
      </w:r>
      <w:r>
        <w:rPr>
          <w:i/>
          <w:iCs/>
        </w:rPr>
        <w:t>pull instead of push</w:t>
      </w:r>
      <w:r>
        <w:t>). Knowledge transfer and administrative offboarding run in parallel from notice acceptance rather than sequentially (</w:t>
      </w:r>
      <w:r>
        <w:rPr>
          <w:i/>
          <w:iCs/>
        </w:rPr>
        <w:t>parallel routing</w:t>
      </w:r>
      <w:r>
        <w:t>). Verification becomes a demonstrated-competence test rather than a document review, and it is performed by the party who bears the cost of failure (</w:t>
      </w:r>
      <w:r>
        <w:rPr>
          <w:i/>
          <w:iCs/>
        </w:rPr>
        <w:t>process-oriented optimisation of the outcome</w:t>
      </w:r>
      <w:r>
        <w:t>), which is the change that carries the benefit. The consequence of failing it is a blocked backfill requisition and a logged, counted exception, rather than an undocumented override. And the receiving team’s reconstruct-and-escalate loop is removed from the normal path, which is where the contractor cost was being incurred.</w:t>
      </w:r>
    </w:p>
    <w:bookmarkEnd w:id="66"/>
    <w:bookmarkEnd w:id="72"/>
    <w:p w14:paraId="1D5C2F14">
      <w:pPr>
        <w:pStyle w:val="2"/>
      </w:pPr>
      <w:bookmarkStart w:id="73" w:name="_Toc8306"/>
      <w:bookmarkStart w:id="74" w:name="recommending-the-solution-to-implement"/>
      <w:r>
        <w:rPr>
          <w:color w:val="1F3864"/>
        </w:rPr>
        <w:t>9. Recommending the Solution to Implement</w:t>
      </w:r>
      <w:bookmarkEnd w:id="73"/>
    </w:p>
    <w:p w14:paraId="666A0343">
      <w:pPr>
        <w:pStyle w:val="4"/>
      </w:pPr>
      <w:bookmarkStart w:id="75" w:name="_Toc4991"/>
      <w:bookmarkStart w:id="76" w:name="Xd749c2c01b8a96502f0690d13b4ac8387233d25"/>
      <w:r>
        <w:rPr>
          <w:color w:val="1F3864"/>
        </w:rPr>
        <w:t>9.1 The recommendation as a structured narrative</w:t>
      </w:r>
      <w:bookmarkEnd w:id="75"/>
    </w:p>
    <w:p w14:paraId="1A96A7BD">
      <w:pPr>
        <w:pStyle w:val="25"/>
      </w:pPr>
      <w:r>
        <w:t>Storylining distils complex findings into a structured narrative so that a client can act on them. Setting the recommendation out as problem, data, insight and recommendation keeps the conclusion at the front and puts the supporting analysis behind it.</w:t>
      </w:r>
    </w:p>
    <w:p w14:paraId="5689E37D">
      <w:pPr>
        <w:pStyle w:val="13"/>
      </w:pPr>
      <w:r>
        <w:rPr>
          <w:b/>
          <w:bCs/>
        </w:rPr>
        <w:t>Problem.</w:t>
      </w:r>
      <w:r>
        <w:t xml:space="preserve"> Spark has removed roughly 1,450 FTE, about 28% of its workforce, while its employee exit process had no mechanism for checking that the knowledge leaving with those people arrived anywhere. Profit is being recovered from the cost line, and part of that recovery is being spent back invisibly.</w:t>
      </w:r>
    </w:p>
    <w:p w14:paraId="604C659D">
      <w:pPr>
        <w:pStyle w:val="13"/>
      </w:pPr>
      <w:r>
        <w:rPr>
          <w:b/>
          <w:bCs/>
        </w:rPr>
        <w:t>Data.</w:t>
      </w:r>
      <w:r>
        <w:t xml:space="preserve"> Handover exists as an undefined tick-box owned by the party releasing the role rather than the party inheriting the work. No KPI tracks transfer completion and no manager objective refers to capability retention. System access is revoked on a calendar date whether or not transfer has happened. On the quantification in §2.1, the resulting rework and capability-recovery spend is of the order of </w:t>
      </w:r>
      <w:r>
        <w:rPr>
          <w:b/>
          <w:bCs/>
        </w:rPr>
        <w:t>NZ$2.4 million a year</w:t>
      </w:r>
      <w:r>
        <w:t>, invisible because the benefit is tracked as a programme while the cost lands in divisional business-as-usual opex.</w:t>
      </w:r>
    </w:p>
    <w:p w14:paraId="7530A857">
      <w:pPr>
        <w:pStyle w:val="13"/>
      </w:pPr>
      <w:r>
        <w:rPr>
          <w:b/>
          <w:bCs/>
        </w:rPr>
        <w:t>Insight.</w:t>
      </w:r>
      <w:r>
        <w:t xml:space="preserve"> This is not a documentation problem and it is not a people problem. It is a governance gap: knowledge transfer is an ungoverned outcome inside a governed process, so it ends on a date rather than when the work can continue, and the incentives acting on line managers point away from fixing it. The compensating control that made this survivable, spare capacity in receiving teams, is exactly what the cost reduction removed.</w:t>
      </w:r>
    </w:p>
    <w:p w14:paraId="4A04F97F">
      <w:pPr>
        <w:pStyle w:val="13"/>
      </w:pPr>
      <w:r>
        <w:rPr>
          <w:b/>
          <w:bCs/>
        </w:rPr>
        <w:t>Recommendation.</w:t>
      </w:r>
      <w:r>
        <w:t xml:space="preserve"> Implement a </w:t>
      </w:r>
      <w:r>
        <w:rPr>
          <w:b/>
          <w:bCs/>
        </w:rPr>
        <w:t>gated knowledge handover</w:t>
      </w:r>
      <w:r>
        <w:t xml:space="preserve"> for knowledge-critical roles only: criticality triage at notice acceptance, a named receiving owner who specifies what they need, a standard handover pack, and verification by demonstrated competence — the receiver performs two or three real tasks unaided while the leaver observes. Where verification fails, the backfill requisition is blocked and the exception is logged, named and reported to the audit and risk committee. Access revocation is left alone, with delegated mailbox and drive access granted to the receiver instead. Measure it with VHCR, CAC and HVLT, and never report the completion rate on its own. Implementation is configuration of an existing workflow, with no new headcount and no new platform, well under NZ$100,000, against a recoverable </w:t>
      </w:r>
      <w:r>
        <w:rPr>
          <w:b/>
          <w:bCs/>
        </w:rPr>
        <w:t>NZ$1.4 million a year</w:t>
      </w:r>
      <w:r>
        <w:t>.</w:t>
      </w:r>
    </w:p>
    <w:bookmarkEnd w:id="76"/>
    <w:p w14:paraId="1B181D8F">
      <w:pPr>
        <w:pStyle w:val="4"/>
      </w:pPr>
      <w:bookmarkStart w:id="77" w:name="_Toc13930"/>
      <w:bookmarkStart w:id="78" w:name="key-insights"/>
      <w:r>
        <w:rPr>
          <w:color w:val="1F3864"/>
        </w:rPr>
        <w:t>9.2 Key insights</w:t>
      </w:r>
      <w:bookmarkEnd w:id="77"/>
    </w:p>
    <w:p w14:paraId="5F01A817">
      <w:pPr>
        <w:pStyle w:val="25"/>
      </w:pPr>
      <w:r>
        <w:t>Six insights follow from the analysis, in the order a client would need to hear them.</w:t>
      </w:r>
    </w:p>
    <w:p w14:paraId="4683A818">
      <w:pPr>
        <w:pStyle w:val="3"/>
      </w:pPr>
      <w:r>
        <w:rPr>
          <w:b/>
          <w:bCs/>
        </w:rPr>
        <w:t>1. The completion criterion, not the paperwork.</w:t>
      </w:r>
      <w:r>
        <w:t xml:space="preserve"> Every element of the recommendation exists to support one change: an exit completes when the work can continue, not when the calendar says so. Organisations that respond to this problem with a better template tend to fail, because a template has no consequence attached to it.</w:t>
      </w:r>
    </w:p>
    <w:p w14:paraId="3729B2CE">
      <w:pPr>
        <w:pStyle w:val="3"/>
      </w:pPr>
      <w:r>
        <w:rPr>
          <w:b/>
          <w:bCs/>
        </w:rPr>
        <w:t>2. Verification belongs with whoever bears the cost.</w:t>
      </w:r>
      <w:r>
        <w:t xml:space="preserve"> The departing employee has no stake, the line manager has a headcount target, and the People function has a compliance checklist. Only the receiving owner suffers when a handover fails, which makes them the only party likely to verify honestly. Assigning verification anywhere else produces a signature rather than a check.</w:t>
      </w:r>
    </w:p>
    <w:p w14:paraId="7B3BA8A4">
      <w:pPr>
        <w:pStyle w:val="3"/>
      </w:pPr>
      <w:r>
        <w:rPr>
          <w:b/>
          <w:bCs/>
        </w:rPr>
        <w:t>3. The failure is invisible because the benefit and the cost are tracked separately.</w:t>
      </w:r>
      <w:r>
        <w:t xml:space="preserve"> The labour saving is a programme number reported against a target. The recovery spend is coded to whichever project or cost centre it supports, never to the exit that caused it, and nobody reconciles the two back to specific exits (§6.1, Q17–Q18). That is why a problem worth several million a year has persisted without a management response, and it is the reason to sponsor the work from Finance rather than from the People function, since only Finance can close the reconciliation.</w:t>
      </w:r>
    </w:p>
    <w:p w14:paraId="74DCB417">
      <w:pPr>
        <w:pStyle w:val="3"/>
      </w:pPr>
      <w:r>
        <w:rPr>
          <w:b/>
          <w:bCs/>
        </w:rPr>
        <w:t>4. An undesigned exception becomes the default.</w:t>
      </w:r>
      <w:r>
        <w:t xml:space="preserve"> Both interviews reached this independently. The control is preserved not by making the override difficult but by making it named, counted and reported. A gate with an unlogged override is theatre.</w:t>
      </w:r>
    </w:p>
    <w:p w14:paraId="63ECB527">
      <w:pPr>
        <w:pStyle w:val="3"/>
      </w:pPr>
      <w:r>
        <w:rPr>
          <w:b/>
          <w:bCs/>
        </w:rPr>
        <w:t>5. The exposure is larger than the exit population.</w:t>
      </w:r>
      <w:r>
        <w:t xml:space="preserve"> The financial-domain interview raised a population this analysis had not scoped: a divisional split “usually means some people’s roles get redefined or duplicated across two orgs, which is its own kind of ‘quiet exit’ that a simple leaver checklist wouldn’t even capture” (Q28). The July 2026 separation therefore generates a substantial volume of role changes carrying the same risk, none of which touches the offboarding process. Extending the mechanism to internal transfers increases the addressable benefit without any further analysis.</w:t>
      </w:r>
    </w:p>
    <w:p w14:paraId="51175A34">
      <w:pPr>
        <w:pStyle w:val="3"/>
      </w:pPr>
      <w:r>
        <w:rPr>
          <w:b/>
          <w:bCs/>
        </w:rPr>
        <w:t>6. The window is closing.</w:t>
      </w:r>
      <w:r>
        <w:t xml:space="preserve"> Knowledge already lost cannot be recovered, so every quarter the gap runs unfixed converts a recoverable cost into a permanent one. The Digital Services review concluding in H1 FY27 will generate a further tranche of exits, and regretted voluntary attrition typically peaks six to eighteen months after a programme ends (§6.2, P6). That is the argument for acting before the review concludes rather than after it.</w:t>
      </w:r>
    </w:p>
    <w:bookmarkEnd w:id="78"/>
    <w:p w14:paraId="625C798D">
      <w:pPr>
        <w:pStyle w:val="4"/>
      </w:pPr>
      <w:bookmarkStart w:id="79" w:name="_Toc546"/>
      <w:bookmarkStart w:id="80" w:name="recommendations-for-implementation"/>
      <w:r>
        <w:rPr>
          <w:color w:val="1F3864"/>
        </w:rPr>
        <w:t>9.3 Recommendations for implementation</w:t>
      </w:r>
      <w:bookmarkEnd w:id="79"/>
    </w:p>
    <w:p w14:paraId="0A329ED0">
      <w:pPr>
        <w:pStyle w:val="25"/>
        <w:keepNext/>
        <w:spacing w:before="80" w:after="80" w:line="240" w:lineRule="auto"/>
        <w:jc w:val="left"/>
      </w:pPr>
      <w:r>
        <w:rPr>
          <w:b/>
          <w:bCs/>
          <w:sz w:val="22"/>
          <w:szCs w:val="22"/>
        </w:rPr>
        <w:t>Table 23.</w:t>
      </w:r>
      <w:r>
        <w:rPr>
          <w:i/>
          <w:iCs/>
          <w:sz w:val="22"/>
          <w:szCs w:val="22"/>
        </w:rPr>
        <w:t xml:space="preserve"> Implementation roadmap</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1137"/>
        <w:gridCol w:w="807"/>
        <w:gridCol w:w="3544"/>
        <w:gridCol w:w="1425"/>
        <w:gridCol w:w="1871"/>
      </w:tblGrid>
      <w:tr w14:paraId="5CEDE5C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2D6FF8D2">
            <w:pPr>
              <w:pStyle w:val="26"/>
              <w:keepNext/>
              <w:jc w:val="left"/>
            </w:pPr>
            <w:r>
              <w:rPr>
                <w:b/>
                <w:bCs/>
                <w:color w:val="FFFFFF"/>
                <w:sz w:val="20"/>
                <w:szCs w:val="20"/>
              </w:rPr>
              <w:t>Phase</w:t>
            </w:r>
          </w:p>
        </w:tc>
        <w:tc>
          <w:tcPr>
            <w:shd w:val="clear" w:color="auto" w:fill="1F3864"/>
          </w:tcPr>
          <w:p w14:paraId="538D7F90">
            <w:pPr>
              <w:pStyle w:val="26"/>
              <w:keepNext/>
              <w:jc w:val="left"/>
            </w:pPr>
            <w:r>
              <w:rPr>
                <w:b/>
                <w:bCs/>
                <w:color w:val="FFFFFF"/>
                <w:sz w:val="20"/>
                <w:szCs w:val="20"/>
              </w:rPr>
              <w:t>Timing</w:t>
            </w:r>
          </w:p>
        </w:tc>
        <w:tc>
          <w:tcPr>
            <w:shd w:val="clear" w:color="auto" w:fill="1F3864"/>
          </w:tcPr>
          <w:p w14:paraId="72209405">
            <w:pPr>
              <w:pStyle w:val="26"/>
              <w:keepNext/>
              <w:jc w:val="left"/>
            </w:pPr>
            <w:r>
              <w:rPr>
                <w:b/>
                <w:bCs/>
                <w:color w:val="FFFFFF"/>
                <w:sz w:val="20"/>
                <w:szCs w:val="20"/>
              </w:rPr>
              <w:t>Actions</w:t>
            </w:r>
          </w:p>
        </w:tc>
        <w:tc>
          <w:tcPr>
            <w:shd w:val="clear" w:color="auto" w:fill="1F3864"/>
          </w:tcPr>
          <w:p w14:paraId="733CEF46">
            <w:pPr>
              <w:pStyle w:val="26"/>
              <w:keepNext/>
              <w:jc w:val="left"/>
            </w:pPr>
            <w:r>
              <w:rPr>
                <w:b/>
                <w:bCs/>
                <w:color w:val="FFFFFF"/>
                <w:sz w:val="20"/>
                <w:szCs w:val="20"/>
              </w:rPr>
              <w:t>Owner</w:t>
            </w:r>
          </w:p>
        </w:tc>
        <w:tc>
          <w:tcPr>
            <w:shd w:val="clear" w:color="auto" w:fill="1F3864"/>
          </w:tcPr>
          <w:p w14:paraId="7ED98565">
            <w:pPr>
              <w:pStyle w:val="26"/>
              <w:keepNext/>
              <w:jc w:val="left"/>
            </w:pPr>
            <w:r>
              <w:rPr>
                <w:b/>
                <w:bCs/>
                <w:color w:val="FFFFFF"/>
                <w:sz w:val="20"/>
                <w:szCs w:val="20"/>
              </w:rPr>
              <w:t>Success measure</w:t>
            </w:r>
          </w:p>
        </w:tc>
      </w:tr>
      <w:tr w14:paraId="64C80664">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5D32A6F7">
            <w:pPr>
              <w:pStyle w:val="26"/>
              <w:keepNext/>
              <w:jc w:val="left"/>
            </w:pPr>
            <w:r>
              <w:rPr>
                <w:b/>
                <w:bCs/>
                <w:sz w:val="20"/>
                <w:szCs w:val="20"/>
              </w:rPr>
              <w:t>0. Validate</w:t>
            </w:r>
          </w:p>
        </w:tc>
        <w:tc>
          <w:p w14:paraId="32A49861">
            <w:pPr>
              <w:pStyle w:val="26"/>
              <w:keepNext/>
              <w:jc w:val="left"/>
            </w:pPr>
            <w:r>
              <w:rPr>
                <w:sz w:val="20"/>
                <w:szCs w:val="20"/>
              </w:rPr>
              <w:t>Weeks 1–4</w:t>
            </w:r>
          </w:p>
        </w:tc>
        <w:tc>
          <w:p w14:paraId="309AFDE5">
            <w:pPr>
              <w:pStyle w:val="26"/>
              <w:keepNext/>
              <w:jc w:val="left"/>
            </w:pPr>
            <w:r>
              <w:rPr>
                <w:sz w:val="20"/>
                <w:szCs w:val="20"/>
              </w:rPr>
              <w:t>Execute analyses 1–8 of the work plan (§3): retrieve offboarding records, run the criticality screen, establish the baseline VHCR by sampling artefacts and timestamps rather than workflow status (§6.2, P2), and separate planned backfill, unplanned recovery and capability transferred to vendors, using the timing-and-causality test and manager sampling</w:t>
            </w:r>
          </w:p>
        </w:tc>
        <w:tc>
          <w:p w14:paraId="0CF1D42B">
            <w:pPr>
              <w:pStyle w:val="26"/>
              <w:keepNext/>
              <w:jc w:val="left"/>
            </w:pPr>
            <w:r>
              <w:rPr>
                <w:sz w:val="20"/>
                <w:szCs w:val="20"/>
              </w:rPr>
              <w:t>Consultant with People function and Finance</w:t>
            </w:r>
          </w:p>
        </w:tc>
        <w:tc>
          <w:p w14:paraId="6BAB111A">
            <w:pPr>
              <w:pStyle w:val="26"/>
              <w:keepNext/>
              <w:jc w:val="left"/>
            </w:pPr>
            <w:r>
              <w:rPr>
                <w:sz w:val="20"/>
                <w:szCs w:val="20"/>
              </w:rPr>
              <w:t>Baseline VHCR established with a confidence interval; capability-recovery spend quantified defensibly</w:t>
            </w:r>
          </w:p>
        </w:tc>
      </w:tr>
      <w:tr w14:paraId="785DEFB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4576F69F">
            <w:pPr>
              <w:pStyle w:val="26"/>
              <w:jc w:val="left"/>
            </w:pPr>
            <w:r>
              <w:rPr>
                <w:b/>
                <w:bCs/>
                <w:sz w:val="20"/>
                <w:szCs w:val="20"/>
              </w:rPr>
              <w:t>1. Configure</w:t>
            </w:r>
          </w:p>
        </w:tc>
        <w:tc>
          <w:tcPr>
            <w:shd w:val="clear" w:color="auto" w:fill="F2F5F9"/>
          </w:tcPr>
          <w:p w14:paraId="4A38D0E6">
            <w:pPr>
              <w:pStyle w:val="26"/>
              <w:jc w:val="left"/>
            </w:pPr>
            <w:r>
              <w:rPr>
                <w:sz w:val="20"/>
                <w:szCs w:val="20"/>
              </w:rPr>
              <w:t>Weeks 5–8</w:t>
            </w:r>
          </w:p>
        </w:tc>
        <w:tc>
          <w:tcPr>
            <w:shd w:val="clear" w:color="auto" w:fill="F2F5F9"/>
          </w:tcPr>
          <w:p w14:paraId="64B4966B">
            <w:pPr>
              <w:pStyle w:val="26"/>
              <w:jc w:val="left"/>
            </w:pPr>
            <w:r>
              <w:rPr>
                <w:sz w:val="20"/>
                <w:szCs w:val="20"/>
              </w:rPr>
              <w:t>Add two mandatory HRIS fields (criticality classification; verification outcome); build the sole-owner entitlement query; publish the handover pack template and the competence-check protocol; wire the backfill-requisition block; define the exception path and its named approvers</w:t>
            </w:r>
          </w:p>
        </w:tc>
        <w:tc>
          <w:tcPr>
            <w:shd w:val="clear" w:color="auto" w:fill="F2F5F9"/>
          </w:tcPr>
          <w:p w14:paraId="5E11C4CD">
            <w:pPr>
              <w:pStyle w:val="26"/>
              <w:jc w:val="left"/>
            </w:pPr>
            <w:r>
              <w:rPr>
                <w:sz w:val="20"/>
                <w:szCs w:val="20"/>
              </w:rPr>
              <w:t>People function with HRIS administrator</w:t>
            </w:r>
          </w:p>
        </w:tc>
        <w:tc>
          <w:tcPr>
            <w:shd w:val="clear" w:color="auto" w:fill="F2F5F9"/>
          </w:tcPr>
          <w:p w14:paraId="5EEC7C41">
            <w:pPr>
              <w:pStyle w:val="26"/>
              <w:jc w:val="left"/>
            </w:pPr>
            <w:r>
              <w:rPr>
                <w:sz w:val="20"/>
                <w:szCs w:val="20"/>
              </w:rPr>
              <w:t>Configuration complete; template published; exception path documented</w:t>
            </w:r>
          </w:p>
        </w:tc>
      </w:tr>
      <w:tr w14:paraId="2D6660C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3F6B61E9">
            <w:pPr>
              <w:pStyle w:val="26"/>
              <w:jc w:val="left"/>
            </w:pPr>
            <w:r>
              <w:rPr>
                <w:b/>
                <w:bCs/>
                <w:sz w:val="20"/>
                <w:szCs w:val="20"/>
              </w:rPr>
              <w:t>2. Pilot</w:t>
            </w:r>
          </w:p>
        </w:tc>
        <w:tc>
          <w:p w14:paraId="6C25BB79">
            <w:pPr>
              <w:pStyle w:val="26"/>
              <w:jc w:val="left"/>
            </w:pPr>
            <w:r>
              <w:rPr>
                <w:sz w:val="20"/>
                <w:szCs w:val="20"/>
              </w:rPr>
              <w:t>Weeks 9–20</w:t>
            </w:r>
          </w:p>
        </w:tc>
        <w:tc>
          <w:p w14:paraId="3668DBE4">
            <w:pPr>
              <w:pStyle w:val="26"/>
              <w:jc w:val="left"/>
            </w:pPr>
            <w:r>
              <w:rPr>
                <w:sz w:val="20"/>
                <w:szCs w:val="20"/>
              </w:rPr>
              <w:t>Pilot in Connectivity only. All critical exits routed through the gate. Weekly review of exceptions and override reasons</w:t>
            </w:r>
          </w:p>
        </w:tc>
        <w:tc>
          <w:p w14:paraId="24F40F68">
            <w:pPr>
              <w:pStyle w:val="26"/>
              <w:jc w:val="left"/>
            </w:pPr>
            <w:r>
              <w:rPr>
                <w:sz w:val="20"/>
                <w:szCs w:val="20"/>
              </w:rPr>
              <w:t>Nominated process owner</w:t>
            </w:r>
          </w:p>
        </w:tc>
        <w:tc>
          <w:p w14:paraId="1C7C2C39">
            <w:pPr>
              <w:pStyle w:val="26"/>
              <w:jc w:val="left"/>
            </w:pPr>
            <w:r>
              <w:rPr>
                <w:sz w:val="20"/>
                <w:szCs w:val="20"/>
              </w:rPr>
              <w:t>CAC at least 80%; VHCR at least 60%; exception rate and override reasons reviewed weekly</w:t>
            </w:r>
          </w:p>
        </w:tc>
      </w:tr>
      <w:tr w14:paraId="43E25BA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42F3419A">
            <w:pPr>
              <w:pStyle w:val="26"/>
              <w:jc w:val="left"/>
            </w:pPr>
            <w:r>
              <w:rPr>
                <w:b/>
                <w:bCs/>
                <w:sz w:val="20"/>
                <w:szCs w:val="20"/>
              </w:rPr>
              <w:t>3. Extend</w:t>
            </w:r>
          </w:p>
        </w:tc>
        <w:tc>
          <w:tcPr>
            <w:shd w:val="clear" w:color="auto" w:fill="F2F5F9"/>
          </w:tcPr>
          <w:p w14:paraId="6B170CC0">
            <w:pPr>
              <w:pStyle w:val="26"/>
              <w:jc w:val="left"/>
            </w:pPr>
            <w:r>
              <w:rPr>
                <w:sz w:val="20"/>
                <w:szCs w:val="20"/>
              </w:rPr>
              <w:t>Weeks 21–32</w:t>
            </w:r>
          </w:p>
        </w:tc>
        <w:tc>
          <w:tcPr>
            <w:shd w:val="clear" w:color="auto" w:fill="F2F5F9"/>
          </w:tcPr>
          <w:p w14:paraId="3DE8374E">
            <w:pPr>
              <w:pStyle w:val="26"/>
              <w:jc w:val="left"/>
            </w:pPr>
            <w:r>
              <w:rPr>
                <w:sz w:val="20"/>
                <w:szCs w:val="20"/>
              </w:rPr>
              <w:t>Extend to Digital Services ahead of the strategic review outcome; extend the mechanism to the internal transfers and redefined roles arising from the divisional separation, the “quiet exits” identified in §6.1 (Q28)</w:t>
            </w:r>
          </w:p>
        </w:tc>
        <w:tc>
          <w:tcPr>
            <w:shd w:val="clear" w:color="auto" w:fill="F2F5F9"/>
          </w:tcPr>
          <w:p w14:paraId="3AD19C41">
            <w:pPr>
              <w:pStyle w:val="26"/>
              <w:jc w:val="left"/>
            </w:pPr>
            <w:r>
              <w:rPr>
                <w:sz w:val="20"/>
                <w:szCs w:val="20"/>
              </w:rPr>
              <w:t>Process owner</w:t>
            </w:r>
          </w:p>
        </w:tc>
        <w:tc>
          <w:tcPr>
            <w:shd w:val="clear" w:color="auto" w:fill="F2F5F9"/>
          </w:tcPr>
          <w:p w14:paraId="58A33E69">
            <w:pPr>
              <w:pStyle w:val="26"/>
              <w:jc w:val="left"/>
            </w:pPr>
            <w:r>
              <w:rPr>
                <w:sz w:val="20"/>
                <w:szCs w:val="20"/>
              </w:rPr>
              <w:t>VHCR at least 75%; internal transfers in scope</w:t>
            </w:r>
          </w:p>
        </w:tc>
      </w:tr>
      <w:tr w14:paraId="024B67F1">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12898B2A">
            <w:pPr>
              <w:pStyle w:val="26"/>
              <w:jc w:val="left"/>
            </w:pPr>
            <w:r>
              <w:rPr>
                <w:b/>
                <w:bCs/>
                <w:sz w:val="20"/>
                <w:szCs w:val="20"/>
              </w:rPr>
              <w:t>4. Embed</w:t>
            </w:r>
          </w:p>
        </w:tc>
        <w:tc>
          <w:p w14:paraId="00BD8396">
            <w:pPr>
              <w:pStyle w:val="26"/>
              <w:jc w:val="left"/>
            </w:pPr>
            <w:r>
              <w:rPr>
                <w:sz w:val="20"/>
                <w:szCs w:val="20"/>
              </w:rPr>
              <w:t>Weeks 33–52</w:t>
            </w:r>
          </w:p>
        </w:tc>
        <w:tc>
          <w:p w14:paraId="1294AF49">
            <w:pPr>
              <w:pStyle w:val="26"/>
              <w:jc w:val="left"/>
            </w:pPr>
            <w:r>
              <w:rPr>
                <w:sz w:val="20"/>
                <w:szCs w:val="20"/>
              </w:rPr>
              <w:t>VHCR, CAC and HVLT in the monthly divisional operating review; capability retention added to line-manager objectives; quarterly template review from the 30-day check findings</w:t>
            </w:r>
          </w:p>
        </w:tc>
        <w:tc>
          <w:p w14:paraId="5B3F4B5B">
            <w:pPr>
              <w:pStyle w:val="26"/>
              <w:jc w:val="left"/>
            </w:pPr>
            <w:r>
              <w:rPr>
                <w:sz w:val="20"/>
                <w:szCs w:val="20"/>
              </w:rPr>
              <w:t>Divisional leadership; People function</w:t>
            </w:r>
          </w:p>
        </w:tc>
        <w:tc>
          <w:p w14:paraId="25FD116F">
            <w:pPr>
              <w:pStyle w:val="26"/>
              <w:jc w:val="left"/>
            </w:pPr>
            <w:r>
              <w:rPr>
                <w:sz w:val="20"/>
                <w:szCs w:val="20"/>
              </w:rPr>
              <w:t>VHCR at least 90%; HVLT median at least 5 days; no more than 10% negative lead time</w:t>
            </w:r>
          </w:p>
        </w:tc>
      </w:tr>
      <w:tr w14:paraId="3F750DB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4D830356">
            <w:pPr>
              <w:pStyle w:val="26"/>
              <w:jc w:val="left"/>
            </w:pPr>
            <w:r>
              <w:rPr>
                <w:b/>
                <w:bCs/>
                <w:sz w:val="20"/>
                <w:szCs w:val="20"/>
              </w:rPr>
              <w:t>5. Structural (phase two)</w:t>
            </w:r>
          </w:p>
        </w:tc>
        <w:tc>
          <w:tcPr>
            <w:shd w:val="clear" w:color="auto" w:fill="F2F5F9"/>
          </w:tcPr>
          <w:p w14:paraId="6D4DFC34">
            <w:pPr>
              <w:pStyle w:val="26"/>
              <w:jc w:val="left"/>
            </w:pPr>
            <w:r>
              <w:rPr>
                <w:sz w:val="20"/>
                <w:szCs w:val="20"/>
              </w:rPr>
              <w:t>FY27</w:t>
            </w:r>
          </w:p>
        </w:tc>
        <w:tc>
          <w:tcPr>
            <w:shd w:val="clear" w:color="auto" w:fill="F2F5F9"/>
          </w:tcPr>
          <w:p w14:paraId="3F88F2E1">
            <w:pPr>
              <w:pStyle w:val="26"/>
              <w:jc w:val="left"/>
            </w:pPr>
            <w:r>
              <w:rPr>
                <w:sz w:val="20"/>
                <w:szCs w:val="20"/>
              </w:rPr>
              <w:t>Standing key-person register with required deputies for critical systems, reviewed quarterly (pathway C, and the GenAI proposal deferred in §8.2)</w:t>
            </w:r>
          </w:p>
        </w:tc>
        <w:tc>
          <w:tcPr>
            <w:shd w:val="clear" w:color="auto" w:fill="F2F5F9"/>
          </w:tcPr>
          <w:p w14:paraId="1C43A70E">
            <w:pPr>
              <w:pStyle w:val="26"/>
              <w:jc w:val="left"/>
            </w:pPr>
            <w:r>
              <w:rPr>
                <w:sz w:val="20"/>
                <w:szCs w:val="20"/>
              </w:rPr>
              <w:t>Divisional leadership</w:t>
            </w:r>
          </w:p>
        </w:tc>
        <w:tc>
          <w:tcPr>
            <w:shd w:val="clear" w:color="auto" w:fill="F2F5F9"/>
          </w:tcPr>
          <w:p w14:paraId="09206A20">
            <w:pPr>
              <w:pStyle w:val="26"/>
              <w:jc w:val="left"/>
            </w:pPr>
            <w:r>
              <w:rPr>
                <w:sz w:val="20"/>
                <w:szCs w:val="20"/>
              </w:rPr>
              <w:t>Every critical system has a documented deputy</w:t>
            </w:r>
          </w:p>
        </w:tc>
      </w:tr>
    </w:tbl>
    <w:p w14:paraId="53AF7914">
      <w:pPr>
        <w:pStyle w:val="3"/>
      </w:pPr>
      <w:r>
        <w:t>The engagement sponsor should be the Chief Financial Officer rather than the People function. Framed as a process improvement, the initiative competes for HR funding against work with clearer returns. Framed as protecting the integrity of the reported cost-out savings, it addresses a number the CFO has personally stood behind in a results announcement, and it is the only function positioned to reconcile recovery spend back to the exits that caused it, which §6.1 (Q18) identifies as currently unowned. The recommendation is the same either way, but only one framing is likely to be signed.</w:t>
      </w:r>
    </w:p>
    <w:p w14:paraId="02E90C41">
      <w:pPr>
        <w:pStyle w:val="3"/>
      </w:pPr>
      <w:r>
        <w:t>The arithmetic of the case is short enough to state in full. Phase 0 is about four weeks of analyst time. Phases 1 to 4 are configuration of an existing workflow, one template and one report, with no new headcount and no new platform, which puts the implementation well under NZ$100,000. Against a recoverable NZ$1.4 million a year, the investment is returned inside the first quarter in which VHCR reaches its target, and the case stays positive at the pessimistic corner of the sensitivity grid in §2.1, where the annualised leakage is NZ$1.1 million rather than NZ$2.4 million. There is one circumstance in which the case fails. If the record review returns a verified completion rate materially above 50% and the ITSM consequence data shows no movement across the period, the control gap is real but immaterial, and Phase 0 should close the engagement rather than proceed to configuration. Designing the first phase so that it can return that answer cheaply is the point of sequencing it first.</w:t>
      </w:r>
    </w:p>
    <w:p w14:paraId="7539AD91">
      <w:pPr>
        <w:pStyle w:val="3"/>
        <w:keepNext/>
        <w:spacing w:before="80" w:after="80" w:line="240" w:lineRule="auto"/>
        <w:jc w:val="left"/>
      </w:pPr>
      <w:r>
        <w:rPr>
          <w:b/>
          <w:bCs/>
          <w:sz w:val="22"/>
          <w:szCs w:val="22"/>
        </w:rPr>
        <w:t>Table 24.</w:t>
      </w:r>
      <w:r>
        <w:rPr>
          <w:i/>
          <w:iCs/>
          <w:sz w:val="22"/>
          <w:szCs w:val="22"/>
        </w:rPr>
        <w:t xml:space="preserve"> Implementation risks and mitigations</w:t>
      </w:r>
    </w:p>
    <w:tbl>
      <w:tblPr>
        <w:tblStyle w:val="31"/>
        <w:tblW w:w="5000" w:type="pct"/>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48" w:type="dxa"/>
          <w:left w:w="72" w:type="dxa"/>
          <w:bottom w:w="48" w:type="dxa"/>
          <w:right w:w="72" w:type="dxa"/>
        </w:tblCellMar>
      </w:tblPr>
      <w:tblGrid>
        <w:gridCol w:w="3045"/>
        <w:gridCol w:w="1265"/>
        <w:gridCol w:w="4474"/>
      </w:tblGrid>
      <w:tr w14:paraId="3866FC6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rPr>
          <w:tblHeader/>
        </w:trPr>
        <w:tc>
          <w:tcPr>
            <w:shd w:val="clear" w:color="auto" w:fill="1F3864"/>
          </w:tcPr>
          <w:p w14:paraId="60C4F20D">
            <w:pPr>
              <w:pStyle w:val="26"/>
              <w:keepNext/>
              <w:jc w:val="left"/>
            </w:pPr>
            <w:r>
              <w:rPr>
                <w:b/>
                <w:bCs/>
                <w:color w:val="FFFFFF"/>
                <w:sz w:val="20"/>
                <w:szCs w:val="20"/>
              </w:rPr>
              <w:t>Risk</w:t>
            </w:r>
          </w:p>
        </w:tc>
        <w:tc>
          <w:tcPr>
            <w:shd w:val="clear" w:color="auto" w:fill="1F3864"/>
          </w:tcPr>
          <w:p w14:paraId="53F022C5">
            <w:pPr>
              <w:pStyle w:val="26"/>
              <w:keepNext/>
              <w:jc w:val="left"/>
            </w:pPr>
            <w:r>
              <w:rPr>
                <w:b/>
                <w:bCs/>
                <w:color w:val="FFFFFF"/>
                <w:sz w:val="20"/>
                <w:szCs w:val="20"/>
              </w:rPr>
              <w:t>Likelihood</w:t>
            </w:r>
          </w:p>
        </w:tc>
        <w:tc>
          <w:tcPr>
            <w:shd w:val="clear" w:color="auto" w:fill="1F3864"/>
          </w:tcPr>
          <w:p w14:paraId="442BE8D5">
            <w:pPr>
              <w:pStyle w:val="26"/>
              <w:keepNext/>
              <w:jc w:val="left"/>
            </w:pPr>
            <w:r>
              <w:rPr>
                <w:b/>
                <w:bCs/>
                <w:color w:val="FFFFFF"/>
                <w:sz w:val="20"/>
                <w:szCs w:val="20"/>
              </w:rPr>
              <w:t>Mitigation</w:t>
            </w:r>
          </w:p>
        </w:tc>
      </w:tr>
      <w:tr w14:paraId="25728A5B">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2B83C850">
            <w:pPr>
              <w:pStyle w:val="26"/>
              <w:keepNext/>
              <w:jc w:val="left"/>
            </w:pPr>
            <w:r>
              <w:rPr>
                <w:sz w:val="20"/>
                <w:szCs w:val="20"/>
              </w:rPr>
              <w:t>Sign-off without genuine verification — the rubber-stamp risk both interviews predicted (§6.1, Q25; §6.2, P5)</w:t>
            </w:r>
          </w:p>
        </w:tc>
        <w:tc>
          <w:p w14:paraId="7E4B6D8A">
            <w:pPr>
              <w:pStyle w:val="26"/>
              <w:keepNext/>
              <w:jc w:val="left"/>
            </w:pPr>
            <w:r>
              <w:rPr>
                <w:sz w:val="20"/>
                <w:szCs w:val="20"/>
              </w:rPr>
              <w:t>Medium, reduced from High</w:t>
            </w:r>
          </w:p>
        </w:tc>
        <w:tc>
          <w:p w14:paraId="3DDE3646">
            <w:pPr>
              <w:pStyle w:val="26"/>
              <w:keepNext/>
              <w:jc w:val="left"/>
            </w:pPr>
            <w:r>
              <w:rPr>
                <w:sz w:val="20"/>
                <w:szCs w:val="20"/>
              </w:rPr>
              <w:t>The competence check is the primary mitigation: a receiver who has to perform the task cannot pass by reading a padded document. Report HVLT alongside VHCR, and never report the completion rate on its own (§6.1, Q26). Governance samples 10% of verifications quarterly.</w:t>
            </w:r>
          </w:p>
        </w:tc>
      </w:tr>
      <w:tr w14:paraId="3BDCFB2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5F3D0778">
            <w:pPr>
              <w:pStyle w:val="26"/>
              <w:jc w:val="left"/>
            </w:pPr>
            <w:r>
              <w:rPr>
                <w:sz w:val="20"/>
                <w:szCs w:val="20"/>
              </w:rPr>
              <w:t>The exception becomes the default path</w:t>
            </w:r>
          </w:p>
        </w:tc>
        <w:tc>
          <w:tcPr>
            <w:shd w:val="clear" w:color="auto" w:fill="F2F5F9"/>
          </w:tcPr>
          <w:p w14:paraId="405F1424">
            <w:pPr>
              <w:pStyle w:val="26"/>
              <w:jc w:val="left"/>
            </w:pPr>
            <w:r>
              <w:rPr>
                <w:b/>
                <w:bCs/>
                <w:sz w:val="20"/>
                <w:szCs w:val="20"/>
              </w:rPr>
              <w:t>High</w:t>
            </w:r>
          </w:p>
        </w:tc>
        <w:tc>
          <w:tcPr>
            <w:shd w:val="clear" w:color="auto" w:fill="F2F5F9"/>
          </w:tcPr>
          <w:p w14:paraId="261DF698">
            <w:pPr>
              <w:pStyle w:val="26"/>
              <w:jc w:val="left"/>
            </w:pPr>
            <w:r>
              <w:rPr>
                <w:sz w:val="20"/>
                <w:szCs w:val="20"/>
              </w:rPr>
              <w:t>Do not make it hard; make it named, blocking on backfill approval, and reported quarterly to the audit and risk committee. Board visibility is the only enforcement that reliably survives a cost-out programme (§6.2, P5).</w:t>
            </w:r>
          </w:p>
        </w:tc>
      </w:tr>
      <w:tr w14:paraId="2B8A832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3C027C77">
            <w:pPr>
              <w:pStyle w:val="26"/>
              <w:jc w:val="left"/>
            </w:pPr>
            <w:r>
              <w:rPr>
                <w:sz w:val="20"/>
                <w:szCs w:val="20"/>
              </w:rPr>
              <w:t>Under-classification of critical roles by managers</w:t>
            </w:r>
          </w:p>
        </w:tc>
        <w:tc>
          <w:p w14:paraId="00844B02">
            <w:pPr>
              <w:pStyle w:val="26"/>
              <w:jc w:val="left"/>
            </w:pPr>
            <w:r>
              <w:rPr>
                <w:sz w:val="20"/>
                <w:szCs w:val="20"/>
              </w:rPr>
              <w:t>Medium</w:t>
            </w:r>
          </w:p>
        </w:tc>
        <w:tc>
          <w:p w14:paraId="58889602">
            <w:pPr>
              <w:pStyle w:val="26"/>
              <w:jc w:val="left"/>
            </w:pPr>
            <w:r>
              <w:rPr>
                <w:sz w:val="20"/>
                <w:szCs w:val="20"/>
              </w:rPr>
              <w:t>Automatic triage from HRIS attributes rather than manager judgement; overrides require a recorded reason and are reported by manager.</w:t>
            </w:r>
          </w:p>
        </w:tc>
      </w:tr>
      <w:tr w14:paraId="2D8E739C">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4B0B710A">
            <w:pPr>
              <w:pStyle w:val="26"/>
              <w:jc w:val="left"/>
            </w:pPr>
            <w:r>
              <w:rPr>
                <w:sz w:val="20"/>
                <w:szCs w:val="20"/>
              </w:rPr>
              <w:t>First-quarter optics: better handover slows exits and makes the headcount reduction look slower</w:t>
            </w:r>
          </w:p>
        </w:tc>
        <w:tc>
          <w:tcPr>
            <w:shd w:val="clear" w:color="auto" w:fill="F2F5F9"/>
          </w:tcPr>
          <w:p w14:paraId="011E099A">
            <w:pPr>
              <w:pStyle w:val="26"/>
              <w:jc w:val="left"/>
            </w:pPr>
            <w:r>
              <w:rPr>
                <w:sz w:val="20"/>
                <w:szCs w:val="20"/>
              </w:rPr>
              <w:t>Medium</w:t>
            </w:r>
          </w:p>
        </w:tc>
        <w:tc>
          <w:tcPr>
            <w:shd w:val="clear" w:color="auto" w:fill="F2F5F9"/>
          </w:tcPr>
          <w:p w14:paraId="05152B01">
            <w:pPr>
              <w:pStyle w:val="26"/>
              <w:jc w:val="left"/>
            </w:pPr>
            <w:r>
              <w:rPr>
                <w:sz w:val="20"/>
                <w:szCs w:val="20"/>
              </w:rPr>
              <w:t>Prepare the response before implementation. Report exits held at the gate as a distinct category, with the retained capability quantified against them.</w:t>
            </w:r>
          </w:p>
        </w:tc>
      </w:tr>
      <w:tr w14:paraId="3DB05E7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553C130B">
            <w:pPr>
              <w:pStyle w:val="26"/>
              <w:jc w:val="left"/>
            </w:pPr>
            <w:r>
              <w:rPr>
                <w:sz w:val="20"/>
                <w:szCs w:val="20"/>
              </w:rPr>
              <w:t>Change fatigue during the divisional separation and strategic review</w:t>
            </w:r>
          </w:p>
        </w:tc>
        <w:tc>
          <w:p w14:paraId="2F73662E">
            <w:pPr>
              <w:pStyle w:val="26"/>
              <w:jc w:val="left"/>
            </w:pPr>
            <w:r>
              <w:rPr>
                <w:sz w:val="20"/>
                <w:szCs w:val="20"/>
              </w:rPr>
              <w:t>Medium</w:t>
            </w:r>
          </w:p>
        </w:tc>
        <w:tc>
          <w:p w14:paraId="65B3E63C">
            <w:pPr>
              <w:pStyle w:val="26"/>
              <w:jc w:val="left"/>
            </w:pPr>
            <w:r>
              <w:rPr>
                <w:sz w:val="20"/>
                <w:szCs w:val="20"/>
              </w:rPr>
              <w:t>Pilot in one division only; keep the phase-one change to two HRIS fields and one template; defer the key-person register to FY27.</w:t>
            </w:r>
          </w:p>
        </w:tc>
      </w:tr>
      <w:tr w14:paraId="6F1F409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0F656640">
            <w:pPr>
              <w:pStyle w:val="26"/>
              <w:jc w:val="left"/>
            </w:pPr>
            <w:r>
              <w:rPr>
                <w:sz w:val="20"/>
                <w:szCs w:val="20"/>
              </w:rPr>
              <w:t>Records unavailable, so the baseline cannot be established</w:t>
            </w:r>
          </w:p>
        </w:tc>
        <w:tc>
          <w:tcPr>
            <w:shd w:val="clear" w:color="auto" w:fill="F2F5F9"/>
          </w:tcPr>
          <w:p w14:paraId="57D6B484">
            <w:pPr>
              <w:pStyle w:val="26"/>
              <w:jc w:val="left"/>
            </w:pPr>
            <w:r>
              <w:rPr>
                <w:sz w:val="20"/>
                <w:szCs w:val="20"/>
              </w:rPr>
              <w:t>Medium</w:t>
            </w:r>
          </w:p>
        </w:tc>
        <w:tc>
          <w:tcPr>
            <w:shd w:val="clear" w:color="auto" w:fill="F2F5F9"/>
          </w:tcPr>
          <w:p w14:paraId="3258A81E">
            <w:pPr>
              <w:pStyle w:val="26"/>
              <w:jc w:val="left"/>
            </w:pPr>
            <w:r>
              <w:rPr>
                <w:sz w:val="20"/>
                <w:szCs w:val="20"/>
              </w:rPr>
              <w:t>Check in week 1 (§4.3). If offboarding records cannot be retrieved, that is itself strong evidence for H1 and should be reported as such, with the baseline then resting on the ITSM consequence data.</w:t>
            </w:r>
          </w:p>
        </w:tc>
      </w:tr>
      <w:tr w14:paraId="6FE8938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3410B354">
            <w:pPr>
              <w:pStyle w:val="26"/>
              <w:jc w:val="left"/>
            </w:pPr>
            <w:r>
              <w:rPr>
                <w:sz w:val="20"/>
                <w:szCs w:val="20"/>
              </w:rPr>
              <w:t>Part of the headcount reduction was conversion to managed services rather than loss, so some apparent leakage is a supplier exposure instead (§6.2, P6)</w:t>
            </w:r>
          </w:p>
        </w:tc>
        <w:tc>
          <w:p w14:paraId="50BA0776">
            <w:pPr>
              <w:pStyle w:val="26"/>
              <w:jc w:val="left"/>
            </w:pPr>
            <w:r>
              <w:rPr>
                <w:sz w:val="20"/>
                <w:szCs w:val="20"/>
              </w:rPr>
              <w:t>Medium</w:t>
            </w:r>
          </w:p>
        </w:tc>
        <w:tc>
          <w:p w14:paraId="1426C94D">
            <w:pPr>
              <w:pStyle w:val="26"/>
              <w:jc w:val="left"/>
            </w:pPr>
            <w:r>
              <w:rPr>
                <w:sz w:val="20"/>
                <w:szCs w:val="20"/>
              </w:rPr>
              <w:t>Phase 0 separates three categories rather than two. If confirmed, the finding changes from handover failure to vendor lock-in and is reported as such rather than folded into the business case.</w:t>
            </w:r>
          </w:p>
        </w:tc>
      </w:tr>
      <w:tr w14:paraId="112EFE4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tcPr>
            <w:shd w:val="clear" w:color="auto" w:fill="F2F5F9"/>
          </w:tcPr>
          <w:p w14:paraId="4625A3BA">
            <w:pPr>
              <w:pStyle w:val="26"/>
              <w:jc w:val="left"/>
            </w:pPr>
            <w:r>
              <w:rPr>
                <w:sz w:val="20"/>
                <w:szCs w:val="20"/>
              </w:rPr>
              <w:t>Some knowledge loss was intentional — decommissioned platforms and retired products (§6.2, P6)</w:t>
            </w:r>
          </w:p>
        </w:tc>
        <w:tc>
          <w:tcPr>
            <w:shd w:val="clear" w:color="auto" w:fill="F2F5F9"/>
          </w:tcPr>
          <w:p w14:paraId="39E9DEF7">
            <w:pPr>
              <w:pStyle w:val="26"/>
              <w:jc w:val="left"/>
            </w:pPr>
            <w:r>
              <w:rPr>
                <w:sz w:val="20"/>
                <w:szCs w:val="20"/>
              </w:rPr>
              <w:t>Medium</w:t>
            </w:r>
          </w:p>
        </w:tc>
        <w:tc>
          <w:tcPr>
            <w:shd w:val="clear" w:color="auto" w:fill="F2F5F9"/>
          </w:tcPr>
          <w:p w14:paraId="6D47428D">
            <w:pPr>
              <w:pStyle w:val="26"/>
              <w:jc w:val="left"/>
            </w:pPr>
            <w:r>
              <w:rPr>
                <w:sz w:val="20"/>
                <w:szCs w:val="20"/>
              </w:rPr>
              <w:t>Exclude roles attached to deliberately exited work from the critical population before sizing. Conflating the two would inflate the finding and cost credibility in the first executive meeting.</w:t>
            </w:r>
          </w:p>
        </w:tc>
      </w:tr>
      <w:tr w14:paraId="1B3E43E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48" w:type="dxa"/>
            <w:left w:w="72" w:type="dxa"/>
            <w:bottom w:w="48" w:type="dxa"/>
            <w:right w:w="72" w:type="dxa"/>
          </w:tblCellMar>
        </w:tblPrEx>
        <w:tc>
          <w:p w14:paraId="683F6FF7">
            <w:pPr>
              <w:pStyle w:val="26"/>
              <w:jc w:val="left"/>
            </w:pPr>
            <w:r>
              <w:rPr>
                <w:sz w:val="20"/>
                <w:szCs w:val="20"/>
              </w:rPr>
              <w:t>Tacit knowledge not carried by any artefact</w:t>
            </w:r>
          </w:p>
        </w:tc>
        <w:tc>
          <w:p w14:paraId="35012E40">
            <w:pPr>
              <w:pStyle w:val="26"/>
              <w:jc w:val="left"/>
            </w:pPr>
            <w:r>
              <w:rPr>
                <w:b/>
                <w:bCs/>
                <w:sz w:val="20"/>
                <w:szCs w:val="20"/>
              </w:rPr>
              <w:t>High but bounded</w:t>
            </w:r>
          </w:p>
        </w:tc>
        <w:tc>
          <w:p w14:paraId="24DB5C9F">
            <w:pPr>
              <w:pStyle w:val="26"/>
              <w:jc w:val="left"/>
            </w:pPr>
            <w:r>
              <w:rPr>
                <w:sz w:val="20"/>
                <w:szCs w:val="20"/>
              </w:rPr>
              <w:t>Accept it explicitly. The phase-two deputy model addresses it and the 30-day check quantifies the residual. Do not claim the intervention solves it.</w:t>
            </w:r>
          </w:p>
        </w:tc>
      </w:tr>
    </w:tbl>
    <w:p w14:paraId="185A476B">
      <w:pPr>
        <w:pStyle w:val="3"/>
      </w:pPr>
      <w:r>
        <w:t>The decision requested of the client is approval to proceed with Phase 0, a four-week validation running the record review and the three discriminating tests, at the end of which the baseline VHCR and the capability-recovery figure will be established and the business case can be confirmed or withdrawn. Phase 0 is deliberately structured so that a negative result closes the engagement cheaply, which is the appropriate design when the key hypothesis has been supported on mechanism but not yet on rate.</w:t>
      </w:r>
    </w:p>
    <w:bookmarkEnd w:id="74"/>
    <w:bookmarkEnd w:id="80"/>
    <w:p w14:paraId="49E21D4C">
      <w:pPr>
        <w:pStyle w:val="2"/>
      </w:pPr>
      <w:bookmarkStart w:id="81" w:name="_Toc18304"/>
      <w:bookmarkStart w:id="82" w:name="references"/>
      <w:r>
        <w:rPr>
          <w:color w:val="1F3864"/>
        </w:rPr>
        <w:t>References</w:t>
      </w:r>
      <w:bookmarkEnd w:id="81"/>
    </w:p>
    <w:p w14:paraId="5E0376E5">
      <w:pPr>
        <w:pStyle w:val="25"/>
      </w:pPr>
      <w:r>
        <w:t>Business Scoop. (2026, July 31). Spark restructure separates digital services from connectivity. https://www.scoop.co.nz/stories/SC2607/S00045/spark-restructure-separates-digital-services-from-connectivity.htm</w:t>
      </w:r>
    </w:p>
    <w:p w14:paraId="2E505FD0">
      <w:pPr>
        <w:pStyle w:val="3"/>
      </w:pPr>
      <w:r>
        <w:t xml:space="preserve">Davenport, T. H. (1993). </w:t>
      </w:r>
      <w:r>
        <w:rPr>
          <w:i/>
          <w:iCs/>
        </w:rPr>
        <w:t>Process innovation: Reengineering work through information technology</w:t>
      </w:r>
      <w:r>
        <w:t>. Harvard Business School Press.</w:t>
      </w:r>
    </w:p>
    <w:p w14:paraId="76E8A15B">
      <w:pPr>
        <w:pStyle w:val="3"/>
      </w:pPr>
      <w:r>
        <w:t xml:space="preserve">Fayyad, U., Piatetsky-Shapiro, G., &amp; Smyth, P. (1996). From data mining to knowledge discovery in databases. </w:t>
      </w:r>
      <w:r>
        <w:rPr>
          <w:i/>
          <w:iCs/>
        </w:rPr>
        <w:t>AI Magazine, 17</w:t>
      </w:r>
      <w:r>
        <w:t>(3), 37–54.</w:t>
      </w:r>
    </w:p>
    <w:p w14:paraId="194BFEEF">
      <w:pPr>
        <w:pStyle w:val="3"/>
      </w:pPr>
      <w:r>
        <w:t xml:space="preserve">Hammer, M., &amp; Champy, J. (1993). </w:t>
      </w:r>
      <w:r>
        <w:rPr>
          <w:i/>
          <w:iCs/>
        </w:rPr>
        <w:t>Reengineering the corporation: A manifesto for business revolution</w:t>
      </w:r>
      <w:r>
        <w:t>. HarperBusiness.</w:t>
      </w:r>
    </w:p>
    <w:p w14:paraId="5A7FA6E3">
      <w:pPr>
        <w:pStyle w:val="3"/>
      </w:pPr>
      <w:r>
        <w:t>New Zealand Herald. (2026, July 26). Spark puts digital services division on the block, reaffirms guidance. https://www.nzherald.co.nz/business/spark-puts-digital-services-division-on-the-block-reaffirms-guidance/premium/ID4SCRMXQBDJ5L62X2XRLFFWVE/</w:t>
      </w:r>
    </w:p>
    <w:p w14:paraId="4EF59E62">
      <w:pPr>
        <w:pStyle w:val="3"/>
      </w:pPr>
      <w:r>
        <w:t xml:space="preserve">Nonaka, I., &amp; Takeuchi, H. (1995). </w:t>
      </w:r>
      <w:r>
        <w:rPr>
          <w:i/>
          <w:iCs/>
        </w:rPr>
        <w:t>The knowledge-creating company: How Japanese companies create the dynamics of innovation</w:t>
      </w:r>
      <w:r>
        <w:t>. Oxford University Press.</w:t>
      </w:r>
    </w:p>
    <w:p w14:paraId="3C16287C">
      <w:pPr>
        <w:pStyle w:val="3"/>
      </w:pPr>
      <w:r>
        <w:t>Radio New Zealand. (2024, September 17). Spark plans to cut $50m from labour costs. https://www.rnz.co.nz/news/business/528207/spark-plans-to-cut-50m-from-labour-costs</w:t>
      </w:r>
    </w:p>
    <w:p w14:paraId="790F1A5C">
      <w:pPr>
        <w:pStyle w:val="3"/>
      </w:pPr>
      <w:r>
        <w:t xml:space="preserve">Rasiel, E. M., &amp; Friga, P. N. (2001). </w:t>
      </w:r>
      <w:r>
        <w:rPr>
          <w:i/>
          <w:iCs/>
        </w:rPr>
        <w:t>The McKinsey mind: Understanding and implementing the problem-solving tools and management techniques of the world’s top strategic consulting firm</w:t>
      </w:r>
      <w:r>
        <w:t>. McGraw-Hill.</w:t>
      </w:r>
    </w:p>
    <w:p w14:paraId="58687D29">
      <w:pPr>
        <w:pStyle w:val="3"/>
      </w:pPr>
      <w:r>
        <w:t xml:space="preserve">Rosemann, M. (2001). </w:t>
      </w:r>
      <w:r>
        <w:rPr>
          <w:i/>
          <w:iCs/>
        </w:rPr>
        <w:t>Process lifecycle: Process identification, modelling, analysis, improvement and implementation</w:t>
      </w:r>
      <w:r>
        <w:t xml:space="preserve"> [Course materials]. Queensland University of Technology.</w:t>
      </w:r>
    </w:p>
    <w:p w14:paraId="6EB1E5A5">
      <w:pPr>
        <w:pStyle w:val="3"/>
      </w:pPr>
      <w:r>
        <w:t xml:space="preserve">Rosemann, M. (2006). Potential pitfalls of process modeling: Part A. </w:t>
      </w:r>
      <w:r>
        <w:rPr>
          <w:i/>
          <w:iCs/>
        </w:rPr>
        <w:t>Business Process Management Journal, 12</w:t>
      </w:r>
      <w:r>
        <w:t>(2), 249–254.</w:t>
      </w:r>
    </w:p>
    <w:p w14:paraId="2B16C8B1">
      <w:pPr>
        <w:pStyle w:val="3"/>
      </w:pPr>
      <w:r>
        <w:t>Spark New Zealand. (2025a). Annual report FY25. https://www.spark.co.nz/content/dam/spark/documents/pdfs/governance/FY25_Annual_Report.pdf</w:t>
      </w:r>
    </w:p>
    <w:p w14:paraId="6D528D15">
      <w:pPr>
        <w:pStyle w:val="3"/>
      </w:pPr>
      <w:r>
        <w:t>Spark New Zealand. (2025b). SPK-30 strategy. https://www.spark.co.nz/online/about/our-company/news/Spark-releases-FY30-strategy-and-update-on-Chair-succession</w:t>
      </w:r>
    </w:p>
    <w:p w14:paraId="62C5A5F2">
      <w:pPr>
        <w:pStyle w:val="3"/>
      </w:pPr>
      <w:r>
        <w:t>Spark New Zealand. (2026a). H1 FY26 results. https://www.spark.co.nz/online/about/our-company/news/Mobile-momentum-and-cost-out-return-Spark-to-profit-growth-in-H1-FY26</w:t>
      </w:r>
    </w:p>
    <w:bookmarkEnd w:id="82"/>
    <w:p w14:paraId="4C4CBD76">
      <w:pPr>
        <w:pStyle w:val="2"/>
      </w:pPr>
      <w:bookmarkStart w:id="83" w:name="_Toc27653"/>
      <w:bookmarkStart w:id="84" w:name="Xc49ee65eaf4742dff5bb214f35a126255a833ba"/>
      <w:r>
        <w:rPr>
          <w:color w:val="1F3864"/>
        </w:rPr>
        <w:t>Appendix A. Statement on the use of generative AI</w:t>
      </w:r>
      <w:bookmarkEnd w:id="83"/>
    </w:p>
    <w:p w14:paraId="676325C9">
      <w:pPr>
        <w:pStyle w:val="25"/>
      </w:pPr>
      <w:r>
        <w:t>Generative AI (Claude, Anthropic) was used in this deliverable as specified for Steps 6 and 8, and for supporting research and production work as set out below.</w:t>
      </w:r>
    </w:p>
    <w:p w14:paraId="6CCDF34A">
      <w:pPr>
        <w:pStyle w:val="3"/>
      </w:pPr>
      <w:r>
        <w:t>In §6.2 it was used as a synthetic expert, to obtain comparative practice on exit and handover process design and, more importantly, to generate disconfirming explanations for the key hypothesis. Its output was treated as an input that shapes the hypothesis rather than as evidence about Spark, and §6.3 records which of its contributions were adopted.</w:t>
      </w:r>
    </w:p>
    <w:p w14:paraId="52A47DAF">
      <w:pPr>
        <w:pStyle w:val="3"/>
      </w:pPr>
      <w:r>
        <w:t>In §8.1 it was used to work out the structure, sequence and detail of the process associated with the selected solution before that process was modelled. Section 8.2 records the treatment of each proposal: three adopted, one modified, one deferred and one rejected.</w:t>
      </w:r>
    </w:p>
    <w:p w14:paraId="0201E7B9">
      <w:pPr>
        <w:pStyle w:val="3"/>
      </w:pPr>
      <w:r>
        <w:t>Claude was also used to search and retrieve publicly available material on Spark’s cost-out, SPK-30 and workforce reporting, and to locate sources for the reference list. It was used to polish wording and to improve document layout, including the table of contents, spacing and the placement of tables and figures.</w:t>
      </w:r>
    </w:p>
    <w:p w14:paraId="5B69582C">
      <w:pPr>
        <w:pStyle w:val="3"/>
      </w:pPr>
      <w:r>
        <w:t>Where a GenAI contribution in §6 or §8 materially shaped a conclusion, it is attributed at the point of use.</w:t>
      </w:r>
    </w:p>
    <w:bookmarkEnd w:id="84"/>
    <w:sectPr>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
    <w:nsid w:val="00A99413"/>
    <w:multiLevelType w:val="multilevel"/>
    <w:tmpl w:val="00A99413"/>
    <w:lvl w:ilvl="0" w:tentative="0">
      <w:start w:val="3"/>
      <w:numFmt w:val="decimal"/>
      <w:lvlText w:val="%1."/>
      <w:lvlJc w:val="left"/>
      <w:pPr>
        <w:ind w:left="720" w:hanging="480"/>
      </w:pPr>
    </w:lvl>
    <w:lvl w:ilvl="1" w:tentative="0">
      <w:start w:val="3"/>
      <w:numFmt w:val="decimal"/>
      <w:lvlText w:val="%2."/>
      <w:lvlJc w:val="left"/>
      <w:pPr>
        <w:ind w:left="1440" w:hanging="480"/>
      </w:pPr>
    </w:lvl>
    <w:lvl w:ilvl="2" w:tentative="0">
      <w:start w:val="3"/>
      <w:numFmt w:val="decimal"/>
      <w:lvlText w:val="%3."/>
      <w:lvlJc w:val="left"/>
      <w:pPr>
        <w:ind w:left="2160" w:hanging="480"/>
      </w:pPr>
    </w:lvl>
    <w:lvl w:ilvl="3" w:tentative="0">
      <w:start w:val="3"/>
      <w:numFmt w:val="decimal"/>
      <w:lvlText w:val="%4."/>
      <w:lvlJc w:val="left"/>
      <w:pPr>
        <w:ind w:left="2880" w:hanging="480"/>
      </w:pPr>
    </w:lvl>
    <w:lvl w:ilvl="4" w:tentative="0">
      <w:start w:val="3"/>
      <w:numFmt w:val="decimal"/>
      <w:lvlText w:val="%5."/>
      <w:lvlJc w:val="left"/>
      <w:pPr>
        <w:ind w:left="3600" w:hanging="480"/>
      </w:pPr>
    </w:lvl>
    <w:lvl w:ilvl="5" w:tentative="0">
      <w:start w:val="3"/>
      <w:numFmt w:val="decimal"/>
      <w:lvlText w:val="%6."/>
      <w:lvlJc w:val="left"/>
      <w:pPr>
        <w:ind w:left="4320" w:hanging="480"/>
      </w:pPr>
    </w:lvl>
    <w:lvl w:ilvl="6" w:tentative="0">
      <w:start w:val="3"/>
      <w:numFmt w:val="decimal"/>
      <w:lvlText w:val="%7."/>
      <w:lvlJc w:val="left"/>
      <w:pPr>
        <w:ind w:left="5040" w:hanging="480"/>
      </w:pPr>
    </w:lvl>
    <w:lvl w:ilvl="7" w:tentative="0">
      <w:start w:val="3"/>
      <w:numFmt w:val="decimal"/>
      <w:lvlText w:val="%8."/>
      <w:lvlJc w:val="left"/>
      <w:pPr>
        <w:ind w:left="5760" w:hanging="480"/>
      </w:pPr>
    </w:lvl>
    <w:lvl w:ilvl="8" w:tentative="0">
      <w:start w:val="3"/>
      <w:numFmt w:val="decimal"/>
      <w:lvlText w:val="%9."/>
      <w:lvlJc w:val="left"/>
      <w:pPr>
        <w:ind w:left="6480" w:hanging="480"/>
      </w:pPr>
    </w:lvl>
  </w:abstractNum>
  <w:abstractNum w:abstractNumId="2">
    <w:nsid w:val="00A99415"/>
    <w:multiLevelType w:val="multilevel"/>
    <w:tmpl w:val="00A99415"/>
    <w:lvl w:ilvl="0" w:tentative="0">
      <w:start w:val="5"/>
      <w:numFmt w:val="decimal"/>
      <w:lvlText w:val="%1."/>
      <w:lvlJc w:val="left"/>
      <w:pPr>
        <w:ind w:left="720" w:hanging="480"/>
      </w:pPr>
    </w:lvl>
    <w:lvl w:ilvl="1" w:tentative="0">
      <w:start w:val="5"/>
      <w:numFmt w:val="decimal"/>
      <w:lvlText w:val="%2."/>
      <w:lvlJc w:val="left"/>
      <w:pPr>
        <w:ind w:left="1440" w:hanging="480"/>
      </w:pPr>
    </w:lvl>
    <w:lvl w:ilvl="2" w:tentative="0">
      <w:start w:val="5"/>
      <w:numFmt w:val="decimal"/>
      <w:lvlText w:val="%3."/>
      <w:lvlJc w:val="left"/>
      <w:pPr>
        <w:ind w:left="2160" w:hanging="480"/>
      </w:pPr>
    </w:lvl>
    <w:lvl w:ilvl="3" w:tentative="0">
      <w:start w:val="5"/>
      <w:numFmt w:val="decimal"/>
      <w:lvlText w:val="%4."/>
      <w:lvlJc w:val="left"/>
      <w:pPr>
        <w:ind w:left="2880" w:hanging="480"/>
      </w:pPr>
    </w:lvl>
    <w:lvl w:ilvl="4" w:tentative="0">
      <w:start w:val="5"/>
      <w:numFmt w:val="decimal"/>
      <w:lvlText w:val="%5."/>
      <w:lvlJc w:val="left"/>
      <w:pPr>
        <w:ind w:left="3600" w:hanging="480"/>
      </w:pPr>
    </w:lvl>
    <w:lvl w:ilvl="5" w:tentative="0">
      <w:start w:val="5"/>
      <w:numFmt w:val="decimal"/>
      <w:lvlText w:val="%6."/>
      <w:lvlJc w:val="left"/>
      <w:pPr>
        <w:ind w:left="4320" w:hanging="480"/>
      </w:pPr>
    </w:lvl>
    <w:lvl w:ilvl="6" w:tentative="0">
      <w:start w:val="5"/>
      <w:numFmt w:val="decimal"/>
      <w:lvlText w:val="%7."/>
      <w:lvlJc w:val="left"/>
      <w:pPr>
        <w:ind w:left="5040" w:hanging="480"/>
      </w:pPr>
    </w:lvl>
    <w:lvl w:ilvl="7" w:tentative="0">
      <w:start w:val="5"/>
      <w:numFmt w:val="decimal"/>
      <w:lvlText w:val="%8."/>
      <w:lvlJc w:val="left"/>
      <w:pPr>
        <w:ind w:left="5760" w:hanging="480"/>
      </w:pPr>
    </w:lvl>
    <w:lvl w:ilvl="8" w:tentative="0">
      <w:start w:val="5"/>
      <w:numFmt w:val="decimal"/>
      <w:lvlText w:val="%9."/>
      <w:lvlJc w:val="left"/>
      <w:pPr>
        <w:ind w:left="6480" w:hanging="480"/>
      </w:pPr>
    </w:lvl>
  </w:abstractNum>
  <w:abstractNum w:abstractNumId="3">
    <w:nsid w:val="00A99418"/>
    <w:multiLevelType w:val="multilevel"/>
    <w:tmpl w:val="00A99418"/>
    <w:lvl w:ilvl="0" w:tentative="0">
      <w:start w:val="8"/>
      <w:numFmt w:val="decimal"/>
      <w:lvlText w:val="%1."/>
      <w:lvlJc w:val="left"/>
      <w:pPr>
        <w:ind w:left="720" w:hanging="480"/>
      </w:pPr>
    </w:lvl>
    <w:lvl w:ilvl="1" w:tentative="0">
      <w:start w:val="8"/>
      <w:numFmt w:val="decimal"/>
      <w:lvlText w:val="%2."/>
      <w:lvlJc w:val="left"/>
      <w:pPr>
        <w:ind w:left="1440" w:hanging="480"/>
      </w:pPr>
    </w:lvl>
    <w:lvl w:ilvl="2" w:tentative="0">
      <w:start w:val="8"/>
      <w:numFmt w:val="decimal"/>
      <w:lvlText w:val="%3."/>
      <w:lvlJc w:val="left"/>
      <w:pPr>
        <w:ind w:left="2160" w:hanging="480"/>
      </w:pPr>
    </w:lvl>
    <w:lvl w:ilvl="3" w:tentative="0">
      <w:start w:val="8"/>
      <w:numFmt w:val="decimal"/>
      <w:lvlText w:val="%4."/>
      <w:lvlJc w:val="left"/>
      <w:pPr>
        <w:ind w:left="2880" w:hanging="480"/>
      </w:pPr>
    </w:lvl>
    <w:lvl w:ilvl="4" w:tentative="0">
      <w:start w:val="8"/>
      <w:numFmt w:val="decimal"/>
      <w:lvlText w:val="%5."/>
      <w:lvlJc w:val="left"/>
      <w:pPr>
        <w:ind w:left="3600" w:hanging="480"/>
      </w:pPr>
    </w:lvl>
    <w:lvl w:ilvl="5" w:tentative="0">
      <w:start w:val="8"/>
      <w:numFmt w:val="decimal"/>
      <w:lvlText w:val="%6."/>
      <w:lvlJc w:val="left"/>
      <w:pPr>
        <w:ind w:left="4320" w:hanging="480"/>
      </w:pPr>
    </w:lvl>
    <w:lvl w:ilvl="6" w:tentative="0">
      <w:start w:val="8"/>
      <w:numFmt w:val="decimal"/>
      <w:lvlText w:val="%7."/>
      <w:lvlJc w:val="left"/>
      <w:pPr>
        <w:ind w:left="5040" w:hanging="480"/>
      </w:pPr>
    </w:lvl>
    <w:lvl w:ilvl="7" w:tentative="0">
      <w:start w:val="8"/>
      <w:numFmt w:val="decimal"/>
      <w:lvlText w:val="%8."/>
      <w:lvlJc w:val="left"/>
      <w:pPr>
        <w:ind w:left="5760" w:hanging="480"/>
      </w:pPr>
    </w:lvl>
    <w:lvl w:ilvl="8" w:tentative="0">
      <w:start w:val="8"/>
      <w:numFmt w:val="decimal"/>
      <w:lvlText w:val="%9."/>
      <w:lvlJc w:val="left"/>
      <w:pPr>
        <w:ind w:left="6480" w:hanging="480"/>
      </w:pPr>
    </w:lvl>
  </w:abstractNum>
  <w:abstractNum w:abstractNumId="4">
    <w:nsid w:val="0A994112"/>
    <w:multiLevelType w:val="multilevel"/>
    <w:tmpl w:val="0A994112"/>
    <w:lvl w:ilvl="0" w:tentative="0">
      <w:start w:val="12"/>
      <w:numFmt w:val="decimal"/>
      <w:lvlText w:val="%1."/>
      <w:lvlJc w:val="left"/>
      <w:pPr>
        <w:ind w:left="720" w:hanging="480"/>
      </w:pPr>
    </w:lvl>
    <w:lvl w:ilvl="1" w:tentative="0">
      <w:start w:val="12"/>
      <w:numFmt w:val="decimal"/>
      <w:lvlText w:val="%2."/>
      <w:lvlJc w:val="left"/>
      <w:pPr>
        <w:ind w:left="1440" w:hanging="480"/>
      </w:pPr>
    </w:lvl>
    <w:lvl w:ilvl="2" w:tentative="0">
      <w:start w:val="12"/>
      <w:numFmt w:val="decimal"/>
      <w:lvlText w:val="%3."/>
      <w:lvlJc w:val="left"/>
      <w:pPr>
        <w:ind w:left="2160" w:hanging="480"/>
      </w:pPr>
    </w:lvl>
    <w:lvl w:ilvl="3" w:tentative="0">
      <w:start w:val="12"/>
      <w:numFmt w:val="decimal"/>
      <w:lvlText w:val="%4."/>
      <w:lvlJc w:val="left"/>
      <w:pPr>
        <w:ind w:left="2880" w:hanging="480"/>
      </w:pPr>
    </w:lvl>
    <w:lvl w:ilvl="4" w:tentative="0">
      <w:start w:val="12"/>
      <w:numFmt w:val="decimal"/>
      <w:lvlText w:val="%5."/>
      <w:lvlJc w:val="left"/>
      <w:pPr>
        <w:ind w:left="3600" w:hanging="480"/>
      </w:pPr>
    </w:lvl>
    <w:lvl w:ilvl="5" w:tentative="0">
      <w:start w:val="12"/>
      <w:numFmt w:val="decimal"/>
      <w:lvlText w:val="%6."/>
      <w:lvlJc w:val="left"/>
      <w:pPr>
        <w:ind w:left="4320" w:hanging="480"/>
      </w:pPr>
    </w:lvl>
    <w:lvl w:ilvl="6" w:tentative="0">
      <w:start w:val="12"/>
      <w:numFmt w:val="decimal"/>
      <w:lvlText w:val="%7."/>
      <w:lvlJc w:val="left"/>
      <w:pPr>
        <w:ind w:left="5040" w:hanging="480"/>
      </w:pPr>
    </w:lvl>
    <w:lvl w:ilvl="7" w:tentative="0">
      <w:start w:val="12"/>
      <w:numFmt w:val="decimal"/>
      <w:lvlText w:val="%8."/>
      <w:lvlJc w:val="left"/>
      <w:pPr>
        <w:ind w:left="5760" w:hanging="480"/>
      </w:pPr>
    </w:lvl>
    <w:lvl w:ilvl="8" w:tentative="0">
      <w:start w:val="12"/>
      <w:numFmt w:val="decimal"/>
      <w:lvlText w:val="%9."/>
      <w:lvlJc w:val="left"/>
      <w:pPr>
        <w:ind w:left="6480" w:hanging="480"/>
      </w:pPr>
    </w:lvl>
  </w:abstractNum>
  <w:abstractNum w:abstractNumId="5">
    <w:nsid w:val="0A994114"/>
    <w:multiLevelType w:val="multilevel"/>
    <w:tmpl w:val="0A994114"/>
    <w:lvl w:ilvl="0" w:tentative="0">
      <w:start w:val="14"/>
      <w:numFmt w:val="decimal"/>
      <w:lvlText w:val="%1."/>
      <w:lvlJc w:val="left"/>
      <w:pPr>
        <w:ind w:left="720" w:hanging="480"/>
      </w:pPr>
    </w:lvl>
    <w:lvl w:ilvl="1" w:tentative="0">
      <w:start w:val="14"/>
      <w:numFmt w:val="decimal"/>
      <w:lvlText w:val="%2."/>
      <w:lvlJc w:val="left"/>
      <w:pPr>
        <w:ind w:left="1440" w:hanging="480"/>
      </w:pPr>
    </w:lvl>
    <w:lvl w:ilvl="2" w:tentative="0">
      <w:start w:val="14"/>
      <w:numFmt w:val="decimal"/>
      <w:lvlText w:val="%3."/>
      <w:lvlJc w:val="left"/>
      <w:pPr>
        <w:ind w:left="2160" w:hanging="480"/>
      </w:pPr>
    </w:lvl>
    <w:lvl w:ilvl="3" w:tentative="0">
      <w:start w:val="14"/>
      <w:numFmt w:val="decimal"/>
      <w:lvlText w:val="%4."/>
      <w:lvlJc w:val="left"/>
      <w:pPr>
        <w:ind w:left="2880" w:hanging="480"/>
      </w:pPr>
    </w:lvl>
    <w:lvl w:ilvl="4" w:tentative="0">
      <w:start w:val="14"/>
      <w:numFmt w:val="decimal"/>
      <w:lvlText w:val="%5."/>
      <w:lvlJc w:val="left"/>
      <w:pPr>
        <w:ind w:left="3600" w:hanging="480"/>
      </w:pPr>
    </w:lvl>
    <w:lvl w:ilvl="5" w:tentative="0">
      <w:start w:val="14"/>
      <w:numFmt w:val="decimal"/>
      <w:lvlText w:val="%6."/>
      <w:lvlJc w:val="left"/>
      <w:pPr>
        <w:ind w:left="4320" w:hanging="480"/>
      </w:pPr>
    </w:lvl>
    <w:lvl w:ilvl="6" w:tentative="0">
      <w:start w:val="14"/>
      <w:numFmt w:val="decimal"/>
      <w:lvlText w:val="%7."/>
      <w:lvlJc w:val="left"/>
      <w:pPr>
        <w:ind w:left="5040" w:hanging="480"/>
      </w:pPr>
    </w:lvl>
    <w:lvl w:ilvl="7" w:tentative="0">
      <w:start w:val="14"/>
      <w:numFmt w:val="decimal"/>
      <w:lvlText w:val="%8."/>
      <w:lvlJc w:val="left"/>
      <w:pPr>
        <w:ind w:left="5760" w:hanging="480"/>
      </w:pPr>
    </w:lvl>
    <w:lvl w:ilvl="8" w:tentative="0">
      <w:start w:val="14"/>
      <w:numFmt w:val="decimal"/>
      <w:lvlText w:val="%9."/>
      <w:lvlJc w:val="left"/>
      <w:pPr>
        <w:ind w:left="6480" w:hanging="480"/>
      </w:pPr>
    </w:lvl>
  </w:abstractNum>
  <w:abstractNum w:abstractNumId="6">
    <w:nsid w:val="0A994116"/>
    <w:multiLevelType w:val="multilevel"/>
    <w:tmpl w:val="0A994116"/>
    <w:lvl w:ilvl="0" w:tentative="0">
      <w:start w:val="16"/>
      <w:numFmt w:val="decimal"/>
      <w:lvlText w:val="%1."/>
      <w:lvlJc w:val="left"/>
      <w:pPr>
        <w:ind w:left="720" w:hanging="480"/>
      </w:pPr>
    </w:lvl>
    <w:lvl w:ilvl="1" w:tentative="0">
      <w:start w:val="16"/>
      <w:numFmt w:val="decimal"/>
      <w:lvlText w:val="%2."/>
      <w:lvlJc w:val="left"/>
      <w:pPr>
        <w:ind w:left="1440" w:hanging="480"/>
      </w:pPr>
    </w:lvl>
    <w:lvl w:ilvl="2" w:tentative="0">
      <w:start w:val="16"/>
      <w:numFmt w:val="decimal"/>
      <w:lvlText w:val="%3."/>
      <w:lvlJc w:val="left"/>
      <w:pPr>
        <w:ind w:left="2160" w:hanging="480"/>
      </w:pPr>
    </w:lvl>
    <w:lvl w:ilvl="3" w:tentative="0">
      <w:start w:val="16"/>
      <w:numFmt w:val="decimal"/>
      <w:lvlText w:val="%4."/>
      <w:lvlJc w:val="left"/>
      <w:pPr>
        <w:ind w:left="2880" w:hanging="480"/>
      </w:pPr>
    </w:lvl>
    <w:lvl w:ilvl="4" w:tentative="0">
      <w:start w:val="16"/>
      <w:numFmt w:val="decimal"/>
      <w:lvlText w:val="%5."/>
      <w:lvlJc w:val="left"/>
      <w:pPr>
        <w:ind w:left="3600" w:hanging="480"/>
      </w:pPr>
    </w:lvl>
    <w:lvl w:ilvl="5" w:tentative="0">
      <w:start w:val="16"/>
      <w:numFmt w:val="decimal"/>
      <w:lvlText w:val="%6."/>
      <w:lvlJc w:val="left"/>
      <w:pPr>
        <w:ind w:left="4320" w:hanging="480"/>
      </w:pPr>
    </w:lvl>
    <w:lvl w:ilvl="6" w:tentative="0">
      <w:start w:val="16"/>
      <w:numFmt w:val="decimal"/>
      <w:lvlText w:val="%7."/>
      <w:lvlJc w:val="left"/>
      <w:pPr>
        <w:ind w:left="5040" w:hanging="480"/>
      </w:pPr>
    </w:lvl>
    <w:lvl w:ilvl="7" w:tentative="0">
      <w:start w:val="16"/>
      <w:numFmt w:val="decimal"/>
      <w:lvlText w:val="%8."/>
      <w:lvlJc w:val="left"/>
      <w:pPr>
        <w:ind w:left="5760" w:hanging="480"/>
      </w:pPr>
    </w:lvl>
    <w:lvl w:ilvl="8" w:tentative="0">
      <w:start w:val="16"/>
      <w:numFmt w:val="decimal"/>
      <w:lvlText w:val="%9."/>
      <w:lvlJc w:val="left"/>
      <w:pPr>
        <w:ind w:left="6480" w:hanging="480"/>
      </w:pPr>
    </w:lvl>
  </w:abstractNum>
  <w:abstractNum w:abstractNumId="7">
    <w:nsid w:val="0A994121"/>
    <w:multiLevelType w:val="multilevel"/>
    <w:tmpl w:val="0A994121"/>
    <w:lvl w:ilvl="0" w:tentative="0">
      <w:start w:val="21"/>
      <w:numFmt w:val="decimal"/>
      <w:lvlText w:val="%1."/>
      <w:lvlJc w:val="left"/>
      <w:pPr>
        <w:ind w:left="720" w:hanging="480"/>
      </w:pPr>
    </w:lvl>
    <w:lvl w:ilvl="1" w:tentative="0">
      <w:start w:val="21"/>
      <w:numFmt w:val="decimal"/>
      <w:lvlText w:val="%2."/>
      <w:lvlJc w:val="left"/>
      <w:pPr>
        <w:ind w:left="1440" w:hanging="480"/>
      </w:pPr>
    </w:lvl>
    <w:lvl w:ilvl="2" w:tentative="0">
      <w:start w:val="21"/>
      <w:numFmt w:val="decimal"/>
      <w:lvlText w:val="%3."/>
      <w:lvlJc w:val="left"/>
      <w:pPr>
        <w:ind w:left="2160" w:hanging="480"/>
      </w:pPr>
    </w:lvl>
    <w:lvl w:ilvl="3" w:tentative="0">
      <w:start w:val="21"/>
      <w:numFmt w:val="decimal"/>
      <w:lvlText w:val="%4."/>
      <w:lvlJc w:val="left"/>
      <w:pPr>
        <w:ind w:left="2880" w:hanging="480"/>
      </w:pPr>
    </w:lvl>
    <w:lvl w:ilvl="4" w:tentative="0">
      <w:start w:val="21"/>
      <w:numFmt w:val="decimal"/>
      <w:lvlText w:val="%5."/>
      <w:lvlJc w:val="left"/>
      <w:pPr>
        <w:ind w:left="3600" w:hanging="480"/>
      </w:pPr>
    </w:lvl>
    <w:lvl w:ilvl="5" w:tentative="0">
      <w:start w:val="21"/>
      <w:numFmt w:val="decimal"/>
      <w:lvlText w:val="%6."/>
      <w:lvlJc w:val="left"/>
      <w:pPr>
        <w:ind w:left="4320" w:hanging="480"/>
      </w:pPr>
    </w:lvl>
    <w:lvl w:ilvl="6" w:tentative="0">
      <w:start w:val="21"/>
      <w:numFmt w:val="decimal"/>
      <w:lvlText w:val="%7."/>
      <w:lvlJc w:val="left"/>
      <w:pPr>
        <w:ind w:left="5040" w:hanging="480"/>
      </w:pPr>
    </w:lvl>
    <w:lvl w:ilvl="7" w:tentative="0">
      <w:start w:val="21"/>
      <w:numFmt w:val="decimal"/>
      <w:lvlText w:val="%8."/>
      <w:lvlJc w:val="left"/>
      <w:pPr>
        <w:ind w:left="5760" w:hanging="480"/>
      </w:pPr>
    </w:lvl>
    <w:lvl w:ilvl="8" w:tentative="0">
      <w:start w:val="21"/>
      <w:numFmt w:val="decimal"/>
      <w:lvlText w:val="%9."/>
      <w:lvlJc w:val="left"/>
      <w:pPr>
        <w:ind w:left="6480" w:hanging="480"/>
      </w:pPr>
    </w:lvl>
  </w:abstractNum>
  <w:abstractNum w:abstractNumId="8">
    <w:nsid w:val="0A994124"/>
    <w:multiLevelType w:val="multilevel"/>
    <w:tmpl w:val="0A994124"/>
    <w:lvl w:ilvl="0" w:tentative="0">
      <w:start w:val="24"/>
      <w:numFmt w:val="decimal"/>
      <w:lvlText w:val="%1."/>
      <w:lvlJc w:val="left"/>
      <w:pPr>
        <w:ind w:left="720" w:hanging="480"/>
      </w:pPr>
    </w:lvl>
    <w:lvl w:ilvl="1" w:tentative="0">
      <w:start w:val="24"/>
      <w:numFmt w:val="decimal"/>
      <w:lvlText w:val="%2."/>
      <w:lvlJc w:val="left"/>
      <w:pPr>
        <w:ind w:left="1440" w:hanging="480"/>
      </w:pPr>
    </w:lvl>
    <w:lvl w:ilvl="2" w:tentative="0">
      <w:start w:val="24"/>
      <w:numFmt w:val="decimal"/>
      <w:lvlText w:val="%3."/>
      <w:lvlJc w:val="left"/>
      <w:pPr>
        <w:ind w:left="2160" w:hanging="480"/>
      </w:pPr>
    </w:lvl>
    <w:lvl w:ilvl="3" w:tentative="0">
      <w:start w:val="24"/>
      <w:numFmt w:val="decimal"/>
      <w:lvlText w:val="%4."/>
      <w:lvlJc w:val="left"/>
      <w:pPr>
        <w:ind w:left="2880" w:hanging="480"/>
      </w:pPr>
    </w:lvl>
    <w:lvl w:ilvl="4" w:tentative="0">
      <w:start w:val="24"/>
      <w:numFmt w:val="decimal"/>
      <w:lvlText w:val="%5."/>
      <w:lvlJc w:val="left"/>
      <w:pPr>
        <w:ind w:left="3600" w:hanging="480"/>
      </w:pPr>
    </w:lvl>
    <w:lvl w:ilvl="5" w:tentative="0">
      <w:start w:val="24"/>
      <w:numFmt w:val="decimal"/>
      <w:lvlText w:val="%6."/>
      <w:lvlJc w:val="left"/>
      <w:pPr>
        <w:ind w:left="4320" w:hanging="480"/>
      </w:pPr>
    </w:lvl>
    <w:lvl w:ilvl="6" w:tentative="0">
      <w:start w:val="24"/>
      <w:numFmt w:val="decimal"/>
      <w:lvlText w:val="%7."/>
      <w:lvlJc w:val="left"/>
      <w:pPr>
        <w:ind w:left="5040" w:hanging="480"/>
      </w:pPr>
    </w:lvl>
    <w:lvl w:ilvl="7" w:tentative="0">
      <w:start w:val="24"/>
      <w:numFmt w:val="decimal"/>
      <w:lvlText w:val="%8."/>
      <w:lvlJc w:val="left"/>
      <w:pPr>
        <w:ind w:left="5760" w:hanging="480"/>
      </w:pPr>
    </w:lvl>
    <w:lvl w:ilvl="8" w:tentative="0">
      <w:start w:val="24"/>
      <w:numFmt w:val="decimal"/>
      <w:lvlText w:val="%9."/>
      <w:lvlJc w:val="left"/>
      <w:pPr>
        <w:ind w:left="6480" w:hanging="480"/>
      </w:pPr>
    </w:lvl>
  </w:abstractNum>
  <w:abstractNum w:abstractNumId="9">
    <w:nsid w:val="0A994127"/>
    <w:multiLevelType w:val="multilevel"/>
    <w:tmpl w:val="0A994127"/>
    <w:lvl w:ilvl="0" w:tentative="0">
      <w:start w:val="27"/>
      <w:numFmt w:val="decimal"/>
      <w:lvlText w:val="%1."/>
      <w:lvlJc w:val="left"/>
      <w:pPr>
        <w:ind w:left="720" w:hanging="480"/>
      </w:pPr>
    </w:lvl>
    <w:lvl w:ilvl="1" w:tentative="0">
      <w:start w:val="27"/>
      <w:numFmt w:val="decimal"/>
      <w:lvlText w:val="%2."/>
      <w:lvlJc w:val="left"/>
      <w:pPr>
        <w:ind w:left="1440" w:hanging="480"/>
      </w:pPr>
    </w:lvl>
    <w:lvl w:ilvl="2" w:tentative="0">
      <w:start w:val="27"/>
      <w:numFmt w:val="decimal"/>
      <w:lvlText w:val="%3."/>
      <w:lvlJc w:val="left"/>
      <w:pPr>
        <w:ind w:left="2160" w:hanging="480"/>
      </w:pPr>
    </w:lvl>
    <w:lvl w:ilvl="3" w:tentative="0">
      <w:start w:val="27"/>
      <w:numFmt w:val="decimal"/>
      <w:lvlText w:val="%4."/>
      <w:lvlJc w:val="left"/>
      <w:pPr>
        <w:ind w:left="2880" w:hanging="480"/>
      </w:pPr>
    </w:lvl>
    <w:lvl w:ilvl="4" w:tentative="0">
      <w:start w:val="27"/>
      <w:numFmt w:val="decimal"/>
      <w:lvlText w:val="%5."/>
      <w:lvlJc w:val="left"/>
      <w:pPr>
        <w:ind w:left="3600" w:hanging="480"/>
      </w:pPr>
    </w:lvl>
    <w:lvl w:ilvl="5" w:tentative="0">
      <w:start w:val="27"/>
      <w:numFmt w:val="decimal"/>
      <w:lvlText w:val="%6."/>
      <w:lvlJc w:val="left"/>
      <w:pPr>
        <w:ind w:left="4320" w:hanging="480"/>
      </w:pPr>
    </w:lvl>
    <w:lvl w:ilvl="6" w:tentative="0">
      <w:start w:val="27"/>
      <w:numFmt w:val="decimal"/>
      <w:lvlText w:val="%7."/>
      <w:lvlJc w:val="left"/>
      <w:pPr>
        <w:ind w:left="5040" w:hanging="480"/>
      </w:pPr>
    </w:lvl>
    <w:lvl w:ilvl="7" w:tentative="0">
      <w:start w:val="27"/>
      <w:numFmt w:val="decimal"/>
      <w:lvlText w:val="%8."/>
      <w:lvlJc w:val="left"/>
      <w:pPr>
        <w:ind w:left="5760" w:hanging="480"/>
      </w:pPr>
    </w:lvl>
    <w:lvl w:ilvl="8" w:tentative="0">
      <w:start w:val="27"/>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
    <w:abstractNumId w:val="3"/>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5">
    <w:abstractNumId w:val="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6">
    <w:abstractNumId w:val="5"/>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7">
    <w:abstractNumId w:val="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8">
    <w:abstractNumId w:val="7"/>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9">
    <w:abstractNumId w:val="8"/>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
    <w:abstractNumId w:val="9"/>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6DF03447"/>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0" w:line="312" w:lineRule="auto"/>
      <w:jc w:val="both"/>
    </w:pPr>
    <w:rPr>
      <w:rFonts w:ascii="Times New Roman" w:hAnsi="Times New Roman" w:eastAsia="Times New Roman" w:cs="Times New Roman"/>
      <w:sz w:val="24"/>
      <w:szCs w:val="24"/>
      <w:lang w:val="en-US" w:eastAsia="en-US" w:bidi="ar-SA"/>
    </w:rPr>
  </w:style>
  <w:style w:type="paragraph" w:styleId="2">
    <w:name w:val="heading 1"/>
    <w:basedOn w:val="1"/>
    <w:next w:val="3"/>
    <w:qFormat/>
    <w:uiPriority w:val="9"/>
    <w:pPr>
      <w:keepNext/>
      <w:keepLines/>
      <w:spacing w:before="280" w:after="60"/>
      <w:outlineLvl w:val="0"/>
    </w:pPr>
    <w:rPr>
      <w:rFonts w:ascii="Times New Roman" w:hAnsi="Times New Roman" w:eastAsia="Times New Roman" w:cs="Times New Roman"/>
      <w:b/>
      <w:bCs/>
      <w:color w:val="1F3864"/>
      <w:sz w:val="28"/>
      <w:szCs w:val="28"/>
    </w:rPr>
  </w:style>
  <w:style w:type="paragraph" w:styleId="4">
    <w:name w:val="heading 2"/>
    <w:basedOn w:val="1"/>
    <w:next w:val="3"/>
    <w:unhideWhenUsed/>
    <w:qFormat/>
    <w:uiPriority w:val="9"/>
    <w:pPr>
      <w:keepNext/>
      <w:keepLines/>
      <w:spacing w:before="140" w:after="40"/>
      <w:outlineLvl w:val="1"/>
    </w:pPr>
    <w:rPr>
      <w:rFonts w:ascii="Times New Roman" w:hAnsi="Times New Roman" w:eastAsia="Times New Roman" w:cs="Times New Roman"/>
      <w:b/>
      <w:bCs/>
      <w:color w:val="1F3864"/>
      <w:sz w:val="26"/>
      <w:szCs w:val="26"/>
    </w:rPr>
  </w:style>
  <w:style w:type="paragraph" w:styleId="5">
    <w:name w:val="heading 3"/>
    <w:basedOn w:val="1"/>
    <w:next w:val="3"/>
    <w:unhideWhenUsed/>
    <w:qFormat/>
    <w:uiPriority w:val="9"/>
    <w:pPr>
      <w:keepNext/>
      <w:keepLines/>
      <w:spacing w:before="120" w:after="40"/>
      <w:outlineLvl w:val="2"/>
    </w:pPr>
    <w:rPr>
      <w:rFonts w:ascii="Times New Roman" w:hAnsi="Times New Roman" w:eastAsia="Times New Roman" w:cs="Times New Roman"/>
      <w:b/>
      <w:bCs/>
      <w:color w:val="1F3864"/>
      <w:sz w:val="24"/>
      <w:szCs w:val="24"/>
    </w:rPr>
  </w:style>
  <w:style w:type="paragraph" w:styleId="6">
    <w:name w:val="heading 4"/>
    <w:basedOn w:val="1"/>
    <w:next w:val="3"/>
    <w:unhideWhenUsed/>
    <w:qFormat/>
    <w:uiPriority w:val="9"/>
    <w:pPr>
      <w:keepNext/>
      <w:keepLines/>
      <w:spacing w:before="200" w:after="0"/>
      <w:outlineLvl w:val="3"/>
    </w:pPr>
    <w:rPr>
      <w:rFonts w:ascii="Times New Roman" w:hAnsi="Times New Roman" w:eastAsia="Times New Roman" w:cs="Times New Roman"/>
      <w:bCs/>
      <w:i/>
      <w:color w:val="2E74B5"/>
      <w:sz w:val="24"/>
      <w:szCs w:val="24"/>
    </w:rPr>
  </w:style>
  <w:style w:type="paragraph" w:styleId="7">
    <w:name w:val="heading 5"/>
    <w:basedOn w:val="1"/>
    <w:next w:val="3"/>
    <w:unhideWhenUsed/>
    <w:qFormat/>
    <w:uiPriority w:val="9"/>
    <w:pPr>
      <w:keepNext/>
      <w:keepLines/>
      <w:spacing w:before="200" w:after="0"/>
      <w:outlineLvl w:val="4"/>
    </w:pPr>
    <w:rPr>
      <w:rFonts w:ascii="Times New Roman" w:hAnsi="Times New Roman" w:eastAsia="Times New Roman" w:cs="Times New Roman"/>
      <w:iCs/>
      <w:color w:val="000000"/>
      <w:sz w:val="24"/>
      <w:szCs w:val="24"/>
    </w:rPr>
  </w:style>
  <w:style w:type="paragraph" w:styleId="8">
    <w:name w:val="heading 6"/>
    <w:basedOn w:val="1"/>
    <w:next w:val="3"/>
    <w:unhideWhenUsed/>
    <w:qFormat/>
    <w:uiPriority w:val="9"/>
    <w:pPr>
      <w:keepNext/>
      <w:keepLines/>
      <w:spacing w:before="200" w:after="0"/>
      <w:outlineLvl w:val="5"/>
    </w:pPr>
    <w:rPr>
      <w:rFonts w:ascii="Times New Roman" w:hAnsi="Times New Roman" w:eastAsia="Times New Roman" w:cs="Times New Roman"/>
      <w:color w:val="000000"/>
      <w:sz w:val="24"/>
      <w:szCs w:val="24"/>
    </w:rPr>
  </w:style>
  <w:style w:type="paragraph" w:styleId="9">
    <w:name w:val="heading 7"/>
    <w:basedOn w:val="1"/>
    <w:next w:val="3"/>
    <w:unhideWhenUsed/>
    <w:qFormat/>
    <w:uiPriority w:val="9"/>
    <w:pPr>
      <w:keepNext/>
      <w:keepLines/>
      <w:spacing w:before="200" w:after="0"/>
      <w:outlineLvl w:val="6"/>
    </w:pPr>
    <w:rPr>
      <w:rFonts w:ascii="Times New Roman" w:hAnsi="Times New Roman" w:eastAsia="Times New Roman" w:cs="Times New Roman"/>
      <w:color w:val="000000"/>
      <w:sz w:val="24"/>
      <w:szCs w:val="24"/>
    </w:rPr>
  </w:style>
  <w:style w:type="paragraph" w:styleId="10">
    <w:name w:val="heading 8"/>
    <w:basedOn w:val="1"/>
    <w:next w:val="3"/>
    <w:unhideWhenUsed/>
    <w:qFormat/>
    <w:uiPriority w:val="9"/>
    <w:pPr>
      <w:keepNext/>
      <w:keepLines/>
      <w:spacing w:before="200" w:after="0"/>
      <w:outlineLvl w:val="7"/>
    </w:pPr>
    <w:rPr>
      <w:rFonts w:ascii="Times New Roman" w:hAnsi="Times New Roman" w:eastAsia="Times New Roman" w:cs="Times New Roman"/>
      <w:color w:val="000000"/>
      <w:sz w:val="24"/>
      <w:szCs w:val="24"/>
    </w:rPr>
  </w:style>
  <w:style w:type="paragraph" w:styleId="11">
    <w:name w:val="heading 9"/>
    <w:basedOn w:val="1"/>
    <w:next w:val="3"/>
    <w:unhideWhenUsed/>
    <w:qFormat/>
    <w:uiPriority w:val="9"/>
    <w:pPr>
      <w:keepNext/>
      <w:keepLines/>
      <w:spacing w:before="200" w:after="0"/>
      <w:outlineLvl w:val="8"/>
    </w:pPr>
    <w:rPr>
      <w:rFonts w:ascii="Times New Roman" w:hAnsi="Times New Roman" w:eastAsia="Times New Roman" w:cs="Times New Roman"/>
      <w:color w:val="000000"/>
      <w:sz w:val="24"/>
      <w:szCs w:val="24"/>
    </w:rPr>
  </w:style>
  <w:style w:type="character" w:default="1" w:styleId="21">
    <w:name w:val="Default Paragraph Font"/>
    <w:semiHidden/>
    <w:unhideWhenUsed/>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110" w:after="110"/>
    </w:pPr>
  </w:style>
  <w:style w:type="paragraph" w:styleId="12">
    <w:name w:val="caption"/>
    <w:basedOn w:val="1"/>
    <w:uiPriority w:val="0"/>
    <w:pPr>
      <w:spacing w:before="60" w:after="80"/>
    </w:pPr>
    <w:rPr>
      <w:i/>
      <w:sz w:val="22"/>
      <w:szCs w:val="22"/>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90" w:line="312" w:lineRule="auto"/>
      <w:jc w:val="center"/>
    </w:pPr>
    <w:rPr>
      <w:rFonts w:ascii="Times New Roman" w:hAnsi="Times New Roman" w:eastAsia="Times New Roman" w:cs="Times New Roman"/>
      <w:sz w:val="24"/>
      <w:szCs w:val="24"/>
      <w:lang w:val="en-US" w:eastAsia="en-US" w:bidi="ar-SA"/>
    </w:rPr>
  </w:style>
  <w:style w:type="paragraph" w:styleId="15">
    <w:name w:val="toc 1"/>
    <w:basedOn w:val="1"/>
    <w:autoRedefine/>
    <w:uiPriority w:val="0"/>
    <w:pPr>
      <w:tabs>
        <w:tab w:val="right" w:leader="dot" w:pos="9360"/>
      </w:tabs>
      <w:spacing w:before="40" w:after="12"/>
    </w:pPr>
    <w:rPr>
      <w:rFonts w:ascii="Times New Roman" w:hAnsi="Times New Roman" w:eastAsia="Times New Roman" w:cs="Times New Roman"/>
      <w:b/>
      <w:bCs/>
      <w:color w:val="1F3864"/>
      <w:sz w:val="20"/>
      <w:szCs w:val="20"/>
    </w:rPr>
  </w:style>
  <w:style w:type="paragraph" w:styleId="16">
    <w:name w:val="Subtitle"/>
    <w:basedOn w:val="17"/>
    <w:next w:val="3"/>
    <w:qFormat/>
    <w:uiPriority w:val="0"/>
    <w:pPr>
      <w:keepNext/>
      <w:keepLines/>
      <w:spacing w:before="240" w:after="240"/>
      <w:jc w:val="center"/>
    </w:pPr>
    <w:rPr>
      <w:sz w:val="24"/>
      <w:szCs w:val="24"/>
    </w:rPr>
  </w:style>
  <w:style w:type="paragraph" w:styleId="17">
    <w:name w:val="Title"/>
    <w:basedOn w:val="1"/>
    <w:next w:val="3"/>
    <w:qFormat/>
    <w:uiPriority w:val="0"/>
    <w:pPr>
      <w:keepNext/>
      <w:keepLines/>
      <w:spacing w:before="480" w:after="240"/>
      <w:jc w:val="center"/>
    </w:pPr>
    <w:rPr>
      <w:rFonts w:ascii="Times New Roman" w:hAnsi="Times New Roman" w:eastAsia="Times New Roman" w:cs="Times New Roman"/>
      <w:b/>
      <w:bCs/>
      <w:color w:val="1F3864"/>
      <w:sz w:val="32"/>
      <w:szCs w:val="32"/>
    </w:rPr>
  </w:style>
  <w:style w:type="paragraph" w:styleId="18">
    <w:name w:val="footnote text"/>
    <w:basedOn w:val="1"/>
    <w:unhideWhenUsed/>
    <w:qFormat/>
    <w:uiPriority w:val="9"/>
  </w:style>
  <w:style w:type="paragraph" w:styleId="19">
    <w:name w:val="toc 2"/>
    <w:basedOn w:val="1"/>
    <w:autoRedefine/>
    <w:uiPriority w:val="0"/>
    <w:pPr>
      <w:tabs>
        <w:tab w:val="right" w:leader="dot" w:pos="9360"/>
      </w:tabs>
      <w:spacing w:before="8" w:after="8"/>
      <w:ind w:left="360"/>
    </w:pPr>
    <w:rPr>
      <w:rFonts w:ascii="Times New Roman" w:hAnsi="Times New Roman" w:eastAsia="Times New Roman" w:cs="Times New Roman"/>
      <w:color w:val="000000"/>
      <w:sz w:val="20"/>
      <w:szCs w:val="20"/>
    </w:rPr>
  </w:style>
  <w:style w:type="character" w:styleId="22">
    <w:name w:val="Hyperlink"/>
    <w:basedOn w:val="23"/>
    <w:qFormat/>
    <w:uiPriority w:val="0"/>
    <w:rPr>
      <w:color w:val="000000"/>
    </w:rPr>
  </w:style>
  <w:style w:type="character" w:customStyle="1" w:styleId="23">
    <w:name w:val="Body Text Char"/>
    <w:basedOn w:val="21"/>
    <w:link w:val="3"/>
    <w:uiPriority w:val="0"/>
  </w:style>
  <w:style w:type="character" w:styleId="24">
    <w:name w:val="footnote reference"/>
    <w:basedOn w:val="23"/>
    <w:uiPriority w:val="0"/>
    <w:rPr>
      <w:vertAlign w:val="superscript"/>
    </w:rPr>
  </w:style>
  <w:style w:type="paragraph" w:customStyle="1" w:styleId="25">
    <w:name w:val="First Paragraph"/>
    <w:basedOn w:val="3"/>
    <w:next w:val="3"/>
    <w:qFormat/>
    <w:uiPriority w:val="0"/>
    <w:pPr>
      <w:spacing w:before="90" w:after="110"/>
    </w:pPr>
  </w:style>
  <w:style w:type="paragraph" w:customStyle="1" w:styleId="26">
    <w:name w:val="Compact"/>
    <w:basedOn w:val="3"/>
    <w:qFormat/>
    <w:uiPriority w:val="0"/>
    <w:pPr>
      <w:spacing w:before="28" w:after="28" w:line="276" w:lineRule="auto"/>
    </w:pPr>
  </w:style>
  <w:style w:type="paragraph" w:customStyle="1" w:styleId="27">
    <w:name w:val="Author"/>
    <w:next w:val="3"/>
    <w:qFormat/>
    <w:uiPriority w:val="0"/>
    <w:pPr>
      <w:keepNext/>
      <w:keepLines/>
      <w:spacing w:after="90" w:line="312" w:lineRule="auto"/>
      <w:jc w:val="center"/>
    </w:pPr>
    <w:rPr>
      <w:rFonts w:ascii="Times New Roman" w:hAnsi="Times New Roman" w:eastAsia="Times New Roman" w:cs="Times New Roman"/>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color w:val="345A8A"/>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table" w:customStyle="1" w:styleId="3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2">
    <w:name w:val="Definition Term"/>
    <w:basedOn w:val="1"/>
    <w:next w:val="33"/>
    <w:uiPriority w:val="0"/>
    <w:pPr>
      <w:keepNext/>
      <w:keepLines/>
      <w:spacing w:after="0"/>
    </w:pPr>
    <w:rPr>
      <w:b/>
    </w:rPr>
  </w:style>
  <w:style w:type="paragraph" w:customStyle="1" w:styleId="33">
    <w:name w:val="Definition"/>
    <w:basedOn w:val="1"/>
    <w:uiPriority w:val="0"/>
  </w:style>
  <w:style w:type="paragraph" w:customStyle="1" w:styleId="34">
    <w:name w:val="Table Caption"/>
    <w:basedOn w:val="12"/>
    <w:uiPriority w:val="0"/>
    <w:pPr>
      <w:keepNext/>
    </w:pPr>
  </w:style>
  <w:style w:type="paragraph" w:customStyle="1" w:styleId="35">
    <w:name w:val="Image Caption"/>
    <w:basedOn w:val="12"/>
    <w:qFormat/>
    <w:uiPriority w:val="0"/>
  </w:style>
  <w:style w:type="paragraph" w:customStyle="1" w:styleId="36">
    <w:name w:val="Figure"/>
    <w:basedOn w:val="1"/>
    <w:qFormat/>
    <w:uiPriority w:val="0"/>
  </w:style>
  <w:style w:type="paragraph" w:customStyle="1" w:styleId="37">
    <w:name w:val="Captioned Figure"/>
    <w:basedOn w:val="36"/>
    <w:uiPriority w:val="0"/>
    <w:pPr>
      <w:keepNext/>
    </w:pPr>
  </w:style>
  <w:style w:type="character" w:customStyle="1" w:styleId="38">
    <w:name w:val="Verbatim Char"/>
    <w:basedOn w:val="23"/>
    <w:link w:val="39"/>
    <w:uiPriority w:val="0"/>
    <w:rPr>
      <w:rFonts w:ascii="Times New Roman" w:hAnsi="Times New Roman" w:eastAsia="Times New Roman" w:cs="Times New Roman"/>
      <w:sz w:val="22"/>
    </w:rPr>
  </w:style>
  <w:style w:type="paragraph" w:customStyle="1" w:styleId="39">
    <w:name w:val="Source Code"/>
    <w:basedOn w:val="1"/>
    <w:link w:val="38"/>
    <w:qFormat/>
    <w:uiPriority w:val="0"/>
    <w:pPr>
      <w:wordWrap w:val="0"/>
    </w:pPr>
  </w:style>
  <w:style w:type="character" w:customStyle="1" w:styleId="40">
    <w:name w:val="Section Number"/>
    <w:basedOn w:val="23"/>
    <w:uiPriority w:val="0"/>
  </w:style>
  <w:style w:type="paragraph" w:customStyle="1" w:styleId="41">
    <w:name w:val="TOC Heading"/>
    <w:basedOn w:val="2"/>
    <w:next w:val="3"/>
    <w:unhideWhenUsed/>
    <w:qFormat/>
    <w:uiPriority w:val="39"/>
    <w:pPr>
      <w:spacing w:before="120" w:after="40"/>
      <w:outlineLvl w:val="9"/>
    </w:pPr>
    <w:rPr>
      <w:rFonts w:ascii="Times New Roman" w:hAnsi="Times New Roman" w:eastAsia="Times New Roman" w:cs="Times New Roman"/>
      <w:color w:val="1F3864"/>
      <w:sz w:val="26"/>
      <w:szCs w:val="26"/>
    </w:rPr>
  </w:style>
  <w:style w:type="character" w:customStyle="1" w:styleId="42">
    <w:name w:val="KeywordTok"/>
    <w:basedOn w:val="38"/>
    <w:qFormat/>
    <w:uiPriority w:val="0"/>
    <w:rPr>
      <w:b/>
      <w:color w:val="007020"/>
    </w:rPr>
  </w:style>
  <w:style w:type="character" w:customStyle="1" w:styleId="43">
    <w:name w:val="DataTypeTok"/>
    <w:basedOn w:val="38"/>
    <w:qFormat/>
    <w:uiPriority w:val="0"/>
    <w:rPr>
      <w:color w:val="902000"/>
    </w:rPr>
  </w:style>
  <w:style w:type="character" w:customStyle="1" w:styleId="44">
    <w:name w:val="DecValTok"/>
    <w:basedOn w:val="38"/>
    <w:uiPriority w:val="0"/>
    <w:rPr>
      <w:color w:val="40A070"/>
    </w:rPr>
  </w:style>
  <w:style w:type="character" w:customStyle="1" w:styleId="45">
    <w:name w:val="BaseNTok"/>
    <w:basedOn w:val="38"/>
    <w:uiPriority w:val="0"/>
    <w:rPr>
      <w:color w:val="40A070"/>
    </w:rPr>
  </w:style>
  <w:style w:type="character" w:customStyle="1" w:styleId="46">
    <w:name w:val="FloatTok"/>
    <w:basedOn w:val="38"/>
    <w:uiPriority w:val="0"/>
    <w:rPr>
      <w:color w:val="40A070"/>
    </w:rPr>
  </w:style>
  <w:style w:type="character" w:customStyle="1" w:styleId="47">
    <w:name w:val="ConstantTok"/>
    <w:basedOn w:val="38"/>
    <w:qFormat/>
    <w:uiPriority w:val="0"/>
    <w:rPr>
      <w:color w:val="880000"/>
    </w:rPr>
  </w:style>
  <w:style w:type="character" w:customStyle="1" w:styleId="48">
    <w:name w:val="CharTok"/>
    <w:basedOn w:val="38"/>
    <w:qFormat/>
    <w:uiPriority w:val="0"/>
    <w:rPr>
      <w:color w:val="4070A0"/>
    </w:rPr>
  </w:style>
  <w:style w:type="character" w:customStyle="1" w:styleId="49">
    <w:name w:val="SpecialCharTok"/>
    <w:basedOn w:val="38"/>
    <w:qFormat/>
    <w:uiPriority w:val="0"/>
    <w:rPr>
      <w:color w:val="4070A0"/>
    </w:rPr>
  </w:style>
  <w:style w:type="character" w:customStyle="1" w:styleId="50">
    <w:name w:val="StringTok"/>
    <w:basedOn w:val="38"/>
    <w:qFormat/>
    <w:uiPriority w:val="0"/>
    <w:rPr>
      <w:color w:val="4070A0"/>
    </w:rPr>
  </w:style>
  <w:style w:type="character" w:customStyle="1" w:styleId="51">
    <w:name w:val="VerbatimStringTok"/>
    <w:basedOn w:val="38"/>
    <w:qFormat/>
    <w:uiPriority w:val="0"/>
    <w:rPr>
      <w:color w:val="4070A0"/>
    </w:rPr>
  </w:style>
  <w:style w:type="character" w:customStyle="1" w:styleId="52">
    <w:name w:val="SpecialStringTok"/>
    <w:basedOn w:val="38"/>
    <w:uiPriority w:val="0"/>
    <w:rPr>
      <w:color w:val="BB6688"/>
    </w:rPr>
  </w:style>
  <w:style w:type="character" w:customStyle="1" w:styleId="53">
    <w:name w:val="ImportTok"/>
    <w:basedOn w:val="38"/>
    <w:qFormat/>
    <w:uiPriority w:val="0"/>
    <w:rPr>
      <w:b/>
      <w:color w:val="008000"/>
    </w:rPr>
  </w:style>
  <w:style w:type="character" w:customStyle="1" w:styleId="54">
    <w:name w:val="CommentTok"/>
    <w:basedOn w:val="38"/>
    <w:uiPriority w:val="0"/>
    <w:rPr>
      <w:i/>
      <w:color w:val="60A0B0"/>
    </w:rPr>
  </w:style>
  <w:style w:type="character" w:customStyle="1" w:styleId="55">
    <w:name w:val="DocumentationTok"/>
    <w:basedOn w:val="38"/>
    <w:uiPriority w:val="0"/>
    <w:rPr>
      <w:i/>
      <w:color w:val="BA2121"/>
    </w:rPr>
  </w:style>
  <w:style w:type="character" w:customStyle="1" w:styleId="56">
    <w:name w:val="AnnotationTok"/>
    <w:basedOn w:val="38"/>
    <w:uiPriority w:val="0"/>
    <w:rPr>
      <w:b/>
      <w:i/>
      <w:color w:val="60A0B0"/>
    </w:rPr>
  </w:style>
  <w:style w:type="character" w:customStyle="1" w:styleId="57">
    <w:name w:val="CommentVarTok"/>
    <w:basedOn w:val="38"/>
    <w:uiPriority w:val="0"/>
    <w:rPr>
      <w:b/>
      <w:i/>
      <w:color w:val="60A0B0"/>
    </w:rPr>
  </w:style>
  <w:style w:type="character" w:customStyle="1" w:styleId="58">
    <w:name w:val="OtherTok"/>
    <w:basedOn w:val="38"/>
    <w:uiPriority w:val="0"/>
    <w:rPr>
      <w:color w:val="007020"/>
    </w:rPr>
  </w:style>
  <w:style w:type="character" w:customStyle="1" w:styleId="59">
    <w:name w:val="FunctionTok"/>
    <w:basedOn w:val="38"/>
    <w:qFormat/>
    <w:uiPriority w:val="0"/>
    <w:rPr>
      <w:color w:val="06287E"/>
    </w:rPr>
  </w:style>
  <w:style w:type="character" w:customStyle="1" w:styleId="60">
    <w:name w:val="VariableTok"/>
    <w:basedOn w:val="38"/>
    <w:qFormat/>
    <w:uiPriority w:val="0"/>
    <w:rPr>
      <w:color w:val="19177C"/>
    </w:rPr>
  </w:style>
  <w:style w:type="character" w:customStyle="1" w:styleId="61">
    <w:name w:val="ControlFlowTok"/>
    <w:basedOn w:val="38"/>
    <w:qFormat/>
    <w:uiPriority w:val="0"/>
    <w:rPr>
      <w:b/>
      <w:color w:val="007020"/>
    </w:rPr>
  </w:style>
  <w:style w:type="character" w:customStyle="1" w:styleId="62">
    <w:name w:val="OperatorTok"/>
    <w:basedOn w:val="38"/>
    <w:qFormat/>
    <w:uiPriority w:val="0"/>
    <w:rPr>
      <w:color w:val="666666"/>
    </w:rPr>
  </w:style>
  <w:style w:type="character" w:customStyle="1" w:styleId="63">
    <w:name w:val="BuiltInTok"/>
    <w:basedOn w:val="38"/>
    <w:qFormat/>
    <w:uiPriority w:val="0"/>
    <w:rPr>
      <w:color w:val="008000"/>
    </w:rPr>
  </w:style>
  <w:style w:type="character" w:customStyle="1" w:styleId="64">
    <w:name w:val="ExtensionTok"/>
    <w:basedOn w:val="38"/>
    <w:uiPriority w:val="0"/>
  </w:style>
  <w:style w:type="character" w:customStyle="1" w:styleId="65">
    <w:name w:val="PreprocessorTok"/>
    <w:basedOn w:val="38"/>
    <w:uiPriority w:val="0"/>
    <w:rPr>
      <w:color w:val="BC7A00"/>
    </w:rPr>
  </w:style>
  <w:style w:type="character" w:customStyle="1" w:styleId="66">
    <w:name w:val="AttributeTok"/>
    <w:basedOn w:val="38"/>
    <w:qFormat/>
    <w:uiPriority w:val="0"/>
    <w:rPr>
      <w:color w:val="7D9029"/>
    </w:rPr>
  </w:style>
  <w:style w:type="character" w:customStyle="1" w:styleId="67">
    <w:name w:val="RegionMarkerTok"/>
    <w:basedOn w:val="38"/>
    <w:qFormat/>
    <w:uiPriority w:val="0"/>
  </w:style>
  <w:style w:type="character" w:customStyle="1" w:styleId="68">
    <w:name w:val="InformationTok"/>
    <w:basedOn w:val="38"/>
    <w:uiPriority w:val="0"/>
    <w:rPr>
      <w:b/>
      <w:i/>
      <w:color w:val="60A0B0"/>
    </w:rPr>
  </w:style>
  <w:style w:type="character" w:customStyle="1" w:styleId="69">
    <w:name w:val="WarningTok"/>
    <w:basedOn w:val="38"/>
    <w:qFormat/>
    <w:uiPriority w:val="0"/>
    <w:rPr>
      <w:b/>
      <w:i/>
      <w:color w:val="60A0B0"/>
    </w:rPr>
  </w:style>
  <w:style w:type="character" w:customStyle="1" w:styleId="70">
    <w:name w:val="AlertTok"/>
    <w:basedOn w:val="38"/>
    <w:qFormat/>
    <w:uiPriority w:val="0"/>
    <w:rPr>
      <w:b/>
      <w:color w:val="FF0000"/>
    </w:rPr>
  </w:style>
  <w:style w:type="character" w:customStyle="1" w:styleId="71">
    <w:name w:val="ErrorTok"/>
    <w:basedOn w:val="38"/>
    <w:uiPriority w:val="0"/>
    <w:rPr>
      <w:b/>
      <w:color w:val="FF0000"/>
    </w:rPr>
  </w:style>
  <w:style w:type="character" w:customStyle="1" w:styleId="72">
    <w:name w:val="NormalTok"/>
    <w:basedOn w:val="3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64</Pages>
  <Words>2205</Words>
  <Characters>11687</Characters>
  <Lines>12</Lines>
  <Paragraphs>8</Paragraphs>
  <TotalTime>2</TotalTime>
  <ScaleCrop>false</ScaleCrop>
  <LinksUpToDate>false</LinksUpToDate>
  <CharactersWithSpaces>13820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2026-08-27T12:44:00Z</dcterms:created>
  <dc:creator>轩轩</dc:creator>
  <cp:lastModifiedBy>轩轩</cp:lastModifiedBy>
  <dcterms:modified xsi:type="dcterms:W3CDTF">2026-08-27T16:06:48Z</dcterms:modified>
  <dc:title>Designing the Analysis, Gathering Data, Analysing Data and Interpreting Results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INFOSYS.704 IT Consultancy — Assignment 1, Deliverable 2 · Closing the Knowledge Handover Gap in Spark New Zealand’s Employee Exit Process</vt:lpwstr>
  </property>
  <property fmtid="{D5CDD505-2E9C-101B-9397-08002B2CF9AE}" pid="3" name="KSOTemplateDocerSaveRecord">
    <vt:lpwstr>eyJoZGlkIjoiMWUwOGQzYjllNWRlNDRiMmI2OTBmNmVmNWU5NjgxMmUiLCJ1c2VySWQiOiI0MDUzODIzOTMifQ==</vt:lpwstr>
  </property>
  <property fmtid="{D5CDD505-2E9C-101B-9397-08002B2CF9AE}" pid="4" name="KSOProductBuildVer">
    <vt:lpwstr>2052-12.1.0.24657</vt:lpwstr>
  </property>
  <property fmtid="{D5CDD505-2E9C-101B-9397-08002B2CF9AE}" pid="5" name="ICV">
    <vt:lpwstr>973E8EAD2445497C8E86BA7F0EA9DDD8_12</vt:lpwstr>
  </property>
</Properties>
</file>