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Promethues的四种类型</w:t>
      </w:r>
    </w:p>
    <w:p>
      <w:r>
        <w:fldChar w:fldCharType="begin"/>
      </w:r>
      <w:r>
        <w:instrText xml:space="preserve"> HYPERLINK "https://prometheus.io/docs/concepts/metric_types/" </w:instrText>
      </w:r>
      <w:r>
        <w:fldChar w:fldCharType="separate"/>
      </w:r>
      <w:r>
        <w:t>https://prometheus.io/docs/concepts/metric_types/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累加器，只加不见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仪表盘，随意变化，可加可减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对一段时间的数据采样，计入可配置的存储桶。以直方图展示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也是对一段时间的数据采样，但是存储了分位数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Summaryvec 绑定了多个summary，可以测同一指标在不同维度下，比如http延迟分为状态码和方式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2354E"/>
    <w:rsid w:val="1EFE0DE1"/>
    <w:rsid w:val="45612FD9"/>
    <w:rsid w:val="566908D8"/>
    <w:rsid w:val="7F2E6B25"/>
    <w:rsid w:val="7F75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2020-11-16T01:41:59Z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