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2124" w:firstLine="707.9999999999998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Responda: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72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¿Dónde se define el esqueleto del algoritmo?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72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¿Se puede redefinir el esqueleto?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0" w:hanging="72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lo que se puede redefinir?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080" w:right="0" w:hanging="72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inversión de control?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ee0000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i) El esqueleto del algoritmo se define en la clase abstracta llamada BebidaCaliente en el método preparar(), es donde se define los pasos generales de nuestro algoritmo.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ii)No, no se puede redefinir, ya que, si se redefine, la estructura principal cambiaria, y ese cambio impactará en las clases que lo implementan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iii) se puede redefinir los métodos abstractos que las subclases deben implementar.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iv) Es cuando la lógica general del flujo de control está en la superclase, es decir, en BebidaCaliente ya que la clase base llama a los métodos que están definidos en las subclases y no al revés.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