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
        <w:rPr>
          <w:b/>
          <w:color w:val="1F3763"/>
          <w:sz w:val="40"/>
        </w:rPr>
        <w:t>Configuration Manual &amp; Supplementary Materials</w:t>
      </w:r>
    </w:p>
    <w:p>
      <w:pPr>
        <w:spacing w:after="40"/>
        <w:jc w:val="center"/>
      </w:pPr>
      <w:r>
        <w:rPr>
          <w:i/>
          <w:sz w:val="24"/>
        </w:rPr>
        <w:t>SIEM-lite Real-Time SSH Threat Detection — Lambda Architecture on AWS</w:t>
      </w:r>
    </w:p>
    <w:p>
      <w:pPr>
        <w:spacing w:after="320"/>
        <w:jc w:val="center"/>
      </w:pPr>
      <w:r>
        <w:rPr>
          <w:color w:val="595959"/>
          <w:sz w:val="20"/>
        </w:rPr>
        <w:t>Scalable Cloud Programming CA — [Author 1 Name] &amp; [Author 2 Name] — 4 August 2026</w:t>
      </w:r>
    </w:p>
    <w:p>
      <w:r>
        <w:rPr>
          <w:b w:val="0"/>
          <w:i/>
        </w:rPr>
        <w:t>This document accompanies the project report and the GitHub repository. It records exactly how the AWS environment was configured, in enough detail that a marker (or a future team) can reproduce it from a clean account. It is a build-and-operate reference, not a design justification — the reasoning behind each choice is in the report; this document is the checklist for making the choice real. All resource names, IAM roles, and configuration values below are the exact ones used in the delivered system.</w:t>
      </w:r>
    </w:p>
    <w:p>
      <w:pPr>
        <w:spacing w:before="320" w:after="120"/>
      </w:pPr>
      <w:r>
        <w:rPr>
          <w:b/>
          <w:color w:val="1F3763"/>
          <w:sz w:val="28"/>
        </w:rPr>
        <w:t>1. Prerequisites</w:t>
      </w:r>
    </w:p>
    <w:p>
      <w:r>
        <w:rPr>
          <w:b w:val="0"/>
          <w:i w:val="0"/>
        </w:rPr>
        <w:t>Everything below assumes an AWS account with console and CLI access, region us-east-1, and the following account-wide conventions applied before any resource is created:</w:t>
      </w:r>
    </w:p>
    <w:tbl>
      <w:tblPr>
        <w:tblStyle w:val="LightGrid-Accent1"/>
        <w:tblW w:type="auto" w:w="0"/>
        <w:tblLook w:firstColumn="1" w:firstRow="1" w:lastColumn="0" w:lastRow="0" w:noHBand="0" w:noVBand="1" w:val="04A0"/>
      </w:tblPr>
      <w:tblGrid>
        <w:gridCol w:w="4824"/>
        <w:gridCol w:w="4824"/>
      </w:tblGrid>
      <w:tr>
        <w:tc>
          <w:tcPr>
            <w:tcW w:type="dxa" w:w="4824"/>
          </w:tcPr>
          <w:p>
            <w:pPr>
              <w:spacing w:after="0"/>
            </w:pPr>
            <w:r/>
            <w:r>
              <w:rPr>
                <w:b/>
                <w:sz w:val="18"/>
              </w:rPr>
              <w:t>Setting</w:t>
            </w:r>
          </w:p>
        </w:tc>
        <w:tc>
          <w:tcPr>
            <w:tcW w:type="dxa" w:w="4824"/>
          </w:tcPr>
          <w:p>
            <w:pPr>
              <w:spacing w:after="0"/>
            </w:pPr>
            <w:r/>
            <w:r>
              <w:rPr>
                <w:b/>
                <w:sz w:val="18"/>
              </w:rPr>
              <w:t>Value</w:t>
            </w:r>
          </w:p>
        </w:tc>
      </w:tr>
      <w:tr>
        <w:tc>
          <w:tcPr>
            <w:tcW w:type="dxa" w:w="4824"/>
          </w:tcPr>
          <w:p>
            <w:pPr>
              <w:spacing w:after="0"/>
            </w:pPr>
            <w:r/>
            <w:r>
              <w:rPr>
                <w:b w:val="0"/>
                <w:sz w:val="18"/>
              </w:rPr>
              <w:t>Region</w:t>
            </w:r>
          </w:p>
        </w:tc>
        <w:tc>
          <w:tcPr>
            <w:tcW w:type="dxa" w:w="4824"/>
          </w:tcPr>
          <w:p>
            <w:pPr>
              <w:spacing w:after="0"/>
            </w:pPr>
            <w:r/>
            <w:r>
              <w:rPr>
                <w:b w:val="0"/>
                <w:sz w:val="18"/>
              </w:rPr>
              <w:t>us-east-1 (N. Virginia)</w:t>
            </w:r>
          </w:p>
        </w:tc>
      </w:tr>
      <w:tr>
        <w:tc>
          <w:tcPr>
            <w:tcW w:type="dxa" w:w="4824"/>
          </w:tcPr>
          <w:p>
            <w:pPr>
              <w:spacing w:after="0"/>
            </w:pPr>
            <w:r/>
            <w:r>
              <w:rPr>
                <w:b w:val="0"/>
                <w:sz w:val="18"/>
              </w:rPr>
              <w:t>Resource name prefix</w:t>
            </w:r>
          </w:p>
        </w:tc>
        <w:tc>
          <w:tcPr>
            <w:tcW w:type="dxa" w:w="4824"/>
          </w:tcPr>
          <w:p>
            <w:pPr>
              <w:spacing w:after="0"/>
            </w:pPr>
            <w:r/>
            <w:r>
              <w:rPr>
                <w:b w:val="0"/>
                <w:sz w:val="18"/>
              </w:rPr>
              <w:t>scp-siem-*</w:t>
            </w:r>
          </w:p>
        </w:tc>
      </w:tr>
      <w:tr>
        <w:tc>
          <w:tcPr>
            <w:tcW w:type="dxa" w:w="4824"/>
          </w:tcPr>
          <w:p>
            <w:pPr>
              <w:spacing w:after="0"/>
            </w:pPr>
            <w:r/>
            <w:r>
              <w:rPr>
                <w:b w:val="0"/>
                <w:sz w:val="18"/>
              </w:rPr>
              <w:t>Mandatory tag</w:t>
            </w:r>
          </w:p>
        </w:tc>
        <w:tc>
          <w:tcPr>
            <w:tcW w:type="dxa" w:w="4824"/>
          </w:tcPr>
          <w:p>
            <w:pPr>
              <w:spacing w:after="0"/>
            </w:pPr>
            <w:r/>
            <w:r>
              <w:rPr>
                <w:b w:val="0"/>
                <w:sz w:val="18"/>
              </w:rPr>
              <w:t>Project=scp-siem on every resource</w:t>
            </w:r>
          </w:p>
        </w:tc>
      </w:tr>
      <w:tr>
        <w:tc>
          <w:tcPr>
            <w:tcW w:type="dxa" w:w="4824"/>
          </w:tcPr>
          <w:p>
            <w:pPr>
              <w:spacing w:after="0"/>
            </w:pPr>
            <w:r/>
            <w:r>
              <w:rPr>
                <w:b w:val="0"/>
                <w:sz w:val="18"/>
              </w:rPr>
              <w:t>Budget guardrail</w:t>
            </w:r>
          </w:p>
        </w:tc>
        <w:tc>
          <w:tcPr>
            <w:tcW w:type="dxa" w:w="4824"/>
          </w:tcPr>
          <w:p>
            <w:pPr>
              <w:spacing w:after="0"/>
            </w:pPr>
            <w:r/>
            <w:r>
              <w:rPr>
                <w:b w:val="0"/>
                <w:sz w:val="18"/>
              </w:rPr>
              <w:t>AWS Budget “scp-siem-monthly”, $80 monthly ceiling, alerts at 50%, 100%, and forecast-over-100%</w:t>
            </w:r>
          </w:p>
        </w:tc>
      </w:tr>
    </w:tbl>
    <w:p>
      <w:pPr>
        <w:spacing w:after="80"/>
      </w:pPr>
    </w:p>
    <w:p>
      <w:r>
        <w:rPr>
          <w:b w:val="0"/>
          <w:i w:val="0"/>
        </w:rPr>
        <w:t>Local development requires Python 3.11+ and the following:</w:t>
      </w:r>
    </w:p>
    <w:p>
      <w:pPr>
        <w:spacing w:before="40" w:after="160"/>
        <w:ind w:left="432"/>
        <w:shd w:fill="F2F2F2"/>
      </w:pPr>
      <w:r>
        <w:rPr>
          <w:rFonts w:ascii="Consolas" w:hAnsi="Consolas"/>
          <w:color w:val="1A1A1A"/>
          <w:sz w:val="18"/>
        </w:rPr>
        <w:t>python3 -m venv .venv</w:t>
      </w:r>
      <w:r>
        <w:rPr>
          <w:rFonts w:ascii="Consolas" w:hAnsi="Consolas"/>
          <w:color w:val="1A1A1A"/>
          <w:sz w:val="18"/>
        </w:rPr>
        <w:br/>
        <w:t>source .venv/bin/activate</w:t>
      </w:r>
      <w:r>
        <w:rPr>
          <w:rFonts w:ascii="Consolas" w:hAnsi="Consolas"/>
          <w:color w:val="1A1A1A"/>
          <w:sz w:val="18"/>
        </w:rPr>
        <w:br/>
        <w:t>pip install -r requirements.txt</w:t>
      </w:r>
    </w:p>
    <w:p>
      <w:r>
        <w:rPr>
          <w:b w:val="0"/>
          <w:i w:val="0"/>
        </w:rPr>
        <w:t>requirements.txt pins boto3, streamlit, matplotlib and python-dotenv. PySpark is deliberately excluded — the batch job runs on EMR, where Spark is preinstalled; there is no local Spark step in this project (see §5.1).</w:t>
      </w:r>
    </w:p>
    <w:p>
      <w:pPr>
        <w:spacing w:before="320" w:after="120"/>
      </w:pPr>
      <w:r>
        <w:rPr>
          <w:b/>
          <w:color w:val="1F3763"/>
          <w:sz w:val="28"/>
        </w:rPr>
        <w:t>2. IAM Roles</w:t>
      </w:r>
    </w:p>
    <w:p>
      <w:r>
        <w:rPr>
          <w:b w:val="0"/>
          <w:i w:val="0"/>
        </w:rPr>
        <w:t>Six IAM roles are required in total. Two are non-obvious and must be created before the resources that depend on them, or setup fails partway through:</w:t>
      </w:r>
    </w:p>
    <w:tbl>
      <w:tblPr>
        <w:tblStyle w:val="LightGrid-Accent1"/>
        <w:tblW w:type="auto" w:w="0"/>
        <w:tblLook w:firstColumn="1" w:firstRow="1" w:lastColumn="0" w:lastRow="0" w:noHBand="0" w:noVBand="1" w:val="04A0"/>
      </w:tblPr>
      <w:tblGrid>
        <w:gridCol w:w="3216"/>
        <w:gridCol w:w="3216"/>
        <w:gridCol w:w="3216"/>
      </w:tblGrid>
      <w:tr>
        <w:tc>
          <w:tcPr>
            <w:tcW w:type="dxa" w:w="3216"/>
          </w:tcPr>
          <w:p>
            <w:pPr>
              <w:spacing w:after="0"/>
            </w:pPr>
            <w:r/>
            <w:r>
              <w:rPr>
                <w:b/>
                <w:sz w:val="18"/>
              </w:rPr>
              <w:t>Role</w:t>
            </w:r>
          </w:p>
        </w:tc>
        <w:tc>
          <w:tcPr>
            <w:tcW w:type="dxa" w:w="3216"/>
          </w:tcPr>
          <w:p>
            <w:pPr>
              <w:spacing w:after="0"/>
            </w:pPr>
            <w:r/>
            <w:r>
              <w:rPr>
                <w:b/>
                <w:sz w:val="18"/>
              </w:rPr>
              <w:t>Purpose</w:t>
            </w:r>
          </w:p>
        </w:tc>
        <w:tc>
          <w:tcPr>
            <w:tcW w:type="dxa" w:w="3216"/>
          </w:tcPr>
          <w:p>
            <w:pPr>
              <w:spacing w:after="0"/>
            </w:pPr>
            <w:r/>
            <w:r>
              <w:rPr>
                <w:b/>
                <w:sz w:val="18"/>
              </w:rPr>
              <w:t>Required permissions</w:t>
            </w:r>
          </w:p>
        </w:tc>
      </w:tr>
      <w:tr>
        <w:tc>
          <w:tcPr>
            <w:tcW w:type="dxa" w:w="3216"/>
          </w:tcPr>
          <w:p>
            <w:pPr>
              <w:spacing w:after="0"/>
            </w:pPr>
            <w:r/>
            <w:r>
              <w:rPr>
                <w:b w:val="0"/>
                <w:sz w:val="18"/>
              </w:rPr>
              <w:t>scp-siem-lambda-speed-role</w:t>
            </w:r>
          </w:p>
        </w:tc>
        <w:tc>
          <w:tcPr>
            <w:tcW w:type="dxa" w:w="3216"/>
          </w:tcPr>
          <w:p>
            <w:pPr>
              <w:spacing w:after="0"/>
            </w:pPr>
            <w:r/>
            <w:r>
              <w:rPr>
                <w:b w:val="0"/>
                <w:sz w:val="18"/>
              </w:rPr>
              <w:t>Speed-layer Lambda execution</w:t>
            </w:r>
          </w:p>
        </w:tc>
        <w:tc>
          <w:tcPr>
            <w:tcW w:type="dxa" w:w="3216"/>
          </w:tcPr>
          <w:p>
            <w:pPr>
              <w:spacing w:after="0"/>
            </w:pPr>
            <w:r/>
            <w:r>
              <w:rPr>
                <w:b w:val="0"/>
                <w:sz w:val="18"/>
              </w:rPr>
              <w:t>AWSLambdaKinesisExecutionRole (managed) + inline policy granting dynamodb:UpdateItem, dynamodb:Query, dynamodb:PutItem on the state table</w:t>
            </w:r>
          </w:p>
        </w:tc>
      </w:tr>
      <w:tr>
        <w:tc>
          <w:tcPr>
            <w:tcW w:type="dxa" w:w="3216"/>
          </w:tcPr>
          <w:p>
            <w:pPr>
              <w:spacing w:after="0"/>
            </w:pPr>
            <w:r/>
            <w:r>
              <w:rPr>
                <w:b w:val="0"/>
                <w:sz w:val="18"/>
              </w:rPr>
              <w:t>AmazonEMR-ServiceRole-*</w:t>
            </w:r>
          </w:p>
        </w:tc>
        <w:tc>
          <w:tcPr>
            <w:tcW w:type="dxa" w:w="3216"/>
          </w:tcPr>
          <w:p>
            <w:pPr>
              <w:spacing w:after="0"/>
            </w:pPr>
            <w:r/>
            <w:r>
              <w:rPr>
                <w:b w:val="0"/>
                <w:sz w:val="18"/>
              </w:rPr>
              <w:t>EMR service role</w:t>
            </w:r>
          </w:p>
        </w:tc>
        <w:tc>
          <w:tcPr>
            <w:tcW w:type="dxa" w:w="3216"/>
          </w:tcPr>
          <w:p>
            <w:pPr>
              <w:spacing w:after="0"/>
            </w:pPr>
            <w:r/>
            <w:r>
              <w:rPr>
                <w:b w:val="0"/>
                <w:sz w:val="18"/>
              </w:rPr>
              <w:t>AmazonEMRServicePolicy_v2 (managed)</w:t>
            </w:r>
          </w:p>
        </w:tc>
      </w:tr>
      <w:tr>
        <w:tc>
          <w:tcPr>
            <w:tcW w:type="dxa" w:w="3216"/>
          </w:tcPr>
          <w:p>
            <w:pPr>
              <w:spacing w:after="0"/>
            </w:pPr>
            <w:r/>
            <w:r>
              <w:rPr>
                <w:b w:val="0"/>
                <w:sz w:val="18"/>
              </w:rPr>
              <w:t>AmazonEMR-InstanceProfile-*</w:t>
            </w:r>
          </w:p>
        </w:tc>
        <w:tc>
          <w:tcPr>
            <w:tcW w:type="dxa" w:w="3216"/>
          </w:tcPr>
          <w:p>
            <w:pPr>
              <w:spacing w:after="0"/>
            </w:pPr>
            <w:r/>
            <w:r>
              <w:rPr>
                <w:b w:val="0"/>
                <w:sz w:val="18"/>
              </w:rPr>
              <w:t>EMR EC2 instance profile</w:t>
            </w:r>
          </w:p>
        </w:tc>
        <w:tc>
          <w:tcPr>
            <w:tcW w:type="dxa" w:w="3216"/>
          </w:tcPr>
          <w:p>
            <w:pPr>
              <w:spacing w:after="0"/>
            </w:pPr>
            <w:r/>
            <w:r>
              <w:rPr>
                <w:b w:val="0"/>
                <w:sz w:val="18"/>
              </w:rPr>
              <w:t>Auto-generated base policy + inline S3 access policy (§5.3)</w:t>
            </w:r>
          </w:p>
        </w:tc>
      </w:tr>
      <w:tr>
        <w:tc>
          <w:tcPr>
            <w:tcW w:type="dxa" w:w="3216"/>
          </w:tcPr>
          <w:p>
            <w:pPr>
              <w:spacing w:after="0"/>
            </w:pPr>
            <w:r/>
            <w:r>
              <w:rPr>
                <w:b w:val="0"/>
                <w:sz w:val="18"/>
              </w:rPr>
              <w:t>Firehose delivery role</w:t>
            </w:r>
          </w:p>
        </w:tc>
        <w:tc>
          <w:tcPr>
            <w:tcW w:type="dxa" w:w="3216"/>
          </w:tcPr>
          <w:p>
            <w:pPr>
              <w:spacing w:after="0"/>
            </w:pPr>
            <w:r/>
            <w:r>
              <w:rPr>
                <w:b w:val="0"/>
                <w:sz w:val="18"/>
              </w:rPr>
              <w:t>Firehose → S3 write access</w:t>
            </w:r>
          </w:p>
        </w:tc>
        <w:tc>
          <w:tcPr>
            <w:tcW w:type="dxa" w:w="3216"/>
          </w:tcPr>
          <w:p>
            <w:pPr>
              <w:spacing w:after="0"/>
            </w:pPr>
            <w:r/>
            <w:r>
              <w:rPr>
                <w:b w:val="0"/>
                <w:sz w:val="18"/>
              </w:rPr>
              <w:t>Console auto-created</w:t>
            </w:r>
          </w:p>
        </w:tc>
      </w:tr>
      <w:tr>
        <w:tc>
          <w:tcPr>
            <w:tcW w:type="dxa" w:w="3216"/>
          </w:tcPr>
          <w:p>
            <w:pPr>
              <w:spacing w:after="0"/>
            </w:pPr>
            <w:r/>
            <w:r>
              <w:rPr>
                <w:b w:val="0"/>
                <w:sz w:val="18"/>
              </w:rPr>
              <w:t>AWSServiceRoleForEC2Spot</w:t>
            </w:r>
          </w:p>
        </w:tc>
        <w:tc>
          <w:tcPr>
            <w:tcW w:type="dxa" w:w="3216"/>
          </w:tcPr>
          <w:p>
            <w:pPr>
              <w:spacing w:after="0"/>
            </w:pPr>
            <w:r/>
            <w:r>
              <w:rPr>
                <w:b w:val="0"/>
                <w:sz w:val="18"/>
              </w:rPr>
              <w:t>Service-linked role for Spot instances</w:t>
            </w:r>
          </w:p>
        </w:tc>
        <w:tc>
          <w:tcPr>
            <w:tcW w:type="dxa" w:w="3216"/>
          </w:tcPr>
          <w:p>
            <w:pPr>
              <w:spacing w:after="0"/>
            </w:pPr>
            <w:r/>
            <w:r>
              <w:rPr>
                <w:b w:val="0"/>
                <w:sz w:val="18"/>
              </w:rPr>
              <w:t>Account-level; create once with: aws iam create-service-linked-role --aws-service-name spot.amazonaws.com</w:t>
            </w:r>
          </w:p>
        </w:tc>
      </w:tr>
      <w:tr>
        <w:tc>
          <w:tcPr>
            <w:tcW w:type="dxa" w:w="3216"/>
          </w:tcPr>
          <w:p>
            <w:pPr>
              <w:spacing w:after="0"/>
            </w:pPr>
            <w:r/>
            <w:r>
              <w:rPr>
                <w:b w:val="0"/>
                <w:sz w:val="18"/>
              </w:rPr>
              <w:t>EMR_AutoScaling_DefaultRole</w:t>
            </w:r>
          </w:p>
        </w:tc>
        <w:tc>
          <w:tcPr>
            <w:tcW w:type="dxa" w:w="3216"/>
          </w:tcPr>
          <w:p>
            <w:pPr>
              <w:spacing w:after="0"/>
            </w:pPr>
            <w:r/>
            <w:r>
              <w:rPr>
                <w:b w:val="0"/>
                <w:sz w:val="18"/>
              </w:rPr>
              <w:t>Lets EMR resize instance groups from CloudWatch alarms</w:t>
            </w:r>
          </w:p>
        </w:tc>
        <w:tc>
          <w:tcPr>
            <w:tcW w:type="dxa" w:w="3216"/>
          </w:tcPr>
          <w:p>
            <w:pPr>
              <w:spacing w:after="0"/>
            </w:pPr>
            <w:r/>
            <w:r>
              <w:rPr>
                <w:b w:val="0"/>
                <w:sz w:val="18"/>
              </w:rPr>
              <w:t>Required before custom automatic scaling is selectable. Create with: aws emr create-default-roles</w:t>
            </w:r>
          </w:p>
        </w:tc>
      </w:tr>
    </w:tbl>
    <w:p>
      <w:pPr>
        <w:spacing w:after="80"/>
      </w:pPr>
    </w:p>
    <w:p>
      <w:r>
        <w:rPr>
          <w:b w:val="0"/>
          <w:i w:val="0"/>
        </w:rPr>
        <w:t>The two EMR roles are easy to confuse because they carry near-identical auto-generated timestamp suffixes (e.g. ...T165202 for the service role vs. ...T165145 for the instance profile). Attaching the wrong one to the wrong purpose produces an S3 403 error at EMR step time (§5.4). Copy exact names from the AWS IAM console rather than retyping them.</w:t>
      </w:r>
    </w:p>
    <w:p>
      <w:pPr>
        <w:spacing w:before="320" w:after="120"/>
      </w:pPr>
      <w:r>
        <w:rPr>
          <w:b/>
          <w:color w:val="1F3763"/>
          <w:sz w:val="28"/>
        </w:rPr>
        <w:t>3. Persistent Resources — Ingestion and Speed Layer</w:t>
      </w:r>
    </w:p>
    <w:p>
      <w:r>
        <w:rPr>
          <w:b w:val="0"/>
          <w:i w:val="0"/>
        </w:rPr>
        <w:t>These five resources are created once and left running for the project duration; combined running cost is well under $1/day.</w:t>
      </w:r>
    </w:p>
    <w:p>
      <w:pPr>
        <w:spacing w:before="200" w:after="80"/>
      </w:pPr>
      <w:r>
        <w:rPr>
          <w:b/>
          <w:color w:val="2E4A7D"/>
          <w:sz w:val="23"/>
        </w:rPr>
        <w:t>3.1 Kinesis Data Stream</w:t>
      </w:r>
    </w:p>
    <w:tbl>
      <w:tblPr>
        <w:tblStyle w:val="LightGrid-Accent1"/>
        <w:tblW w:type="auto" w:w="0"/>
        <w:tblLook w:firstColumn="1" w:firstRow="1" w:lastColumn="0" w:lastRow="0" w:noHBand="0" w:noVBand="1" w:val="04A0"/>
      </w:tblPr>
      <w:tblGrid>
        <w:gridCol w:w="4824"/>
        <w:gridCol w:w="4824"/>
      </w:tblGrid>
      <w:tr>
        <w:tc>
          <w:tcPr>
            <w:tcW w:type="dxa" w:w="4824"/>
          </w:tcPr>
          <w:p>
            <w:pPr>
              <w:spacing w:after="0"/>
            </w:pPr>
            <w:r/>
            <w:r>
              <w:rPr>
                <w:b/>
                <w:sz w:val="18"/>
              </w:rPr>
              <w:t>Setting</w:t>
            </w:r>
          </w:p>
        </w:tc>
        <w:tc>
          <w:tcPr>
            <w:tcW w:type="dxa" w:w="4824"/>
          </w:tcPr>
          <w:p>
            <w:pPr>
              <w:spacing w:after="0"/>
            </w:pPr>
            <w:r/>
            <w:r>
              <w:rPr>
                <w:b/>
                <w:sz w:val="18"/>
              </w:rPr>
              <w:t>Value</w:t>
            </w:r>
          </w:p>
        </w:tc>
      </w:tr>
      <w:tr>
        <w:tc>
          <w:tcPr>
            <w:tcW w:type="dxa" w:w="4824"/>
          </w:tcPr>
          <w:p>
            <w:pPr>
              <w:spacing w:after="0"/>
            </w:pPr>
            <w:r/>
            <w:r>
              <w:rPr>
                <w:b w:val="0"/>
                <w:sz w:val="18"/>
              </w:rPr>
              <w:t>Name</w:t>
            </w:r>
          </w:p>
        </w:tc>
        <w:tc>
          <w:tcPr>
            <w:tcW w:type="dxa" w:w="4824"/>
          </w:tcPr>
          <w:p>
            <w:pPr>
              <w:spacing w:after="0"/>
            </w:pPr>
            <w:r/>
            <w:r>
              <w:rPr>
                <w:b w:val="0"/>
                <w:sz w:val="18"/>
              </w:rPr>
              <w:t>scp-siem-stream</w:t>
            </w:r>
          </w:p>
        </w:tc>
      </w:tr>
      <w:tr>
        <w:tc>
          <w:tcPr>
            <w:tcW w:type="dxa" w:w="4824"/>
          </w:tcPr>
          <w:p>
            <w:pPr>
              <w:spacing w:after="0"/>
            </w:pPr>
            <w:r/>
            <w:r>
              <w:rPr>
                <w:b w:val="0"/>
                <w:sz w:val="18"/>
              </w:rPr>
              <w:t>Mode</w:t>
            </w:r>
          </w:p>
        </w:tc>
        <w:tc>
          <w:tcPr>
            <w:tcW w:type="dxa" w:w="4824"/>
          </w:tcPr>
          <w:p>
            <w:pPr>
              <w:spacing w:after="0"/>
            </w:pPr>
            <w:r/>
            <w:r>
              <w:rPr>
                <w:b w:val="0"/>
                <w:sz w:val="18"/>
              </w:rPr>
              <w:t>Provisioned, 1 shard</w:t>
            </w:r>
          </w:p>
        </w:tc>
      </w:tr>
      <w:tr>
        <w:tc>
          <w:tcPr>
            <w:tcW w:type="dxa" w:w="4824"/>
          </w:tcPr>
          <w:p>
            <w:pPr>
              <w:spacing w:after="0"/>
            </w:pPr>
            <w:r/>
            <w:r>
              <w:rPr>
                <w:b w:val="0"/>
                <w:sz w:val="18"/>
              </w:rPr>
              <w:t>Partition key (used by producer)</w:t>
            </w:r>
          </w:p>
        </w:tc>
        <w:tc>
          <w:tcPr>
            <w:tcW w:type="dxa" w:w="4824"/>
          </w:tcPr>
          <w:p>
            <w:pPr>
              <w:spacing w:after="0"/>
            </w:pPr>
            <w:r/>
            <w:r>
              <w:rPr>
                <w:b w:val="0"/>
                <w:sz w:val="18"/>
              </w:rPr>
              <w:t>source_ip</w:t>
            </w:r>
          </w:p>
        </w:tc>
      </w:tr>
    </w:tbl>
    <w:p>
      <w:pPr>
        <w:spacing w:after="80"/>
      </w:pPr>
    </w:p>
    <w:p>
      <w:r>
        <w:rPr>
          <w:b w:val="0"/>
          <w:i w:val="0"/>
        </w:rPr>
        <w:t>Console: Kinesis → Create data stream → Provisioned → 1 shard. The partition-key choice is made in the producer code, not at stream-creation time, and matters for correctness: routing every event for one IP to the same shard is what lets the speed layer do per-IP windowing without cross-shard coordination.</w:t>
      </w:r>
    </w:p>
    <w:p>
      <w:pPr>
        <w:spacing w:before="200" w:after="80"/>
      </w:pPr>
      <w:r>
        <w:rPr>
          <w:b/>
          <w:color w:val="2E4A7D"/>
          <w:sz w:val="23"/>
        </w:rPr>
        <w:t>3.2 DynamoDB Table</w:t>
      </w:r>
    </w:p>
    <w:tbl>
      <w:tblPr>
        <w:tblStyle w:val="LightGrid-Accent1"/>
        <w:tblW w:type="auto" w:w="0"/>
        <w:tblLook w:firstColumn="1" w:firstRow="1" w:lastColumn="0" w:lastRow="0" w:noHBand="0" w:noVBand="1" w:val="04A0"/>
      </w:tblPr>
      <w:tblGrid>
        <w:gridCol w:w="4824"/>
        <w:gridCol w:w="4824"/>
      </w:tblGrid>
      <w:tr>
        <w:tc>
          <w:tcPr>
            <w:tcW w:type="dxa" w:w="4824"/>
          </w:tcPr>
          <w:p>
            <w:pPr>
              <w:spacing w:after="0"/>
            </w:pPr>
            <w:r/>
            <w:r>
              <w:rPr>
                <w:b/>
                <w:sz w:val="18"/>
              </w:rPr>
              <w:t>Setting</w:t>
            </w:r>
          </w:p>
        </w:tc>
        <w:tc>
          <w:tcPr>
            <w:tcW w:type="dxa" w:w="4824"/>
          </w:tcPr>
          <w:p>
            <w:pPr>
              <w:spacing w:after="0"/>
            </w:pPr>
            <w:r/>
            <w:r>
              <w:rPr>
                <w:b/>
                <w:sz w:val="18"/>
              </w:rPr>
              <w:t>Value</w:t>
            </w:r>
          </w:p>
        </w:tc>
      </w:tr>
      <w:tr>
        <w:tc>
          <w:tcPr>
            <w:tcW w:type="dxa" w:w="4824"/>
          </w:tcPr>
          <w:p>
            <w:pPr>
              <w:spacing w:after="0"/>
            </w:pPr>
            <w:r/>
            <w:r>
              <w:rPr>
                <w:b w:val="0"/>
                <w:sz w:val="18"/>
              </w:rPr>
              <w:t>Name</w:t>
            </w:r>
          </w:p>
        </w:tc>
        <w:tc>
          <w:tcPr>
            <w:tcW w:type="dxa" w:w="4824"/>
          </w:tcPr>
          <w:p>
            <w:pPr>
              <w:spacing w:after="0"/>
            </w:pPr>
            <w:r/>
            <w:r>
              <w:rPr>
                <w:b w:val="0"/>
                <w:sz w:val="18"/>
              </w:rPr>
              <w:t>scp-siem-speed-state</w:t>
            </w:r>
          </w:p>
        </w:tc>
      </w:tr>
      <w:tr>
        <w:tc>
          <w:tcPr>
            <w:tcW w:type="dxa" w:w="4824"/>
          </w:tcPr>
          <w:p>
            <w:pPr>
              <w:spacing w:after="0"/>
            </w:pPr>
            <w:r/>
            <w:r>
              <w:rPr>
                <w:b w:val="0"/>
                <w:sz w:val="18"/>
              </w:rPr>
              <w:t>Partition key</w:t>
            </w:r>
          </w:p>
        </w:tc>
        <w:tc>
          <w:tcPr>
            <w:tcW w:type="dxa" w:w="4824"/>
          </w:tcPr>
          <w:p>
            <w:pPr>
              <w:spacing w:after="0"/>
            </w:pPr>
            <w:r/>
            <w:r>
              <w:rPr>
                <w:b w:val="0"/>
                <w:sz w:val="18"/>
              </w:rPr>
              <w:t>source_ip (String)</w:t>
            </w:r>
          </w:p>
        </w:tc>
      </w:tr>
      <w:tr>
        <w:tc>
          <w:tcPr>
            <w:tcW w:type="dxa" w:w="4824"/>
          </w:tcPr>
          <w:p>
            <w:pPr>
              <w:spacing w:after="0"/>
            </w:pPr>
            <w:r/>
            <w:r>
              <w:rPr>
                <w:b w:val="0"/>
                <w:sz w:val="18"/>
              </w:rPr>
              <w:t>Sort key</w:t>
            </w:r>
          </w:p>
        </w:tc>
        <w:tc>
          <w:tcPr>
            <w:tcW w:type="dxa" w:w="4824"/>
          </w:tcPr>
          <w:p>
            <w:pPr>
              <w:spacing w:after="0"/>
            </w:pPr>
            <w:r/>
            <w:r>
              <w:rPr>
                <w:b w:val="0"/>
                <w:sz w:val="18"/>
              </w:rPr>
              <w:t>bucket (Number)</w:t>
            </w:r>
          </w:p>
        </w:tc>
      </w:tr>
      <w:tr>
        <w:tc>
          <w:tcPr>
            <w:tcW w:type="dxa" w:w="4824"/>
          </w:tcPr>
          <w:p>
            <w:pPr>
              <w:spacing w:after="0"/>
            </w:pPr>
            <w:r/>
            <w:r>
              <w:rPr>
                <w:b w:val="0"/>
                <w:sz w:val="18"/>
              </w:rPr>
              <w:t>Billing mode</w:t>
            </w:r>
          </w:p>
        </w:tc>
        <w:tc>
          <w:tcPr>
            <w:tcW w:type="dxa" w:w="4824"/>
          </w:tcPr>
          <w:p>
            <w:pPr>
              <w:spacing w:after="0"/>
            </w:pPr>
            <w:r/>
            <w:r>
              <w:rPr>
                <w:b w:val="0"/>
                <w:sz w:val="18"/>
              </w:rPr>
              <w:t>On-demand</w:t>
            </w:r>
          </w:p>
        </w:tc>
      </w:tr>
      <w:tr>
        <w:tc>
          <w:tcPr>
            <w:tcW w:type="dxa" w:w="4824"/>
          </w:tcPr>
          <w:p>
            <w:pPr>
              <w:spacing w:after="0"/>
            </w:pPr>
            <w:r/>
            <w:r>
              <w:rPr>
                <w:b w:val="0"/>
                <w:sz w:val="18"/>
              </w:rPr>
              <w:t>TTL attribute</w:t>
            </w:r>
          </w:p>
        </w:tc>
        <w:tc>
          <w:tcPr>
            <w:tcW w:type="dxa" w:w="4824"/>
          </w:tcPr>
          <w:p>
            <w:pPr>
              <w:spacing w:after="0"/>
            </w:pPr>
            <w:r/>
            <w:r>
              <w:rPr>
                <w:b w:val="0"/>
                <w:sz w:val="18"/>
              </w:rPr>
              <w:t>ttl — enabled</w:t>
            </w:r>
          </w:p>
        </w:tc>
      </w:tr>
    </w:tbl>
    <w:p>
      <w:pPr>
        <w:spacing w:after="80"/>
      </w:pPr>
    </w:p>
    <w:p>
      <w:r>
        <w:rPr>
          <w:b w:val="0"/>
          <w:i w:val="0"/>
        </w:rPr>
        <w:t>Console: DynamoDB → Create table → enter the keys above → enable on-demand capacity → after creation, enable TTL under Additional settings, pointing at the ttl attribute. One table holds both the 30-second bucket counts and the alert rows, distinguished by a kind attribute and a synthetic sort-key range for alerts — no second table is created.</w:t>
      </w:r>
    </w:p>
    <w:p>
      <w:pPr>
        <w:spacing w:before="200" w:after="80"/>
      </w:pPr>
      <w:r>
        <w:rPr>
          <w:b/>
          <w:color w:val="2E4A7D"/>
          <w:sz w:val="23"/>
        </w:rPr>
        <w:t>3.3 S3 Bucket</w:t>
      </w:r>
    </w:p>
    <w:tbl>
      <w:tblPr>
        <w:tblStyle w:val="LightGrid-Accent1"/>
        <w:tblW w:type="auto" w:w="0"/>
        <w:tblLook w:firstColumn="1" w:firstRow="1" w:lastColumn="0" w:lastRow="0" w:noHBand="0" w:noVBand="1" w:val="04A0"/>
      </w:tblPr>
      <w:tblGrid>
        <w:gridCol w:w="4824"/>
        <w:gridCol w:w="4824"/>
      </w:tblGrid>
      <w:tr>
        <w:tc>
          <w:tcPr>
            <w:tcW w:type="dxa" w:w="4824"/>
          </w:tcPr>
          <w:p>
            <w:pPr>
              <w:spacing w:after="0"/>
            </w:pPr>
            <w:r/>
            <w:r>
              <w:rPr>
                <w:b/>
                <w:sz w:val="18"/>
              </w:rPr>
              <w:t>Setting</w:t>
            </w:r>
          </w:p>
        </w:tc>
        <w:tc>
          <w:tcPr>
            <w:tcW w:type="dxa" w:w="4824"/>
          </w:tcPr>
          <w:p>
            <w:pPr>
              <w:spacing w:after="0"/>
            </w:pPr>
            <w:r/>
            <w:r>
              <w:rPr>
                <w:b/>
                <w:sz w:val="18"/>
              </w:rPr>
              <w:t>Value</w:t>
            </w:r>
          </w:p>
        </w:tc>
      </w:tr>
      <w:tr>
        <w:tc>
          <w:tcPr>
            <w:tcW w:type="dxa" w:w="4824"/>
          </w:tcPr>
          <w:p>
            <w:pPr>
              <w:spacing w:after="0"/>
            </w:pPr>
            <w:r/>
            <w:r>
              <w:rPr>
                <w:b w:val="0"/>
                <w:sz w:val="18"/>
              </w:rPr>
              <w:t>Name</w:t>
            </w:r>
          </w:p>
        </w:tc>
        <w:tc>
          <w:tcPr>
            <w:tcW w:type="dxa" w:w="4824"/>
          </w:tcPr>
          <w:p>
            <w:pPr>
              <w:spacing w:after="0"/>
            </w:pPr>
            <w:r/>
            <w:r>
              <w:rPr>
                <w:b w:val="0"/>
                <w:sz w:val="18"/>
              </w:rPr>
              <w:t>scp-siem-data-&lt;account-id&gt;</w:t>
            </w:r>
          </w:p>
        </w:tc>
      </w:tr>
      <w:tr>
        <w:tc>
          <w:tcPr>
            <w:tcW w:type="dxa" w:w="4824"/>
          </w:tcPr>
          <w:p>
            <w:pPr>
              <w:spacing w:after="0"/>
            </w:pPr>
            <w:r/>
            <w:r>
              <w:rPr>
                <w:b w:val="0"/>
                <w:sz w:val="18"/>
              </w:rPr>
              <w:t>Key prefixes</w:t>
            </w:r>
          </w:p>
        </w:tc>
        <w:tc>
          <w:tcPr>
            <w:tcW w:type="dxa" w:w="4824"/>
          </w:tcPr>
          <w:p>
            <w:pPr>
              <w:spacing w:after="0"/>
            </w:pPr>
            <w:r/>
            <w:r>
              <w:rPr>
                <w:b w:val="0"/>
                <w:sz w:val="18"/>
              </w:rPr>
              <w:t>raw/ · batch-views/ · athena-results/ · scripts/ · emr-logs/</w:t>
            </w:r>
          </w:p>
        </w:tc>
      </w:tr>
    </w:tbl>
    <w:p>
      <w:pPr>
        <w:spacing w:after="80"/>
      </w:pPr>
    </w:p>
    <w:p>
      <w:r>
        <w:rPr>
          <w:b w:val="0"/>
          <w:i w:val="0"/>
        </w:rPr>
        <w:t>Prefixes are created implicitly the first time something writes to them; no manual folder creation is required. raw/ is treated as immutable and append-only — nothing outside Firehose ever writes there.</w:t>
      </w:r>
    </w:p>
    <w:p>
      <w:pPr>
        <w:spacing w:before="200" w:after="80"/>
      </w:pPr>
      <w:r>
        <w:rPr>
          <w:b/>
          <w:color w:val="2E4A7D"/>
          <w:sz w:val="23"/>
        </w:rPr>
        <w:t>3.4 Kinesis Firehose</w:t>
      </w:r>
    </w:p>
    <w:tbl>
      <w:tblPr>
        <w:tblStyle w:val="LightGrid-Accent1"/>
        <w:tblW w:type="auto" w:w="0"/>
        <w:tblLook w:firstColumn="1" w:firstRow="1" w:lastColumn="0" w:lastRow="0" w:noHBand="0" w:noVBand="1" w:val="04A0"/>
      </w:tblPr>
      <w:tblGrid>
        <w:gridCol w:w="4824"/>
        <w:gridCol w:w="4824"/>
      </w:tblGrid>
      <w:tr>
        <w:tc>
          <w:tcPr>
            <w:tcW w:type="dxa" w:w="4824"/>
          </w:tcPr>
          <w:p>
            <w:pPr>
              <w:spacing w:after="0"/>
            </w:pPr>
            <w:r/>
            <w:r>
              <w:rPr>
                <w:b/>
                <w:sz w:val="18"/>
              </w:rPr>
              <w:t>Setting</w:t>
            </w:r>
          </w:p>
        </w:tc>
        <w:tc>
          <w:tcPr>
            <w:tcW w:type="dxa" w:w="4824"/>
          </w:tcPr>
          <w:p>
            <w:pPr>
              <w:spacing w:after="0"/>
            </w:pPr>
            <w:r/>
            <w:r>
              <w:rPr>
                <w:b/>
                <w:sz w:val="18"/>
              </w:rPr>
              <w:t>Value</w:t>
            </w:r>
          </w:p>
        </w:tc>
      </w:tr>
      <w:tr>
        <w:tc>
          <w:tcPr>
            <w:tcW w:type="dxa" w:w="4824"/>
          </w:tcPr>
          <w:p>
            <w:pPr>
              <w:spacing w:after="0"/>
            </w:pPr>
            <w:r/>
            <w:r>
              <w:rPr>
                <w:b w:val="0"/>
                <w:sz w:val="18"/>
              </w:rPr>
              <w:t>Name</w:t>
            </w:r>
          </w:p>
        </w:tc>
        <w:tc>
          <w:tcPr>
            <w:tcW w:type="dxa" w:w="4824"/>
          </w:tcPr>
          <w:p>
            <w:pPr>
              <w:spacing w:after="0"/>
            </w:pPr>
            <w:r/>
            <w:r>
              <w:rPr>
                <w:b w:val="0"/>
                <w:sz w:val="18"/>
              </w:rPr>
              <w:t>scp-siem-firehose</w:t>
            </w:r>
          </w:p>
        </w:tc>
      </w:tr>
      <w:tr>
        <w:tc>
          <w:tcPr>
            <w:tcW w:type="dxa" w:w="4824"/>
          </w:tcPr>
          <w:p>
            <w:pPr>
              <w:spacing w:after="0"/>
            </w:pPr>
            <w:r/>
            <w:r>
              <w:rPr>
                <w:b w:val="0"/>
                <w:sz w:val="18"/>
              </w:rPr>
              <w:t>Source</w:t>
            </w:r>
          </w:p>
        </w:tc>
        <w:tc>
          <w:tcPr>
            <w:tcW w:type="dxa" w:w="4824"/>
          </w:tcPr>
          <w:p>
            <w:pPr>
              <w:spacing w:after="0"/>
            </w:pPr>
            <w:r/>
            <w:r>
              <w:rPr>
                <w:b w:val="0"/>
                <w:sz w:val="18"/>
              </w:rPr>
              <w:t>Kinesis Data Stream scp-siem-stream</w:t>
            </w:r>
          </w:p>
        </w:tc>
      </w:tr>
      <w:tr>
        <w:tc>
          <w:tcPr>
            <w:tcW w:type="dxa" w:w="4824"/>
          </w:tcPr>
          <w:p>
            <w:pPr>
              <w:spacing w:after="0"/>
            </w:pPr>
            <w:r/>
            <w:r>
              <w:rPr>
                <w:b w:val="0"/>
                <w:sz w:val="18"/>
              </w:rPr>
              <w:t>Destination</w:t>
            </w:r>
          </w:p>
        </w:tc>
        <w:tc>
          <w:tcPr>
            <w:tcW w:type="dxa" w:w="4824"/>
          </w:tcPr>
          <w:p>
            <w:pPr>
              <w:spacing w:after="0"/>
            </w:pPr>
            <w:r/>
            <w:r>
              <w:rPr>
                <w:b w:val="0"/>
                <w:sz w:val="18"/>
              </w:rPr>
              <w:t>S3 raw/ (uncompressed)</w:t>
            </w:r>
          </w:p>
        </w:tc>
      </w:tr>
      <w:tr>
        <w:tc>
          <w:tcPr>
            <w:tcW w:type="dxa" w:w="4824"/>
          </w:tcPr>
          <w:p>
            <w:pPr>
              <w:spacing w:after="0"/>
            </w:pPr>
            <w:r/>
            <w:r>
              <w:rPr>
                <w:b w:val="0"/>
                <w:sz w:val="18"/>
              </w:rPr>
              <w:t>Buffer</w:t>
            </w:r>
          </w:p>
        </w:tc>
        <w:tc>
          <w:tcPr>
            <w:tcW w:type="dxa" w:w="4824"/>
          </w:tcPr>
          <w:p>
            <w:pPr>
              <w:spacing w:after="0"/>
            </w:pPr>
            <w:r/>
            <w:r>
              <w:rPr>
                <w:b w:val="0"/>
                <w:sz w:val="18"/>
              </w:rPr>
              <w:t>1 MiB or 60 s, whichever comes first</w:t>
            </w:r>
          </w:p>
        </w:tc>
      </w:tr>
    </w:tbl>
    <w:p>
      <w:pPr>
        <w:spacing w:after="80"/>
      </w:pPr>
    </w:p>
    <w:p>
      <w:r>
        <w:rPr>
          <w:b w:val="0"/>
          <w:i w:val="0"/>
        </w:rPr>
        <w:t>Console: Kinesis → Firehose → Create delivery stream, source = the Kinesis stream above, destination = the S3 bucket with prefix raw/. Accept the auto-created IAM delivery role.</w:t>
      </w:r>
    </w:p>
    <w:p>
      <w:pPr>
        <w:spacing w:before="200" w:after="80"/>
      </w:pPr>
      <w:r>
        <w:rPr>
          <w:b/>
          <w:color w:val="2E4A7D"/>
          <w:sz w:val="23"/>
        </w:rPr>
        <w:t>3.5 Lambda Function — Speed Layer</w:t>
      </w:r>
    </w:p>
    <w:tbl>
      <w:tblPr>
        <w:tblStyle w:val="LightGrid-Accent1"/>
        <w:tblW w:type="auto" w:w="0"/>
        <w:tblLook w:firstColumn="1" w:firstRow="1" w:lastColumn="0" w:lastRow="0" w:noHBand="0" w:noVBand="1" w:val="04A0"/>
      </w:tblPr>
      <w:tblGrid>
        <w:gridCol w:w="4824"/>
        <w:gridCol w:w="4824"/>
      </w:tblGrid>
      <w:tr>
        <w:tc>
          <w:tcPr>
            <w:tcW w:type="dxa" w:w="4824"/>
          </w:tcPr>
          <w:p>
            <w:pPr>
              <w:spacing w:after="0"/>
            </w:pPr>
            <w:r/>
            <w:r>
              <w:rPr>
                <w:b/>
                <w:sz w:val="18"/>
              </w:rPr>
              <w:t>Setting</w:t>
            </w:r>
          </w:p>
        </w:tc>
        <w:tc>
          <w:tcPr>
            <w:tcW w:type="dxa" w:w="4824"/>
          </w:tcPr>
          <w:p>
            <w:pPr>
              <w:spacing w:after="0"/>
            </w:pPr>
            <w:r/>
            <w:r>
              <w:rPr>
                <w:b/>
                <w:sz w:val="18"/>
              </w:rPr>
              <w:t>Value</w:t>
            </w:r>
          </w:p>
        </w:tc>
      </w:tr>
      <w:tr>
        <w:tc>
          <w:tcPr>
            <w:tcW w:type="dxa" w:w="4824"/>
          </w:tcPr>
          <w:p>
            <w:pPr>
              <w:spacing w:after="0"/>
            </w:pPr>
            <w:r/>
            <w:r>
              <w:rPr>
                <w:b w:val="0"/>
                <w:sz w:val="18"/>
              </w:rPr>
              <w:t>Name</w:t>
            </w:r>
          </w:p>
        </w:tc>
        <w:tc>
          <w:tcPr>
            <w:tcW w:type="dxa" w:w="4824"/>
          </w:tcPr>
          <w:p>
            <w:pPr>
              <w:spacing w:after="0"/>
            </w:pPr>
            <w:r/>
            <w:r>
              <w:rPr>
                <w:b w:val="0"/>
                <w:sz w:val="18"/>
              </w:rPr>
              <w:t>scp-siem-speed</w:t>
            </w:r>
          </w:p>
        </w:tc>
      </w:tr>
      <w:tr>
        <w:tc>
          <w:tcPr>
            <w:tcW w:type="dxa" w:w="4824"/>
          </w:tcPr>
          <w:p>
            <w:pPr>
              <w:spacing w:after="0"/>
            </w:pPr>
            <w:r/>
            <w:r>
              <w:rPr>
                <w:b w:val="0"/>
                <w:sz w:val="18"/>
              </w:rPr>
              <w:t>Runtime</w:t>
            </w:r>
          </w:p>
        </w:tc>
        <w:tc>
          <w:tcPr>
            <w:tcW w:type="dxa" w:w="4824"/>
          </w:tcPr>
          <w:p>
            <w:pPr>
              <w:spacing w:after="0"/>
            </w:pPr>
            <w:r/>
            <w:r>
              <w:rPr>
                <w:b w:val="0"/>
                <w:sz w:val="18"/>
              </w:rPr>
              <w:t>Python 3.13</w:t>
            </w:r>
          </w:p>
        </w:tc>
      </w:tr>
      <w:tr>
        <w:tc>
          <w:tcPr>
            <w:tcW w:type="dxa" w:w="4824"/>
          </w:tcPr>
          <w:p>
            <w:pPr>
              <w:spacing w:after="0"/>
            </w:pPr>
            <w:r/>
            <w:r>
              <w:rPr>
                <w:b w:val="0"/>
                <w:sz w:val="18"/>
              </w:rPr>
              <w:t>Memory</w:t>
            </w:r>
          </w:p>
        </w:tc>
        <w:tc>
          <w:tcPr>
            <w:tcW w:type="dxa" w:w="4824"/>
          </w:tcPr>
          <w:p>
            <w:pPr>
              <w:spacing w:after="0"/>
            </w:pPr>
            <w:r/>
            <w:r>
              <w:rPr>
                <w:b w:val="0"/>
                <w:sz w:val="18"/>
              </w:rPr>
              <w:t>256 MB</w:t>
            </w:r>
          </w:p>
        </w:tc>
      </w:tr>
      <w:tr>
        <w:tc>
          <w:tcPr>
            <w:tcW w:type="dxa" w:w="4824"/>
          </w:tcPr>
          <w:p>
            <w:pPr>
              <w:spacing w:after="0"/>
            </w:pPr>
            <w:r/>
            <w:r>
              <w:rPr>
                <w:b w:val="0"/>
                <w:sz w:val="18"/>
              </w:rPr>
              <w:t>Timeout</w:t>
            </w:r>
          </w:p>
        </w:tc>
        <w:tc>
          <w:tcPr>
            <w:tcW w:type="dxa" w:w="4824"/>
          </w:tcPr>
          <w:p>
            <w:pPr>
              <w:spacing w:after="0"/>
            </w:pPr>
            <w:r/>
            <w:r>
              <w:rPr>
                <w:b w:val="0"/>
                <w:sz w:val="18"/>
              </w:rPr>
              <w:t>30 s</w:t>
            </w:r>
          </w:p>
        </w:tc>
      </w:tr>
      <w:tr>
        <w:tc>
          <w:tcPr>
            <w:tcW w:type="dxa" w:w="4824"/>
          </w:tcPr>
          <w:p>
            <w:pPr>
              <w:spacing w:after="0"/>
            </w:pPr>
            <w:r/>
            <w:r>
              <w:rPr>
                <w:b w:val="0"/>
                <w:sz w:val="18"/>
              </w:rPr>
              <w:t>Environment variable</w:t>
            </w:r>
          </w:p>
        </w:tc>
        <w:tc>
          <w:tcPr>
            <w:tcW w:type="dxa" w:w="4824"/>
          </w:tcPr>
          <w:p>
            <w:pPr>
              <w:spacing w:after="0"/>
            </w:pPr>
            <w:r/>
            <w:r>
              <w:rPr>
                <w:b w:val="0"/>
                <w:sz w:val="18"/>
              </w:rPr>
              <w:t>ALERT_THRESHOLD=50</w:t>
            </w:r>
          </w:p>
        </w:tc>
      </w:tr>
      <w:tr>
        <w:tc>
          <w:tcPr>
            <w:tcW w:type="dxa" w:w="4824"/>
          </w:tcPr>
          <w:p>
            <w:pPr>
              <w:spacing w:after="0"/>
            </w:pPr>
            <w:r/>
            <w:r>
              <w:rPr>
                <w:b w:val="0"/>
                <w:sz w:val="18"/>
              </w:rPr>
              <w:t>Execution role</w:t>
            </w:r>
          </w:p>
        </w:tc>
        <w:tc>
          <w:tcPr>
            <w:tcW w:type="dxa" w:w="4824"/>
          </w:tcPr>
          <w:p>
            <w:pPr>
              <w:spacing w:after="0"/>
            </w:pPr>
            <w:r/>
            <w:r>
              <w:rPr>
                <w:b w:val="0"/>
                <w:sz w:val="18"/>
              </w:rPr>
              <w:t>scp-siem-lambda-speed-role (§2)</w:t>
            </w:r>
          </w:p>
        </w:tc>
      </w:tr>
      <w:tr>
        <w:tc>
          <w:tcPr>
            <w:tcW w:type="dxa" w:w="4824"/>
          </w:tcPr>
          <w:p>
            <w:pPr>
              <w:spacing w:after="0"/>
            </w:pPr>
            <w:r/>
            <w:r>
              <w:rPr>
                <w:b w:val="0"/>
                <w:sz w:val="18"/>
              </w:rPr>
              <w:t>Trigger</w:t>
            </w:r>
          </w:p>
        </w:tc>
        <w:tc>
          <w:tcPr>
            <w:tcW w:type="dxa" w:w="4824"/>
          </w:tcPr>
          <w:p>
            <w:pPr>
              <w:spacing w:after="0"/>
            </w:pPr>
            <w:r/>
            <w:r>
              <w:rPr>
                <w:b w:val="0"/>
                <w:sz w:val="18"/>
              </w:rPr>
              <w:t>Kinesis event source: scp-siem-stream, batch size 100, starting position LATEST</w:t>
            </w:r>
          </w:p>
        </w:tc>
      </w:tr>
    </w:tbl>
    <w:p>
      <w:pPr>
        <w:spacing w:after="80"/>
      </w:pPr>
    </w:p>
    <w:p>
      <w:r>
        <w:rPr>
          <w:b w:val="0"/>
          <w:i w:val="0"/>
        </w:rPr>
        <w:t>Deploy speed/lambda_function.py through the console code editor or a zip upload. Memory was raised from the console default of 128 MB to 256 MB before any benchmarking, because Lambda scales allocated CPU with memory and 128 MB ran at ~73% utilisation — doubling memory roughly halves reported Duration.</w:t>
      </w:r>
    </w:p>
    <w:p>
      <w:pPr>
        <w:spacing w:before="320" w:after="120"/>
      </w:pPr>
      <w:r>
        <w:rPr>
          <w:b/>
          <w:color w:val="1F3763"/>
          <w:sz w:val="28"/>
        </w:rPr>
        <w:t>4. Batch Layer — Amazon EMR</w:t>
      </w:r>
    </w:p>
    <w:p>
      <w:pPr>
        <w:spacing w:before="200" w:after="80"/>
      </w:pPr>
      <w:r>
        <w:rPr>
          <w:b/>
          <w:color w:val="2E4A7D"/>
          <w:sz w:val="23"/>
        </w:rPr>
        <w:t>4.1 Cluster Configuration</w:t>
      </w:r>
    </w:p>
    <w:tbl>
      <w:tblPr>
        <w:tblStyle w:val="LightGrid-Accent1"/>
        <w:tblW w:type="auto" w:w="0"/>
        <w:tblLook w:firstColumn="1" w:firstRow="1" w:lastColumn="0" w:lastRow="0" w:noHBand="0" w:noVBand="1" w:val="04A0"/>
      </w:tblPr>
      <w:tblGrid>
        <w:gridCol w:w="4824"/>
        <w:gridCol w:w="4824"/>
      </w:tblGrid>
      <w:tr>
        <w:tc>
          <w:tcPr>
            <w:tcW w:type="dxa" w:w="4824"/>
          </w:tcPr>
          <w:p>
            <w:pPr>
              <w:spacing w:after="0"/>
            </w:pPr>
            <w:r/>
            <w:r>
              <w:rPr>
                <w:b/>
                <w:sz w:val="18"/>
              </w:rPr>
              <w:t>Setting</w:t>
            </w:r>
          </w:p>
        </w:tc>
        <w:tc>
          <w:tcPr>
            <w:tcW w:type="dxa" w:w="4824"/>
          </w:tcPr>
          <w:p>
            <w:pPr>
              <w:spacing w:after="0"/>
            </w:pPr>
            <w:r/>
            <w:r>
              <w:rPr>
                <w:b/>
                <w:sz w:val="18"/>
              </w:rPr>
              <w:t>Value</w:t>
            </w:r>
          </w:p>
        </w:tc>
      </w:tr>
      <w:tr>
        <w:tc>
          <w:tcPr>
            <w:tcW w:type="dxa" w:w="4824"/>
          </w:tcPr>
          <w:p>
            <w:pPr>
              <w:spacing w:after="0"/>
            </w:pPr>
            <w:r/>
            <w:r>
              <w:rPr>
                <w:b w:val="0"/>
                <w:sz w:val="18"/>
              </w:rPr>
              <w:t>EMR release</w:t>
            </w:r>
          </w:p>
        </w:tc>
        <w:tc>
          <w:tcPr>
            <w:tcW w:type="dxa" w:w="4824"/>
          </w:tcPr>
          <w:p>
            <w:pPr>
              <w:spacing w:after="0"/>
            </w:pPr>
            <w:r/>
            <w:r>
              <w:rPr>
                <w:b w:val="0"/>
                <w:sz w:val="18"/>
              </w:rPr>
              <w:t>emr-7.13.0 (Spark 3.5.6, Hadoop 3.4.2)</w:t>
            </w:r>
          </w:p>
        </w:tc>
      </w:tr>
      <w:tr>
        <w:tc>
          <w:tcPr>
            <w:tcW w:type="dxa" w:w="4824"/>
          </w:tcPr>
          <w:p>
            <w:pPr>
              <w:spacing w:after="0"/>
            </w:pPr>
            <w:r/>
            <w:r>
              <w:rPr>
                <w:b w:val="0"/>
                <w:sz w:val="18"/>
              </w:rPr>
              <w:t>Applications</w:t>
            </w:r>
          </w:p>
        </w:tc>
        <w:tc>
          <w:tcPr>
            <w:tcW w:type="dxa" w:w="4824"/>
          </w:tcPr>
          <w:p>
            <w:pPr>
              <w:spacing w:after="0"/>
            </w:pPr>
            <w:r/>
            <w:r>
              <w:rPr>
                <w:b w:val="0"/>
                <w:sz w:val="18"/>
              </w:rPr>
              <w:t>Spark, Hadoop</w:t>
            </w:r>
          </w:p>
        </w:tc>
      </w:tr>
      <w:tr>
        <w:tc>
          <w:tcPr>
            <w:tcW w:type="dxa" w:w="4824"/>
          </w:tcPr>
          <w:p>
            <w:pPr>
              <w:spacing w:after="0"/>
            </w:pPr>
            <w:r/>
            <w:r>
              <w:rPr>
                <w:b w:val="0"/>
                <w:sz w:val="18"/>
              </w:rPr>
              <w:t>Primary node</w:t>
            </w:r>
          </w:p>
        </w:tc>
        <w:tc>
          <w:tcPr>
            <w:tcW w:type="dxa" w:w="4824"/>
          </w:tcPr>
          <w:p>
            <w:pPr>
              <w:spacing w:after="0"/>
            </w:pPr>
            <w:r/>
            <w:r>
              <w:rPr>
                <w:b w:val="0"/>
                <w:sz w:val="18"/>
              </w:rPr>
              <w:t>1 × m5.xlarge, On-Demand</w:t>
            </w:r>
          </w:p>
        </w:tc>
      </w:tr>
      <w:tr>
        <w:tc>
          <w:tcPr>
            <w:tcW w:type="dxa" w:w="4824"/>
          </w:tcPr>
          <w:p>
            <w:pPr>
              <w:spacing w:after="0"/>
            </w:pPr>
            <w:r/>
            <w:r>
              <w:rPr>
                <w:b w:val="0"/>
                <w:sz w:val="18"/>
              </w:rPr>
              <w:t>Core nodes</w:t>
            </w:r>
          </w:p>
        </w:tc>
        <w:tc>
          <w:tcPr>
            <w:tcW w:type="dxa" w:w="4824"/>
          </w:tcPr>
          <w:p>
            <w:pPr>
              <w:spacing w:after="0"/>
            </w:pPr>
            <w:r/>
            <w:r>
              <w:rPr>
                <w:b w:val="0"/>
                <w:sz w:val="18"/>
              </w:rPr>
              <w:t>1–7 × m5.xlarge (varies by purpose — see §4.2)</w:t>
            </w:r>
          </w:p>
        </w:tc>
      </w:tr>
      <w:tr>
        <w:tc>
          <w:tcPr>
            <w:tcW w:type="dxa" w:w="4824"/>
          </w:tcPr>
          <w:p>
            <w:pPr>
              <w:spacing w:after="0"/>
            </w:pPr>
            <w:r/>
            <w:r>
              <w:rPr>
                <w:b w:val="0"/>
                <w:sz w:val="18"/>
              </w:rPr>
              <w:t>Instance collection type</w:t>
            </w:r>
          </w:p>
        </w:tc>
        <w:tc>
          <w:tcPr>
            <w:tcW w:type="dxa" w:w="4824"/>
          </w:tcPr>
          <w:p>
            <w:pPr>
              <w:spacing w:after="0"/>
            </w:pPr>
            <w:r/>
            <w:r>
              <w:rPr>
                <w:b w:val="0"/>
                <w:sz w:val="18"/>
              </w:rPr>
              <w:t>Instance groups (required for custom auto-scaling)</w:t>
            </w:r>
          </w:p>
        </w:tc>
      </w:tr>
      <w:tr>
        <w:tc>
          <w:tcPr>
            <w:tcW w:type="dxa" w:w="4824"/>
          </w:tcPr>
          <w:p>
            <w:pPr>
              <w:spacing w:after="0"/>
            </w:pPr>
            <w:r/>
            <w:r>
              <w:rPr>
                <w:b w:val="0"/>
                <w:sz w:val="18"/>
              </w:rPr>
              <w:t>Subnet</w:t>
            </w:r>
          </w:p>
        </w:tc>
        <w:tc>
          <w:tcPr>
            <w:tcW w:type="dxa" w:w="4824"/>
          </w:tcPr>
          <w:p>
            <w:pPr>
              <w:spacing w:after="0"/>
            </w:pPr>
            <w:r/>
            <w:r>
              <w:rPr>
                <w:b w:val="0"/>
                <w:sz w:val="18"/>
              </w:rPr>
              <w:t>A public subnet, no NAT gateway</w:t>
            </w:r>
          </w:p>
        </w:tc>
      </w:tr>
      <w:tr>
        <w:tc>
          <w:tcPr>
            <w:tcW w:type="dxa" w:w="4824"/>
          </w:tcPr>
          <w:p>
            <w:pPr>
              <w:spacing w:after="0"/>
            </w:pPr>
            <w:r/>
            <w:r>
              <w:rPr>
                <w:b w:val="0"/>
                <w:sz w:val="18"/>
              </w:rPr>
              <w:t>Auto-termination</w:t>
            </w:r>
          </w:p>
        </w:tc>
        <w:tc>
          <w:tcPr>
            <w:tcW w:type="dxa" w:w="4824"/>
          </w:tcPr>
          <w:p>
            <w:pPr>
              <w:spacing w:after="0"/>
            </w:pPr>
            <w:r/>
            <w:r>
              <w:rPr>
                <w:b w:val="0"/>
                <w:sz w:val="18"/>
              </w:rPr>
              <w:t>1 h idle, always enabled</w:t>
            </w:r>
          </w:p>
        </w:tc>
      </w:tr>
    </w:tbl>
    <w:p>
      <w:pPr>
        <w:spacing w:after="80"/>
      </w:pPr>
    </w:p>
    <w:p>
      <w:r>
        <w:rPr>
          <w:b w:val="0"/>
          <w:i w:val="0"/>
        </w:rPr>
        <w:t>EMR is the only ephemeral resource in this project. It is launched on demand, used for a single job or benchmark run, and terminated immediately afterward — it is by far the largest per-hour cost line (~$0.35/h at 1+1 nodes, ~$1.54/h at 1+7).</w:t>
      </w:r>
    </w:p>
    <w:p>
      <w:pPr>
        <w:spacing w:before="200" w:after="80"/>
      </w:pPr>
      <w:r>
        <w:rPr>
          <w:b/>
          <w:color w:val="2E4A7D"/>
          <w:sz w:val="23"/>
        </w:rPr>
        <w:t>4.2 Purchasing Option — On-Demand vs. Spot</w:t>
      </w:r>
    </w:p>
    <w:p>
      <w:r>
        <w:rPr>
          <w:b w:val="0"/>
          <w:i w:val="0"/>
        </w:rPr>
        <w:t>Core nodes may run on Spot for exploratory work, but must run On-Demand for any measurement that has to complete in one uninterrupted pass. Spot capacity was reclaimed mid-run during this project, terminating the entire cluster — losing all core nodes ends the cluster outright, not just the reclaimed instance. The cost difference for a benchmark-length run is on the order of $1, which is cheap insurance against losing hours of measurement time.</w:t>
      </w:r>
    </w:p>
    <w:p>
      <w:pPr>
        <w:spacing w:before="200" w:after="80"/>
      </w:pPr>
      <w:r>
        <w:rPr>
          <w:b/>
          <w:color w:val="2E4A7D"/>
          <w:sz w:val="23"/>
        </w:rPr>
        <w:t>4.3 EMR Instance Profile — S3 Access</w:t>
      </w:r>
    </w:p>
    <w:p>
      <w:r>
        <w:rPr>
          <w:b w:val="0"/>
          <w:i w:val="0"/>
        </w:rPr>
        <w:t>The auto-generated EMR instance-profile role needs an inline policy granting S3 access, or every Spark step fails with a 403 error:</w:t>
      </w:r>
    </w:p>
    <w:p>
      <w:pPr>
        <w:spacing w:before="40" w:after="160"/>
        <w:ind w:left="432"/>
        <w:shd w:fill="F2F2F2"/>
      </w:pPr>
      <w:r>
        <w:rPr>
          <w:rFonts w:ascii="Consolas" w:hAnsi="Consolas"/>
          <w:color w:val="1A1A1A"/>
          <w:sz w:val="18"/>
        </w:rPr>
        <w:t>{</w:t>
      </w:r>
      <w:r>
        <w:rPr>
          <w:rFonts w:ascii="Consolas" w:hAnsi="Consolas"/>
          <w:color w:val="1A1A1A"/>
          <w:sz w:val="18"/>
        </w:rPr>
        <w:br/>
        <w:t xml:space="preserve">  "Version": "2012-10-17",</w:t>
      </w:r>
      <w:r>
        <w:rPr>
          <w:rFonts w:ascii="Consolas" w:hAnsi="Consolas"/>
          <w:color w:val="1A1A1A"/>
          <w:sz w:val="18"/>
        </w:rPr>
        <w:br/>
        <w:t xml:space="preserve">  "Statement": [</w:t>
      </w:r>
      <w:r>
        <w:rPr>
          <w:rFonts w:ascii="Consolas" w:hAnsi="Consolas"/>
          <w:color w:val="1A1A1A"/>
          <w:sz w:val="18"/>
        </w:rPr>
        <w:br/>
        <w:t xml:space="preserve">    { "Effect": "Allow",</w:t>
      </w:r>
      <w:r>
        <w:rPr>
          <w:rFonts w:ascii="Consolas" w:hAnsi="Consolas"/>
          <w:color w:val="1A1A1A"/>
          <w:sz w:val="18"/>
        </w:rPr>
        <w:br/>
        <w:t xml:space="preserve">      "Action": ["s3:GetObject","s3:PutObject","s3:DeleteObject"],</w:t>
      </w:r>
      <w:r>
        <w:rPr>
          <w:rFonts w:ascii="Consolas" w:hAnsi="Consolas"/>
          <w:color w:val="1A1A1A"/>
          <w:sz w:val="18"/>
        </w:rPr>
        <w:br/>
        <w:t xml:space="preserve">      "Resource": "arn:aws:s3:::scp-siem-data-&lt;account-id&gt;/*" },</w:t>
      </w:r>
      <w:r>
        <w:rPr>
          <w:rFonts w:ascii="Consolas" w:hAnsi="Consolas"/>
          <w:color w:val="1A1A1A"/>
          <w:sz w:val="18"/>
        </w:rPr>
        <w:br/>
        <w:t xml:space="preserve">    { "Effect": "Allow",</w:t>
      </w:r>
      <w:r>
        <w:rPr>
          <w:rFonts w:ascii="Consolas" w:hAnsi="Consolas"/>
          <w:color w:val="1A1A1A"/>
          <w:sz w:val="18"/>
        </w:rPr>
        <w:br/>
        <w:t xml:space="preserve">      "Action": ["s3:ListBucket","s3:GetBucketLocation"],</w:t>
      </w:r>
      <w:r>
        <w:rPr>
          <w:rFonts w:ascii="Consolas" w:hAnsi="Consolas"/>
          <w:color w:val="1A1A1A"/>
          <w:sz w:val="18"/>
        </w:rPr>
        <w:br/>
        <w:t xml:space="preserve">      "Resource": "arn:aws:s3:::scp-siem-data-&lt;account-id&gt;" }</w:t>
      </w:r>
      <w:r>
        <w:rPr>
          <w:rFonts w:ascii="Consolas" w:hAnsi="Consolas"/>
          <w:color w:val="1A1A1A"/>
          <w:sz w:val="18"/>
        </w:rPr>
        <w:br/>
        <w:t xml:space="preserve">  ]</w:t>
      </w:r>
      <w:r>
        <w:rPr>
          <w:rFonts w:ascii="Consolas" w:hAnsi="Consolas"/>
          <w:color w:val="1A1A1A"/>
          <w:sz w:val="18"/>
        </w:rPr>
        <w:br/>
        <w:t>}</w:t>
      </w:r>
    </w:p>
    <w:p>
      <w:r>
        <w:rPr>
          <w:b w:val="0"/>
          <w:i w:val="0"/>
        </w:rPr>
        <w:t>Both statements are required. The bucket-level ListBucket permission is what Spark uses to enumerate files before reading; omitting it alone still produces the 403.</w:t>
      </w:r>
    </w:p>
    <w:p>
      <w:pPr>
        <w:spacing w:before="200" w:after="80"/>
      </w:pPr>
      <w:r>
        <w:rPr>
          <w:b/>
          <w:color w:val="2E4A7D"/>
          <w:sz w:val="23"/>
        </w:rPr>
        <w:t>4.4 Known Failure Modes and Fixes</w:t>
      </w:r>
    </w:p>
    <w:p>
      <w:r>
        <w:rPr>
          <w:b w:val="0"/>
          <w:i w:val="0"/>
        </w:rPr>
        <w:t>Four issues consumed most of the setup time on the first cluster. Documenting them here made every subsequent cluster launch take minutes rather than hours.</w:t>
      </w:r>
    </w:p>
    <w:p>
      <w:pPr>
        <w:pStyle w:val="ListNumber"/>
        <w:spacing w:after="60"/>
      </w:pPr>
      <w:r>
        <w:t>“Service-linked role AWSServiceRoleForEC2Spot is required” — the account had never launched a Spot instance. One-time fix: aws iam create-service-linked-role --aws-service-name spot.amazonaws.com (or use On-Demand core nodes to avoid the dependency entirely).</w:t>
      </w:r>
    </w:p>
    <w:p>
      <w:pPr>
        <w:pStyle w:val="ListNumber"/>
        <w:spacing w:after="60"/>
      </w:pPr>
      <w:r>
        <w:t>Step fails with S3 403 Forbidden — the EMR instance profile (not the service role — a different role) lacked the inline S3 policy in §4.3.</w:t>
      </w:r>
    </w:p>
    <w:p>
      <w:pPr>
        <w:pStyle w:val="ListNumber"/>
        <w:spacing w:after="60"/>
      </w:pPr>
      <w:r>
        <w:t>“Failed to get main class in JAR ... (Is a directory)” — the step's Application location was a prefix, not the full object key. It must include the filename, e.g. s3://&lt;bucket&gt;/scripts/spark_batch.py. Use Deploy mode = Client so driver print() output lands in the step's own stdout log rather than being buried in YARN container logs.</w:t>
      </w:r>
    </w:p>
    <w:p>
      <w:pPr>
        <w:pStyle w:val="ListNumber"/>
        <w:spacing w:after="60"/>
      </w:pPr>
      <w:r>
        <w:t>“[UNABLE_TO_INFER_SCHEMA] Unable to infer schema for JSON” — not a data problem. Firehose writes into nested raw/yyyy/MM/dd/HH/ directories, and neither Spark nor Hadoop Streaming descends into subdirectories by default. Spark needs .option("recursiveFileLookup", "true"); Hadoop Streaming needs -D mapreduce.input.fileinputformat.input.dir.recursive=true as its first argument.</w:t>
      </w:r>
    </w:p>
    <w:p>
      <w:pPr>
        <w:spacing w:before="200" w:after="80"/>
      </w:pPr>
      <w:r>
        <w:rPr>
          <w:b/>
          <w:color w:val="2E4A7D"/>
          <w:sz w:val="23"/>
        </w:rPr>
        <w:t>4.5 Submitting a Job (Console Step)</w:t>
      </w:r>
    </w:p>
    <w:p>
      <w:r>
        <w:rPr>
          <w:b w:val="0"/>
          <w:i w:val="0"/>
        </w:rPr>
        <w:t>Step type: Custom JAR, JAR location: command-runner.jar. Arguments field, exactly once (a cloned step pre-fills the prefix, and pasting a full command on top duplicates it):</w:t>
      </w:r>
    </w:p>
    <w:p>
      <w:pPr>
        <w:spacing w:before="40" w:after="160"/>
        <w:ind w:left="432"/>
        <w:shd w:fill="F2F2F2"/>
      </w:pPr>
      <w:r>
        <w:rPr>
          <w:rFonts w:ascii="Consolas" w:hAnsi="Consolas"/>
          <w:color w:val="1A1A1A"/>
          <w:sz w:val="18"/>
        </w:rPr>
        <w:t>spark-submit --deploy-mode client \</w:t>
      </w:r>
      <w:r>
        <w:rPr>
          <w:rFonts w:ascii="Consolas" w:hAnsi="Consolas"/>
          <w:color w:val="1A1A1A"/>
          <w:sz w:val="18"/>
        </w:rPr>
        <w:br/>
        <w:t xml:space="preserve">  s3://&lt;bucket&gt;/scripts/spark_batch.py \</w:t>
      </w:r>
      <w:r>
        <w:rPr>
          <w:rFonts w:ascii="Consolas" w:hAnsi="Consolas"/>
          <w:color w:val="1A1A1A"/>
          <w:sz w:val="18"/>
        </w:rPr>
        <w:br/>
        <w:t xml:space="preserve">  s3://&lt;bucket&gt;/raw/&lt;partition&gt;/ \</w:t>
      </w:r>
      <w:r>
        <w:rPr>
          <w:rFonts w:ascii="Consolas" w:hAnsi="Consolas"/>
          <w:color w:val="1A1A1A"/>
          <w:sz w:val="18"/>
        </w:rPr>
        <w:br/>
        <w:t xml:space="preserve">  s3://&lt;bucket&gt;/batch-views/full/</w:t>
      </w:r>
    </w:p>
    <w:p>
      <w:r>
        <w:rPr>
          <w:b w:val="0"/>
          <w:i w:val="0"/>
        </w:rPr>
        <w:t>For the Hadoop Streaming MapReduce variant:</w:t>
      </w:r>
    </w:p>
    <w:p>
      <w:pPr>
        <w:spacing w:before="40" w:after="160"/>
        <w:ind w:left="432"/>
        <w:shd w:fill="F2F2F2"/>
      </w:pPr>
      <w:r>
        <w:rPr>
          <w:rFonts w:ascii="Consolas" w:hAnsi="Consolas"/>
          <w:color w:val="1A1A1A"/>
          <w:sz w:val="18"/>
        </w:rPr>
        <w:t>hadoop-streaming \</w:t>
      </w:r>
      <w:r>
        <w:rPr>
          <w:rFonts w:ascii="Consolas" w:hAnsi="Consolas"/>
          <w:color w:val="1A1A1A"/>
          <w:sz w:val="18"/>
        </w:rPr>
        <w:br/>
        <w:t xml:space="preserve">  -D mapreduce.input.fileinputformat.input.dir.recursive=true \</w:t>
      </w:r>
      <w:r>
        <w:rPr>
          <w:rFonts w:ascii="Consolas" w:hAnsi="Consolas"/>
          <w:color w:val="1A1A1A"/>
          <w:sz w:val="18"/>
        </w:rPr>
        <w:br/>
        <w:t xml:space="preserve">  -files s3://&lt;bucket&gt;/scripts/mapper.py,s3://&lt;bucket&gt;/scripts/reducer.py \</w:t>
      </w:r>
      <w:r>
        <w:rPr>
          <w:rFonts w:ascii="Consolas" w:hAnsi="Consolas"/>
          <w:color w:val="1A1A1A"/>
          <w:sz w:val="18"/>
        </w:rPr>
        <w:br/>
        <w:t xml:space="preserve">  -mapper mapper.py -reducer reducer.py \</w:t>
      </w:r>
      <w:r>
        <w:rPr>
          <w:rFonts w:ascii="Consolas" w:hAnsi="Consolas"/>
          <w:color w:val="1A1A1A"/>
          <w:sz w:val="18"/>
        </w:rPr>
        <w:br/>
        <w:t xml:space="preserve">  -input  s3://&lt;bucket&gt;/raw/&lt;partition&gt;/ \</w:t>
      </w:r>
      <w:r>
        <w:rPr>
          <w:rFonts w:ascii="Consolas" w:hAnsi="Consolas"/>
          <w:color w:val="1A1A1A"/>
          <w:sz w:val="18"/>
        </w:rPr>
        <w:br/>
        <w:t xml:space="preserve">  -output s3://&lt;bucket&gt;/batch-views/mr/</w:t>
      </w:r>
    </w:p>
    <w:p>
      <w:pPr>
        <w:spacing w:before="200" w:after="80"/>
      </w:pPr>
      <w:r>
        <w:rPr>
          <w:b/>
          <w:color w:val="2E4A7D"/>
          <w:sz w:val="23"/>
        </w:rPr>
        <w:t>4.6 Custom Automatic Scaling</w:t>
      </w:r>
    </w:p>
    <w:p>
      <w:r>
        <w:rPr>
          <w:b w:val="0"/>
          <w:i w:val="0"/>
        </w:rPr>
        <w:t>Applied to the core instance group only, bounds 1–7 instances. Requires the EMR_AutoScaling_DefaultRole from §2 and instance groups rather than instance fleets.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pPr>
              <w:spacing w:after="0"/>
            </w:pPr>
            <w:r/>
            <w:r>
              <w:rPr>
                <w:b/>
                <w:sz w:val="18"/>
              </w:rPr>
              <w:t>Rule</w:t>
            </w:r>
          </w:p>
        </w:tc>
        <w:tc>
          <w:tcPr>
            <w:tcW w:type="dxa" w:w="1930"/>
          </w:tcPr>
          <w:p>
            <w:pPr>
              <w:spacing w:after="0"/>
            </w:pPr>
            <w:r/>
            <w:r>
              <w:rPr>
                <w:b/>
                <w:sz w:val="18"/>
              </w:rPr>
              <w:t>Metric</w:t>
            </w:r>
          </w:p>
        </w:tc>
        <w:tc>
          <w:tcPr>
            <w:tcW w:type="dxa" w:w="1930"/>
          </w:tcPr>
          <w:p>
            <w:pPr>
              <w:spacing w:after="0"/>
            </w:pPr>
            <w:r/>
            <w:r>
              <w:rPr>
                <w:b/>
                <w:sz w:val="18"/>
              </w:rPr>
              <w:t>Condition</w:t>
            </w:r>
          </w:p>
        </w:tc>
        <w:tc>
          <w:tcPr>
            <w:tcW w:type="dxa" w:w="1930"/>
          </w:tcPr>
          <w:p>
            <w:pPr>
              <w:spacing w:after="0"/>
            </w:pPr>
            <w:r/>
            <w:r>
              <w:rPr>
                <w:b/>
                <w:sz w:val="18"/>
              </w:rPr>
              <w:t>Action</w:t>
            </w:r>
          </w:p>
        </w:tc>
        <w:tc>
          <w:tcPr>
            <w:tcW w:type="dxa" w:w="1930"/>
          </w:tcPr>
          <w:p>
            <w:pPr>
              <w:spacing w:after="0"/>
            </w:pPr>
            <w:r/>
            <w:r>
              <w:rPr>
                <w:b/>
                <w:sz w:val="18"/>
              </w:rPr>
              <w:t>Cooldown</w:t>
            </w:r>
          </w:p>
        </w:tc>
      </w:tr>
      <w:tr>
        <w:tc>
          <w:tcPr>
            <w:tcW w:type="dxa" w:w="1930"/>
          </w:tcPr>
          <w:p>
            <w:pPr>
              <w:spacing w:after="0"/>
            </w:pPr>
            <w:r/>
            <w:r>
              <w:rPr>
                <w:b w:val="0"/>
                <w:sz w:val="18"/>
              </w:rPr>
              <w:t>Scale out</w:t>
            </w:r>
          </w:p>
        </w:tc>
        <w:tc>
          <w:tcPr>
            <w:tcW w:type="dxa" w:w="1930"/>
          </w:tcPr>
          <w:p>
            <w:pPr>
              <w:spacing w:after="0"/>
            </w:pPr>
            <w:r/>
            <w:r>
              <w:rPr>
                <w:b w:val="0"/>
                <w:sz w:val="18"/>
              </w:rPr>
              <w:t>ContainerPendingRatio</w:t>
            </w:r>
          </w:p>
        </w:tc>
        <w:tc>
          <w:tcPr>
            <w:tcW w:type="dxa" w:w="1930"/>
          </w:tcPr>
          <w:p>
            <w:pPr>
              <w:spacing w:after="0"/>
            </w:pPr>
            <w:r/>
            <w:r>
              <w:rPr>
                <w:b w:val="0"/>
                <w:sz w:val="18"/>
              </w:rPr>
              <w:t>≥ 0.75 for 1 × 300 s</w:t>
            </w:r>
          </w:p>
        </w:tc>
        <w:tc>
          <w:tcPr>
            <w:tcW w:type="dxa" w:w="1930"/>
          </w:tcPr>
          <w:p>
            <w:pPr>
              <w:spacing w:after="0"/>
            </w:pPr>
            <w:r/>
            <w:r>
              <w:rPr>
                <w:b w:val="0"/>
                <w:sz w:val="18"/>
              </w:rPr>
              <w:t>+2 instances</w:t>
            </w:r>
          </w:p>
        </w:tc>
        <w:tc>
          <w:tcPr>
            <w:tcW w:type="dxa" w:w="1930"/>
          </w:tcPr>
          <w:p>
            <w:pPr>
              <w:spacing w:after="0"/>
            </w:pPr>
            <w:r/>
            <w:r>
              <w:rPr>
                <w:b w:val="0"/>
                <w:sz w:val="18"/>
              </w:rPr>
              <w:t>300 s</w:t>
            </w:r>
          </w:p>
        </w:tc>
      </w:tr>
      <w:tr>
        <w:tc>
          <w:tcPr>
            <w:tcW w:type="dxa" w:w="1930"/>
          </w:tcPr>
          <w:p>
            <w:pPr>
              <w:spacing w:after="0"/>
            </w:pPr>
            <w:r/>
            <w:r>
              <w:rPr>
                <w:b w:val="0"/>
                <w:sz w:val="18"/>
              </w:rPr>
              <w:t>Scale in</w:t>
            </w:r>
          </w:p>
        </w:tc>
        <w:tc>
          <w:tcPr>
            <w:tcW w:type="dxa" w:w="1930"/>
          </w:tcPr>
          <w:p>
            <w:pPr>
              <w:spacing w:after="0"/>
            </w:pPr>
            <w:r/>
            <w:r>
              <w:rPr>
                <w:b w:val="0"/>
                <w:sz w:val="18"/>
              </w:rPr>
              <w:t>YARNMemoryAvailablePercentage</w:t>
            </w:r>
          </w:p>
        </w:tc>
        <w:tc>
          <w:tcPr>
            <w:tcW w:type="dxa" w:w="1930"/>
          </w:tcPr>
          <w:p>
            <w:pPr>
              <w:spacing w:after="0"/>
            </w:pPr>
            <w:r/>
            <w:r>
              <w:rPr>
                <w:b w:val="0"/>
                <w:sz w:val="18"/>
              </w:rPr>
              <w:t>≥ 75% for 1 × 300 s</w:t>
            </w:r>
          </w:p>
        </w:tc>
        <w:tc>
          <w:tcPr>
            <w:tcW w:type="dxa" w:w="1930"/>
          </w:tcPr>
          <w:p>
            <w:pPr>
              <w:spacing w:after="0"/>
            </w:pPr>
            <w:r/>
            <w:r>
              <w:rPr>
                <w:b w:val="0"/>
                <w:sz w:val="18"/>
              </w:rPr>
              <w:t>−1 instance</w:t>
            </w:r>
          </w:p>
        </w:tc>
        <w:tc>
          <w:tcPr>
            <w:tcW w:type="dxa" w:w="1930"/>
          </w:tcPr>
          <w:p>
            <w:pPr>
              <w:spacing w:after="0"/>
            </w:pPr>
            <w:r/>
            <w:r>
              <w:rPr>
                <w:b w:val="0"/>
                <w:sz w:val="18"/>
              </w:rPr>
              <w:t>300 s</w:t>
            </w:r>
          </w:p>
        </w:tc>
      </w:tr>
    </w:tbl>
    <w:p>
      <w:pPr>
        <w:spacing w:after="80"/>
      </w:pPr>
    </w:p>
    <w:p>
      <w:r>
        <w:rPr>
          <w:b w:val="0"/>
          <w:i w:val="0"/>
        </w:rPr>
        <w:t>Custom scaling was chosen over EMR-managed scaling specifically because it lets the operator state the exact metric and threshold, rather than relying on an opaque AWS-internal heuristic. The two mechanisms are mutually exclusive on one cluster, and must not both be active. Any auto-scaling mode must be disabled while running a fixed-node-count benchmark — a mid-run resize invalidates the measurement.</w:t>
      </w:r>
    </w:p>
    <w:p>
      <w:pPr>
        <w:spacing w:before="200" w:after="80"/>
      </w:pPr>
      <w:r>
        <w:rPr>
          <w:b/>
          <w:color w:val="2E4A7D"/>
          <w:sz w:val="23"/>
        </w:rPr>
        <w:t>4.7 Cluster Relaunch Checklist</w:t>
      </w:r>
    </w:p>
    <w:p>
      <w:pPr>
        <w:pStyle w:val="ListNumber"/>
        <w:spacing w:after="60"/>
      </w:pPr>
      <w:r>
        <w:t>Clone the previous cluster configuration; answer NO to “include steps”, or the entire historical step list replays.</w:t>
      </w:r>
    </w:p>
    <w:p>
      <w:pPr>
        <w:pStyle w:val="ListNumber"/>
        <w:spacing w:after="60"/>
      </w:pPr>
      <w:r>
        <w:t>Set the core node count for the task at hand.</w:t>
      </w:r>
    </w:p>
    <w:p>
      <w:pPr>
        <w:pStyle w:val="ListNumber"/>
        <w:spacing w:after="60"/>
      </w:pPr>
      <w:r>
        <w:t>Set the purchasing option (On-Demand for measurement runs, §4.2).</w:t>
      </w:r>
    </w:p>
    <w:p>
      <w:pPr>
        <w:pStyle w:val="ListNumber"/>
        <w:spacing w:after="60"/>
      </w:pPr>
      <w:r>
        <w:t>Explicitly set the scaling option — it does not reliably survive a clone.</w:t>
      </w:r>
    </w:p>
    <w:p>
      <w:pPr>
        <w:pStyle w:val="ListNumber"/>
        <w:spacing w:after="60"/>
      </w:pPr>
      <w:r>
        <w:t>Confirm the instance profile still carries the S3 policy from §4.3.</w:t>
      </w:r>
    </w:p>
    <w:p>
      <w:pPr>
        <w:pStyle w:val="ListNumber"/>
        <w:spacing w:after="60"/>
      </w:pPr>
      <w:r>
        <w:t>Confirm auto-termination on idle is enabled.</w:t>
      </w:r>
    </w:p>
    <w:p>
      <w:pPr>
        <w:pStyle w:val="ListNumber"/>
        <w:spacing w:after="60"/>
      </w:pPr>
      <w:r>
        <w:t>Terminate the cluster as soon as the job completes.</w:t>
      </w:r>
    </w:p>
    <w:p>
      <w:pPr>
        <w:spacing w:before="320" w:after="120"/>
      </w:pPr>
      <w:r>
        <w:rPr>
          <w:b/>
          <w:color w:val="1F3763"/>
          <w:sz w:val="28"/>
        </w:rPr>
        <w:t>5. Serving Layer — Amazon Athena</w:t>
      </w:r>
    </w:p>
    <w:p>
      <w:r>
        <w:rPr>
          <w:b w:val="0"/>
          <w:i w:val="0"/>
        </w:rPr>
        <w:t>Set the query result location once, before running anything: Athena → Settings → Manage → Location of query results → s3://&lt;bucket&gt;/athena-results/.</w:t>
      </w:r>
    </w:p>
    <w:p>
      <w:r>
        <w:rPr>
          <w:b w:val="0"/>
          <w:i w:val="0"/>
        </w:rPr>
        <w:t>Athena executes exactly one SQL statement per query — run each statement below separately, not as one script:</w:t>
      </w:r>
    </w:p>
    <w:p>
      <w:pPr>
        <w:spacing w:before="40" w:after="160"/>
        <w:ind w:left="432"/>
        <w:shd w:fill="F2F2F2"/>
      </w:pPr>
      <w:r>
        <w:rPr>
          <w:rFonts w:ascii="Consolas" w:hAnsi="Consolas"/>
          <w:color w:val="1A1A1A"/>
          <w:sz w:val="18"/>
        </w:rPr>
        <w:t>CREATE DATABASE IF NOT EXISTS scp_siem;</w:t>
      </w:r>
    </w:p>
    <w:p>
      <w:pPr>
        <w:spacing w:before="40" w:after="160"/>
        <w:ind w:left="432"/>
        <w:shd w:fill="F2F2F2"/>
      </w:pPr>
      <w:r>
        <w:rPr>
          <w:rFonts w:ascii="Consolas" w:hAnsi="Consolas"/>
          <w:color w:val="1A1A1A"/>
          <w:sz w:val="18"/>
        </w:rPr>
        <w:t>CREATE EXTERNAL TABLE IF NOT EXISTS scp_siem.batch_view (</w:t>
      </w:r>
      <w:r>
        <w:rPr>
          <w:rFonts w:ascii="Consolas" w:hAnsi="Consolas"/>
          <w:color w:val="1A1A1A"/>
          <w:sz w:val="18"/>
        </w:rPr>
        <w:br/>
        <w:t xml:space="preserve">  `source_ip`    string,</w:t>
      </w:r>
      <w:r>
        <w:rPr>
          <w:rFonts w:ascii="Consolas" w:hAnsi="Consolas"/>
          <w:color w:val="1A1A1A"/>
          <w:sz w:val="18"/>
        </w:rPr>
        <w:br/>
        <w:t xml:space="preserve">  `failed`       bigint,</w:t>
      </w:r>
      <w:r>
        <w:rPr>
          <w:rFonts w:ascii="Consolas" w:hAnsi="Consolas"/>
          <w:color w:val="1A1A1A"/>
          <w:sz w:val="18"/>
        </w:rPr>
        <w:br/>
        <w:t xml:space="preserve">  `accepted`     bigint,</w:t>
      </w:r>
      <w:r>
        <w:rPr>
          <w:rFonts w:ascii="Consolas" w:hAnsi="Consolas"/>
          <w:color w:val="1A1A1A"/>
          <w:sz w:val="18"/>
        </w:rPr>
        <w:br/>
        <w:t xml:space="preserve">  `invalid_user` bigint,</w:t>
      </w:r>
      <w:r>
        <w:rPr>
          <w:rFonts w:ascii="Consolas" w:hAnsi="Consolas"/>
          <w:color w:val="1A1A1A"/>
          <w:sz w:val="18"/>
        </w:rPr>
        <w:br/>
        <w:t xml:space="preserve">  `other`        bigint,</w:t>
      </w:r>
      <w:r>
        <w:rPr>
          <w:rFonts w:ascii="Consolas" w:hAnsi="Consolas"/>
          <w:color w:val="1A1A1A"/>
          <w:sz w:val="18"/>
        </w:rPr>
        <w:br/>
        <w:t xml:space="preserve">  `total`        bigint,</w:t>
      </w:r>
      <w:r>
        <w:rPr>
          <w:rFonts w:ascii="Consolas" w:hAnsi="Consolas"/>
          <w:color w:val="1A1A1A"/>
          <w:sz w:val="18"/>
        </w:rPr>
        <w:br/>
        <w:t xml:space="preserve">  `first_seen`   string,</w:t>
      </w:r>
      <w:r>
        <w:rPr>
          <w:rFonts w:ascii="Consolas" w:hAnsi="Consolas"/>
          <w:color w:val="1A1A1A"/>
          <w:sz w:val="18"/>
        </w:rPr>
        <w:br/>
        <w:t xml:space="preserve">  `last_seen`    string</w:t>
      </w:r>
      <w:r>
        <w:rPr>
          <w:rFonts w:ascii="Consolas" w:hAnsi="Consolas"/>
          <w:color w:val="1A1A1A"/>
          <w:sz w:val="18"/>
        </w:rPr>
        <w:br/>
        <w:t>)</w:t>
      </w:r>
      <w:r>
        <w:rPr>
          <w:rFonts w:ascii="Consolas" w:hAnsi="Consolas"/>
          <w:color w:val="1A1A1A"/>
          <w:sz w:val="18"/>
        </w:rPr>
        <w:br/>
        <w:t>STORED AS PARQUET</w:t>
      </w:r>
      <w:r>
        <w:rPr>
          <w:rFonts w:ascii="Consolas" w:hAnsi="Consolas"/>
          <w:color w:val="1A1A1A"/>
          <w:sz w:val="18"/>
        </w:rPr>
        <w:br/>
        <w:t>LOCATION 's3://&lt;bucket&gt;/batch-views/full/';</w:t>
      </w:r>
    </w:p>
    <w:p>
      <w:r>
        <w:rPr>
          <w:b w:val="0"/>
          <w:i w:val="0"/>
        </w:rPr>
        <w:t>The full DDL is also committed at serving/athena_ddl.sql.</w:t>
      </w:r>
    </w:p>
    <w:p>
      <w:pPr>
        <w:spacing w:before="320" w:after="120"/>
      </w:pPr>
      <w:r>
        <w:rPr>
          <w:b/>
          <w:color w:val="1F3763"/>
          <w:sz w:val="28"/>
        </w:rPr>
        <w:t>6. Running the System</w:t>
      </w:r>
    </w:p>
    <w:p>
      <w:pPr>
        <w:spacing w:before="200" w:after="80"/>
      </w:pPr>
      <w:r>
        <w:rPr>
          <w:b/>
          <w:color w:val="2E4A7D"/>
          <w:sz w:val="23"/>
        </w:rPr>
        <w:t>6.1 Replay the Dataset into Kinesis</w:t>
      </w:r>
    </w:p>
    <w:p>
      <w:pPr>
        <w:spacing w:before="40" w:after="160"/>
        <w:ind w:left="432"/>
        <w:shd w:fill="F2F2F2"/>
      </w:pPr>
      <w:r>
        <w:rPr>
          <w:rFonts w:ascii="Consolas" w:hAnsi="Consolas"/>
          <w:color w:val="1A1A1A"/>
          <w:sz w:val="18"/>
        </w:rPr>
        <w:t>python3 producer/producer.py --file SSH.log --rate 1000</w:t>
      </w:r>
    </w:p>
    <w:p>
      <w:r>
        <w:rPr>
          <w:b w:val="0"/>
          <w:i w:val="0"/>
        </w:rPr>
        <w:t>--rate is records/second; --loop repeats the file for sustained load; --batch-size (default 500, the Kinesis maximum) controls how many records go in each put_records call. --dry-run parses and prints without touching AWS, for local testing.</w:t>
      </w:r>
    </w:p>
    <w:p>
      <w:pPr>
        <w:spacing w:before="200" w:after="80"/>
      </w:pPr>
      <w:r>
        <w:rPr>
          <w:b/>
          <w:color w:val="2E4A7D"/>
          <w:sz w:val="23"/>
        </w:rPr>
        <w:t>6.2 Run the Batch Job</w:t>
      </w:r>
    </w:p>
    <w:p>
      <w:r>
        <w:rPr>
          <w:b w:val="0"/>
          <w:i w:val="0"/>
        </w:rPr>
        <w:t>See §4.5. Validate output against the committed reference before trusting a result:</w:t>
      </w:r>
    </w:p>
    <w:p>
      <w:pPr>
        <w:spacing w:before="40" w:after="160"/>
        <w:ind w:left="432"/>
        <w:shd w:fill="F2F2F2"/>
      </w:pPr>
      <w:r>
        <w:rPr>
          <w:rFonts w:ascii="Consolas" w:hAnsi="Consolas"/>
          <w:color w:val="1A1A1A"/>
          <w:sz w:val="18"/>
        </w:rPr>
        <w:t>python3 batch/reference_counts.py --input SSH.log --out batch/expected_full.csv</w:t>
      </w:r>
    </w:p>
    <w:p>
      <w:pPr>
        <w:spacing w:before="200" w:after="80"/>
      </w:pPr>
      <w:r>
        <w:rPr>
          <w:b/>
          <w:color w:val="2E4A7D"/>
          <w:sz w:val="23"/>
        </w:rPr>
        <w:t>6.3 Run the Dashboard</w:t>
      </w:r>
    </w:p>
    <w:p>
      <w:pPr>
        <w:spacing w:before="40" w:after="160"/>
        <w:ind w:left="432"/>
        <w:shd w:fill="F2F2F2"/>
      </w:pPr>
      <w:r>
        <w:rPr>
          <w:rFonts w:ascii="Consolas" w:hAnsi="Consolas"/>
          <w:color w:val="1A1A1A"/>
          <w:sz w:val="18"/>
        </w:rPr>
        <w:t>streamlit run dashboard/app.py</w:t>
      </w:r>
    </w:p>
    <w:p>
      <w:r>
        <w:rPr>
          <w:b w:val="0"/>
          <w:i w:val="0"/>
        </w:rPr>
        <w:t>Requires a producer to be running (or to have run within the last hour) for the live panels to show anything — speed-layer state expires after 6 minutes and alerts after 1 hour by design (§3.2), so an idle system correctly displays no current activity.</w:t>
      </w:r>
    </w:p>
    <w:p>
      <w:pPr>
        <w:spacing w:before="200" w:after="80"/>
      </w:pPr>
      <w:r>
        <w:rPr>
          <w:b/>
          <w:color w:val="2E4A7D"/>
          <w:sz w:val="23"/>
        </w:rPr>
        <w:t>6.4 Run the Benchmarks</w:t>
      </w:r>
    </w:p>
    <w:p>
      <w:pPr>
        <w:spacing w:before="40" w:after="160"/>
        <w:ind w:left="432"/>
        <w:shd w:fill="F2F2F2"/>
      </w:pPr>
      <w:r>
        <w:rPr>
          <w:rFonts w:ascii="Consolas" w:hAnsi="Consolas"/>
          <w:color w:val="1A1A1A"/>
          <w:sz w:val="18"/>
        </w:rPr>
        <w:t>python3 benchmarks/run_experiment1.py --cluster-id &lt;cluster-id&gt;</w:t>
      </w:r>
      <w:r>
        <w:rPr>
          <w:rFonts w:ascii="Consolas" w:hAnsi="Consolas"/>
          <w:color w:val="1A1A1A"/>
          <w:sz w:val="18"/>
        </w:rPr>
        <w:br/>
        <w:t>python3 benchmarks/run_experiment2.py</w:t>
      </w:r>
      <w:r>
        <w:rPr>
          <w:rFonts w:ascii="Consolas" w:hAnsi="Consolas"/>
          <w:color w:val="1A1A1A"/>
          <w:sz w:val="18"/>
        </w:rPr>
        <w:br/>
        <w:t>python3 benchmarks/make_figures.py</w:t>
      </w:r>
    </w:p>
    <w:p>
      <w:r>
        <w:rPr>
          <w:b w:val="0"/>
          <w:i w:val="0"/>
        </w:rPr>
        <w:t>run_experiment1.py refuses to start if any EMR auto-scaling policy is attached, since a mid-run resize would invalidate the node-count comparison.</w:t>
      </w:r>
    </w:p>
    <w:p>
      <w:pPr>
        <w:spacing w:before="320" w:after="120"/>
      </w:pPr>
      <w:r>
        <w:rPr>
          <w:b/>
          <w:color w:val="1F3763"/>
          <w:sz w:val="28"/>
        </w:rPr>
        <w:t>7. Automated Tests</w:t>
      </w:r>
    </w:p>
    <w:p>
      <w:r>
        <w:rPr>
          <w:b w:val="0"/>
          <w:i w:val="0"/>
        </w:rPr>
        <w:t>Two test files require no AWS credentials and no network access — both run against an in-memory substitute for DynamoDB:</w:t>
      </w:r>
    </w:p>
    <w:p>
      <w:pPr>
        <w:spacing w:before="40" w:after="160"/>
        <w:ind w:left="432"/>
        <w:shd w:fill="F2F2F2"/>
      </w:pPr>
      <w:r>
        <w:rPr>
          <w:rFonts w:ascii="Consolas" w:hAnsi="Consolas"/>
          <w:color w:val="1A1A1A"/>
          <w:sz w:val="18"/>
        </w:rPr>
        <w:t>python3 speed/test_speed_layer.py     # 8 tests: counting, windowing, alerting,</w:t>
      </w:r>
      <w:r>
        <w:rPr>
          <w:rFonts w:ascii="Consolas" w:hAnsi="Consolas"/>
          <w:color w:val="1A1A1A"/>
          <w:sz w:val="18"/>
        </w:rPr>
        <w:br/>
        <w:t xml:space="preserve">                                       # redelivery idempotency</w:t>
      </w:r>
      <w:r>
        <w:rPr>
          <w:rFonts w:ascii="Consolas" w:hAnsi="Consolas"/>
          <w:color w:val="1A1A1A"/>
          <w:sz w:val="18"/>
        </w:rPr>
        <w:br/>
        <w:t>python3 batch/smoke_test.py            # local Spark smoke test (requires PySpark)</w:t>
      </w:r>
    </w:p>
    <w:p>
      <w:pPr>
        <w:spacing w:before="320" w:after="120"/>
      </w:pPr>
      <w:r>
        <w:rPr>
          <w:b/>
          <w:color w:val="1F3763"/>
          <w:sz w:val="28"/>
        </w:rPr>
        <w:t>8. Teardown</w:t>
      </w:r>
    </w:p>
    <w:p>
      <w:r>
        <w:rPr>
          <w:b w:val="0"/>
          <w:i w:val="0"/>
        </w:rPr>
        <w:t>Console: delete each resource from its own service page. Equivalent CLI commands:</w:t>
      </w:r>
    </w:p>
    <w:p>
      <w:pPr>
        <w:spacing w:before="40" w:after="160"/>
        <w:ind w:left="432"/>
        <w:shd w:fill="F2F2F2"/>
      </w:pPr>
      <w:r>
        <w:rPr>
          <w:rFonts w:ascii="Consolas" w:hAnsi="Consolas"/>
          <w:color w:val="1A1A1A"/>
          <w:sz w:val="18"/>
        </w:rPr>
        <w:t>aws kinesis delete-stream --stream-name scp-siem-stream</w:t>
      </w:r>
      <w:r>
        <w:rPr>
          <w:rFonts w:ascii="Consolas" w:hAnsi="Consolas"/>
          <w:color w:val="1A1A1A"/>
          <w:sz w:val="18"/>
        </w:rPr>
        <w:br/>
        <w:t>aws dynamodb delete-table --table-name scp-siem-speed-state</w:t>
      </w:r>
      <w:r>
        <w:rPr>
          <w:rFonts w:ascii="Consolas" w:hAnsi="Consolas"/>
          <w:color w:val="1A1A1A"/>
          <w:sz w:val="18"/>
        </w:rPr>
        <w:br/>
        <w:t>aws firehose delete-delivery-stream --delivery-stream-name scp-siem-firehose</w:t>
      </w:r>
      <w:r>
        <w:rPr>
          <w:rFonts w:ascii="Consolas" w:hAnsi="Consolas"/>
          <w:color w:val="1A1A1A"/>
          <w:sz w:val="18"/>
        </w:rPr>
        <w:br/>
        <w:t>aws lambda delete-function --function-name scp-siem-speed</w:t>
      </w:r>
      <w:r>
        <w:rPr>
          <w:rFonts w:ascii="Consolas" w:hAnsi="Consolas"/>
          <w:color w:val="1A1A1A"/>
          <w:sz w:val="18"/>
        </w:rPr>
        <w:br/>
        <w:t>aws s3 rm s3://scp-siem-data-&lt;account-id&gt; --recursive</w:t>
      </w:r>
      <w:r>
        <w:rPr>
          <w:rFonts w:ascii="Consolas" w:hAnsi="Consolas"/>
          <w:color w:val="1A1A1A"/>
          <w:sz w:val="18"/>
        </w:rPr>
        <w:br/>
        <w:t>aws s3 rb s3://scp-siem-data-&lt;account-id&gt;</w:t>
      </w:r>
    </w:p>
    <w:p>
      <w:r>
        <w:rPr>
          <w:b w:val="0"/>
          <w:i w:val="0"/>
        </w:rPr>
        <w:t>Confirm no EMR cluster is running before finishing, and check Billing → Cost Explorer filtered on the Project=scp-siem tag to verify nothing is still accruing.</w:t>
      </w:r>
    </w:p>
    <w:p>
      <w:pPr>
        <w:spacing w:before="320" w:after="120"/>
      </w:pPr>
      <w:r>
        <w:rPr>
          <w:b/>
          <w:color w:val="1F3763"/>
          <w:sz w:val="28"/>
        </w:rPr>
        <w:t>9. Repository Map</w:t>
      </w:r>
    </w:p>
    <w:tbl>
      <w:tblPr>
        <w:tblStyle w:val="LightGrid-Accent1"/>
        <w:tblW w:type="auto" w:w="0"/>
        <w:tblLook w:firstColumn="1" w:firstRow="1" w:lastColumn="0" w:lastRow="0" w:noHBand="0" w:noVBand="1" w:val="04A0"/>
      </w:tblPr>
      <w:tblGrid>
        <w:gridCol w:w="4824"/>
        <w:gridCol w:w="4824"/>
      </w:tblGrid>
      <w:tr>
        <w:tc>
          <w:tcPr>
            <w:tcW w:type="dxa" w:w="4824"/>
          </w:tcPr>
          <w:p>
            <w:pPr>
              <w:spacing w:after="0"/>
            </w:pPr>
            <w:r/>
            <w:r>
              <w:rPr>
                <w:b/>
                <w:sz w:val="18"/>
              </w:rPr>
              <w:t>Path</w:t>
            </w:r>
          </w:p>
        </w:tc>
        <w:tc>
          <w:tcPr>
            <w:tcW w:type="dxa" w:w="4824"/>
          </w:tcPr>
          <w:p>
            <w:pPr>
              <w:spacing w:after="0"/>
            </w:pPr>
            <w:r/>
            <w:r>
              <w:rPr>
                <w:b/>
                <w:sz w:val="18"/>
              </w:rPr>
              <w:t>Contents</w:t>
            </w:r>
          </w:p>
        </w:tc>
      </w:tr>
      <w:tr>
        <w:tc>
          <w:tcPr>
            <w:tcW w:type="dxa" w:w="4824"/>
          </w:tcPr>
          <w:p>
            <w:pPr>
              <w:spacing w:after="0"/>
            </w:pPr>
            <w:r/>
            <w:r>
              <w:rPr>
                <w:b w:val="0"/>
                <w:sz w:val="18"/>
              </w:rPr>
              <w:t>producer/</w:t>
            </w:r>
          </w:p>
        </w:tc>
        <w:tc>
          <w:tcPr>
            <w:tcW w:type="dxa" w:w="4824"/>
          </w:tcPr>
          <w:p>
            <w:pPr>
              <w:spacing w:after="0"/>
            </w:pPr>
            <w:r/>
            <w:r>
              <w:rPr>
                <w:b w:val="0"/>
                <w:sz w:val="18"/>
              </w:rPr>
              <w:t>Replay producer (boto3 → Kinesis)</w:t>
            </w:r>
          </w:p>
        </w:tc>
      </w:tr>
      <w:tr>
        <w:tc>
          <w:tcPr>
            <w:tcW w:type="dxa" w:w="4824"/>
          </w:tcPr>
          <w:p>
            <w:pPr>
              <w:spacing w:after="0"/>
            </w:pPr>
            <w:r/>
            <w:r>
              <w:rPr>
                <w:b w:val="0"/>
                <w:sz w:val="18"/>
              </w:rPr>
              <w:t>speed/</w:t>
            </w:r>
          </w:p>
        </w:tc>
        <w:tc>
          <w:tcPr>
            <w:tcW w:type="dxa" w:w="4824"/>
          </w:tcPr>
          <w:p>
            <w:pPr>
              <w:spacing w:after="0"/>
            </w:pPr>
            <w:r/>
            <w:r>
              <w:rPr>
                <w:b w:val="0"/>
                <w:sz w:val="18"/>
              </w:rPr>
              <w:t>Speed-layer Lambda + its test suite</w:t>
            </w:r>
          </w:p>
        </w:tc>
      </w:tr>
      <w:tr>
        <w:tc>
          <w:tcPr>
            <w:tcW w:type="dxa" w:w="4824"/>
          </w:tcPr>
          <w:p>
            <w:pPr>
              <w:spacing w:after="0"/>
            </w:pPr>
            <w:r/>
            <w:r>
              <w:rPr>
                <w:b w:val="0"/>
                <w:sz w:val="18"/>
              </w:rPr>
              <w:t>batch/</w:t>
            </w:r>
          </w:p>
        </w:tc>
        <w:tc>
          <w:tcPr>
            <w:tcW w:type="dxa" w:w="4824"/>
          </w:tcPr>
          <w:p>
            <w:pPr>
              <w:spacing w:after="0"/>
            </w:pPr>
            <w:r/>
            <w:r>
              <w:rPr>
                <w:b w:val="0"/>
                <w:sz w:val="18"/>
              </w:rPr>
              <w:t>PySpark job, Hadoop Streaming mapper/reducer, sequential reference</w:t>
            </w:r>
          </w:p>
        </w:tc>
      </w:tr>
      <w:tr>
        <w:tc>
          <w:tcPr>
            <w:tcW w:type="dxa" w:w="4824"/>
          </w:tcPr>
          <w:p>
            <w:pPr>
              <w:spacing w:after="0"/>
            </w:pPr>
            <w:r/>
            <w:r>
              <w:rPr>
                <w:b w:val="0"/>
                <w:sz w:val="18"/>
              </w:rPr>
              <w:t>serving/</w:t>
            </w:r>
          </w:p>
        </w:tc>
        <w:tc>
          <w:tcPr>
            <w:tcW w:type="dxa" w:w="4824"/>
          </w:tcPr>
          <w:p>
            <w:pPr>
              <w:spacing w:after="0"/>
            </w:pPr>
            <w:r/>
            <w:r>
              <w:rPr>
                <w:b w:val="0"/>
                <w:sz w:val="18"/>
              </w:rPr>
              <w:t>Athena DDL and the batch/speed merge logic</w:t>
            </w:r>
          </w:p>
        </w:tc>
      </w:tr>
      <w:tr>
        <w:tc>
          <w:tcPr>
            <w:tcW w:type="dxa" w:w="4824"/>
          </w:tcPr>
          <w:p>
            <w:pPr>
              <w:spacing w:after="0"/>
            </w:pPr>
            <w:r/>
            <w:r>
              <w:rPr>
                <w:b w:val="0"/>
                <w:sz w:val="18"/>
              </w:rPr>
              <w:t>dashboard/</w:t>
            </w:r>
          </w:p>
        </w:tc>
        <w:tc>
          <w:tcPr>
            <w:tcW w:type="dxa" w:w="4824"/>
          </w:tcPr>
          <w:p>
            <w:pPr>
              <w:spacing w:after="0"/>
            </w:pPr>
            <w:r/>
            <w:r>
              <w:rPr>
                <w:b w:val="0"/>
                <w:sz w:val="18"/>
              </w:rPr>
              <w:t>Streamlit dashboard</w:t>
            </w:r>
          </w:p>
        </w:tc>
      </w:tr>
      <w:tr>
        <w:tc>
          <w:tcPr>
            <w:tcW w:type="dxa" w:w="4824"/>
          </w:tcPr>
          <w:p>
            <w:pPr>
              <w:spacing w:after="0"/>
            </w:pPr>
            <w:r/>
            <w:r>
              <w:rPr>
                <w:b w:val="0"/>
                <w:sz w:val="18"/>
              </w:rPr>
              <w:t>benchmarks/</w:t>
            </w:r>
          </w:p>
        </w:tc>
        <w:tc>
          <w:tcPr>
            <w:tcW w:type="dxa" w:w="4824"/>
          </w:tcPr>
          <w:p>
            <w:pPr>
              <w:spacing w:after="0"/>
            </w:pPr>
            <w:r/>
            <w:r>
              <w:rPr>
                <w:b w:val="0"/>
                <w:sz w:val="18"/>
              </w:rPr>
              <w:t>Benchmark drivers, raw result CSVs, figure generation</w:t>
            </w:r>
          </w:p>
        </w:tc>
      </w:tr>
      <w:tr>
        <w:tc>
          <w:tcPr>
            <w:tcW w:type="dxa" w:w="4824"/>
          </w:tcPr>
          <w:p>
            <w:pPr>
              <w:spacing w:after="0"/>
            </w:pPr>
            <w:r/>
            <w:r>
              <w:rPr>
                <w:b w:val="0"/>
                <w:sz w:val="18"/>
              </w:rPr>
              <w:t>report/</w:t>
            </w:r>
          </w:p>
        </w:tc>
        <w:tc>
          <w:tcPr>
            <w:tcW w:type="dxa" w:w="4824"/>
          </w:tcPr>
          <w:p>
            <w:pPr>
              <w:spacing w:after="0"/>
            </w:pPr>
            <w:r/>
            <w:r>
              <w:rPr>
                <w:b w:val="0"/>
                <w:sz w:val="18"/>
              </w:rPr>
              <w:t>IEEE report, architecture diagram, this document</w:t>
            </w:r>
          </w:p>
        </w:tc>
      </w:tr>
      <w:tr>
        <w:tc>
          <w:tcPr>
            <w:tcW w:type="dxa" w:w="4824"/>
          </w:tcPr>
          <w:p>
            <w:pPr>
              <w:spacing w:after="0"/>
            </w:pPr>
            <w:r/>
            <w:r>
              <w:rPr>
                <w:b w:val="0"/>
                <w:sz w:val="18"/>
              </w:rPr>
              <w:t>infra-notes/</w:t>
            </w:r>
          </w:p>
        </w:tc>
        <w:tc>
          <w:tcPr>
            <w:tcW w:type="dxa" w:w="4824"/>
          </w:tcPr>
          <w:p>
            <w:pPr>
              <w:spacing w:after="0"/>
            </w:pPr>
            <w:r/>
            <w:r>
              <w:rPr>
                <w:b w:val="0"/>
                <w:sz w:val="18"/>
              </w:rPr>
              <w:t>Live resource register and detailed runbook (superset of this document, kept current throughout the project)</w:t>
            </w:r>
          </w:p>
        </w:tc>
      </w:tr>
      <w:tr>
        <w:tc>
          <w:tcPr>
            <w:tcW w:type="dxa" w:w="4824"/>
          </w:tcPr>
          <w:p>
            <w:pPr>
              <w:spacing w:after="0"/>
            </w:pPr>
            <w:r/>
            <w:r>
              <w:rPr>
                <w:b w:val="0"/>
                <w:sz w:val="18"/>
              </w:rPr>
              <w:t>fixtures/</w:t>
            </w:r>
          </w:p>
        </w:tc>
        <w:tc>
          <w:tcPr>
            <w:tcW w:type="dxa" w:w="4824"/>
          </w:tcPr>
          <w:p>
            <w:pPr>
              <w:spacing w:after="0"/>
            </w:pPr>
            <w:r/>
            <w:r>
              <w:rPr>
                <w:b w:val="0"/>
                <w:sz w:val="18"/>
              </w:rPr>
              <w:t>OpenSSH_2k.log — committed test fixture</w:t>
            </w:r>
          </w:p>
        </w:tc>
      </w:tr>
    </w:tbl>
    <w:p>
      <w:pPr>
        <w:spacing w:after="80"/>
      </w:pPr>
    </w:p>
    <w:p>
      <w:r>
        <w:rPr>
          <w:b w:val="0"/>
          <w:i/>
        </w:rPr>
        <w:t>infra-notes/resources.md is the working document this manual was distilled from; it additionally records the full cluster-by-cluster history and dated rationale for each configuration decision, for anyone who needs more detail than a setup checklist provides.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