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2026-06-22</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action tracks. We found that 75% of the KM-GBF indicators are associated with either human (56%), animal (53%), plant (51%), or environmental (63%) health, and that 91% of them can be used for monitoring at least one action track. Reusing existing indicators alleviates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retrospectively and prospectively measure progress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On the other hand, infectious diseases originating in wildlife are a serious threat to human health, the transmission of pathogens from animals to humans being a major cause of disease outbreaks</w:t>
      </w:r>
      <w:r>
        <w:t xml:space="preserve"> </w:t>
      </w:r>
      <w:r>
        <w:t xml:space="preserve">(K. E. Jones et al., 2008)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However, plant diseases can hinder ecosystem services, e.g. through food contamination or the reduction in food production</w:t>
      </w:r>
      <w:r>
        <w:t xml:space="preserve"> </w:t>
      </w:r>
      <w:r>
        <w:t xml:space="preserve">(Al-Sadi, 2017)</w:t>
      </w:r>
      <w:r>
        <w:t xml:space="preserve">. The main threats to biodiversity (biological invasions, climate change, habitat loss, overexploitation, and pollution;</w:t>
      </w:r>
      <w:r>
        <w:t xml:space="preserve"> </w:t>
      </w:r>
      <w:r>
        <w:t xml:space="preserve">Bellard et al. (2022)</w:t>
      </w:r>
      <w:r>
        <w:t xml:space="preserve">) all impact human health, notably by driving the emergence of infectious diseases</w:t>
      </w:r>
      <w:r>
        <w:t xml:space="preserve">(Carlson et al., 2025)</w:t>
      </w:r>
      <w:r>
        <w:t xml:space="preserve">. Because biodiversity and human health are highly interconnected, both can be monitored using a similar set of tools</w:t>
      </w:r>
      <w:r>
        <w:t xml:space="preserve"> </w:t>
      </w:r>
      <w:r>
        <w:t xml:space="preserve">(Poisot et al., 2025)</w:t>
      </w:r>
      <w:r>
        <w:t xml:space="preserve">.</w:t>
      </w:r>
    </w:p>
    <w:p>
      <w:pPr>
        <w:pStyle w:val="BodyText"/>
      </w:pPr>
      <w:r>
        <w:t xml:space="preserve">The One Health approach</w:t>
      </w:r>
      <w:r>
        <w:t xml:space="preserve"> </w:t>
      </w:r>
      <w:r>
        <w:t xml:space="preserve">(OHHLEP et al., 2022; Winkler et al., 2025)</w:t>
      </w:r>
      <w:r>
        <w:t xml:space="preserve"> </w:t>
      </w:r>
      <w:r>
        <w:t xml:space="preserve">recognizes the importance of biodiversity for public health</w:t>
      </w:r>
      <w:r>
        <w:t xml:space="preserve"> </w:t>
      </w:r>
      <w:r>
        <w:t xml:space="preserve">(Winkler et al., 2025)</w:t>
      </w:r>
      <w:r>
        <w:t xml:space="preserve">. It addresses complex public health challenges at the interface between human, animal, plant, and environmental health</w:t>
      </w:r>
      <w:r>
        <w:t xml:space="preserve"> </w:t>
      </w:r>
      <w:r>
        <w:t xml:space="preserve">(Rabinowitz &amp; Conti, 2013)</w:t>
      </w:r>
      <w:r>
        <w:t xml:space="preserve"> </w:t>
      </w:r>
      <w:r>
        <w:t xml:space="preserve">by promoting collaboration between health professionals, veterinarians, and biologists. The One Health Joint Plan of Action (OH JPA) (2022-2026)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prevent zoonotic diseases (tracks 2 and 3), improve food safety (track 4), reduce antimicrobial resistance (track 5), and stop environmental degradation (track 6). As we enter the final year of the plan, there is a need to generate clear and objective information regarding the progress made since its adoption in 2022. This evaluation is essential given the non-binding nature of the OH JPA, as it would encourage effective policy development by the States and inform the development of the next version of the plan. However, there are currently no indicators for monitoring the implementation of this plan.</w:t>
      </w:r>
    </w:p>
    <w:p>
      <w:pPr>
        <w:pStyle w:val="BodyText"/>
      </w:pPr>
      <w:r>
        <w:t xml:space="preserve">Biodiversity indicators are measures of changes in the state of biodiversity over time that track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A solid example of monitoring framework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biodiversity and human health</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indicators for both monitoring systems (the KM-GBF and the OH JPA) would improve their efficiency and reduce the workload of countries. During the vote of the KM-GBF monitoring framework, delegates warned that too many indicators could hinder monitoring, especially in less well-resourced nations</w:t>
      </w:r>
      <w:r>
        <w:t xml:space="preserve"> </w:t>
      </w:r>
      <w:r>
        <w:t xml:space="preserve">(Carroll et al., 2024)</w:t>
      </w:r>
      <w:r>
        <w:t xml:space="preserve">.</w:t>
      </w:r>
      <w:r>
        <w:t xml:space="preserve"> </w:t>
      </w:r>
      <w:r>
        <w:t xml:space="preserve">Colinas et al. (2026)</w:t>
      </w:r>
      <w:r>
        <w:t xml:space="preserve"> </w:t>
      </w:r>
      <w:r>
        <w:t xml:space="preserve">present best practices in selecting indicators for monitoring One Health. They suggest to review existing indicators rather than devoting resources to designing a new standardized and aggregated single index such as the One Health Index</w:t>
      </w:r>
      <w:r>
        <w:t xml:space="preserve"> </w:t>
      </w:r>
      <w:r>
        <w:t xml:space="preserve">(</w:t>
      </w:r>
      <w:r>
        <w:t xml:space="preserve">de Moura et al.</w:t>
      </w:r>
      <w:r>
        <w:t xml:space="preserve">, 2022)</w:t>
      </w:r>
      <w:r>
        <w:t xml:space="preserve"> </w:t>
      </w:r>
      <w:r>
        <w:t xml:space="preserve">and the Global One Health Index</w:t>
      </w:r>
      <w:r>
        <w:t xml:space="preserve"> </w:t>
      </w:r>
      <w:r>
        <w:t xml:space="preserve">(Zhang et al., 2022)</w:t>
      </w:r>
      <w:r>
        <w:t xml:space="preserve">. Our work serves as a first step in the framework they propose by quantifying the extent to which the OH JPA is already covered by existing biodiversity indicators. Moreover,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 Therefore, we aimed to identify the indicators of the KM-GBF monitoring framework that are relevant to One Health monitoring. First, we assessed the link between each of these indicators and human, animal, plant, and environmental health, respectively. Then, we evaluated the usability of the indicators for monitoring the specific action tracks of the OH JPA. Our work shows that biodiversity monitoring is an essential component of effective One Health strategies.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This was done independently by at least two evaluators for each of the indicators, this process leading to a consensus among the coauthors for all indicators. Specifically, we evaluated the degree to which the indicators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the extent to which they are able to function physiologically, and diseases are impediments to their normal physiological functioning often leading to death</w:t>
            </w:r>
            <w:r>
              <w:t xml:space="preserve"> </w:t>
            </w:r>
            <w:r>
              <w:t xml:space="preserve">(Döring et al., 2012)</w:t>
            </w:r>
            <w:r>
              <w:t xml:space="preserve">. Because domesticated animals and plants are mainly used for human consumption, animal and plant diseases have important consequences for food security</w:t>
            </w:r>
            <w:r>
              <w:t xml:space="preserve"> </w:t>
            </w:r>
            <w:r>
              <w:t xml:space="preserve">(Garcia et al., 2020; Strange &amp; Scott, 2005)</w:t>
            </w:r>
            <w:r>
              <w:t xml:space="preserve">. At the ecosystem level, consisting of many species and their interactions, health is ill-defined</w:t>
            </w:r>
            <w:r>
              <w:t xml:space="preserve"> </w:t>
            </w:r>
            <w:r>
              <w:t xml:space="preserve">(Schaeffer et al., 1988)</w:t>
            </w:r>
            <w:r>
              <w:t xml:space="preserve">. The idea of ecosystem health, although ancient in Indigenous and non-Western cosmological perspectives</w:t>
            </w:r>
            <w:r>
              <w:t xml:space="preserve"> </w:t>
            </w:r>
            <w:r>
              <w:t xml:space="preserve">(Descola, 2013; Hierro, 2005)</w:t>
            </w:r>
            <w:r>
              <w:t xml:space="preserve">,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r>
        <w:t xml:space="preserve">Most KM-GBF indicators can be used to monitor the action tracks, for each of the groups of indicators in the KM-GBF monitoring framework (</w:t>
      </w:r>
      <w:hyperlink w:anchor="fig-use-cat">
        <w:r>
          <w:rPr>
            <w:rStyle w:val="Hyperlink"/>
          </w:rPr>
          <w:t xml:space="preserve">Figure 3</w:t>
        </w:r>
      </w:hyperlink>
      <w:r>
        <w:t xml:space="preserve">).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For each thematic category of the GAP-BH,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where only 52% of the indicators can be used (</w:t>
      </w:r>
      <w:hyperlink w:anchor="fig-use-GAP">
        <w:r>
          <w:rPr>
            <w:rStyle w:val="Hyperlink"/>
          </w:rPr>
          <w:t xml:space="preserve">Figure 4</w:t>
        </w:r>
      </w:hyperlink>
      <w:r>
        <w:t xml:space="preserve">).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w:t>
      </w:r>
      <w:r>
        <w:t xml:space="preserve"> </w:t>
      </w:r>
      <w:hyperlink w:anchor="fig-use-GAP">
        <w:r>
          <w:rPr>
            <w:rStyle w:val="Hyperlink"/>
          </w:rPr>
          <w:t xml:space="preserve">Figure 4</w:t>
        </w:r>
      </w:hyperlink>
      <w:r>
        <w:t xml:space="preserve"> </w:t>
      </w:r>
      <w:r>
        <w:t xml:space="preserve">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Instead of developing and measuring new indicators, which can be resource-intensive, the high reusability of the KM-GBF indicators for monitoring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Making indicators serve more than one purpose can also improve the efficiency of public and private spending by avoiding duplication of work. Reusing existing indicators can thus greatly reduce the workload of countries that are part of different multilateral environmental agreements with overlapping objectives.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the KM-GBF indicators can greatly facilitate the monitoring of One Health action tracks.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new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and unsurrendered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 We thank Katerina Gapanenko, from the Canadian Institute for Health Information, for her useful feedback on the manuscript.</w:t>
      </w:r>
    </w:p>
    <w:bookmarkEnd w:id="34"/>
    <w:bookmarkStart w:id="117" w:name="references"/>
    <w:p>
      <w:pPr>
        <w:pStyle w:val="Heading1"/>
      </w:pPr>
      <w:r>
        <w:t xml:space="preserve">References</w:t>
      </w:r>
    </w:p>
    <w:bookmarkStart w:id="116"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Bellard2022Rankinga"/>
    <w:p>
      <w:pPr>
        <w:pStyle w:val="Bibliography"/>
      </w:pPr>
      <w:r>
        <w:t xml:space="preserve">Bellard, C., Marino, C., &amp; Courchamp, F. (2022). Ranking threats to biodiversity and why it doesn’t matter.</w:t>
      </w:r>
      <w:r>
        <w:t xml:space="preserve"> </w:t>
      </w:r>
      <w:r>
        <w:rPr>
          <w:i/>
          <w:iCs/>
        </w:rPr>
        <w:t xml:space="preserve">Nature Communications</w:t>
      </w:r>
      <w:r>
        <w:t xml:space="preserve">,</w:t>
      </w:r>
      <w:r>
        <w:t xml:space="preserve"> </w:t>
      </w:r>
      <w:r>
        <w:rPr>
          <w:i/>
          <w:iCs/>
        </w:rPr>
        <w:t xml:space="preserve">13</w:t>
      </w:r>
      <w:r>
        <w:t xml:space="preserve">(1), 2616.</w:t>
      </w:r>
      <w:r>
        <w:t xml:space="preserve"> </w:t>
      </w:r>
      <w:hyperlink r:id="rId41">
        <w:r>
          <w:rPr>
            <w:rStyle w:val="Hyperlink"/>
          </w:rPr>
          <w:t xml:space="preserve">https://doi.org/10.1038/s41467-022-30339-y</w:t>
        </w:r>
      </w:hyperlink>
    </w:p>
    <w:bookmarkEnd w:id="42"/>
    <w:bookmarkStart w:id="44"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3">
        <w:r>
          <w:rPr>
            <w:rStyle w:val="Hyperlink"/>
          </w:rPr>
          <w:t xml:space="preserve">https://doi.org/10.1038/s44358-024-00005-w</w:t>
        </w:r>
      </w:hyperlink>
    </w:p>
    <w:bookmarkEnd w:id="44"/>
    <w:bookmarkStart w:id="46"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5">
        <w:r>
          <w:rPr>
            <w:rStyle w:val="Hyperlink"/>
          </w:rPr>
          <w:t xml:space="preserve">https://doi.org/10.1111/cobi.14192</w:t>
        </w:r>
      </w:hyperlink>
    </w:p>
    <w:bookmarkEnd w:id="46"/>
    <w:bookmarkStart w:id="48" w:name="ref-Colinas2026Issuesa"/>
    <w:p>
      <w:pPr>
        <w:pStyle w:val="Bibliography"/>
      </w:pPr>
      <w:r>
        <w:t xml:space="preserve">Colinas, J., Boiteux, M., &amp; Aenishaenslin, C. (2026). Issues and principles for legitimate and meaningful</w:t>
      </w:r>
      <w:r>
        <w:t xml:space="preserve"> </w:t>
      </w:r>
      <w:r>
        <w:t xml:space="preserve">One Health</w:t>
      </w:r>
      <w:r>
        <w:t xml:space="preserve"> </w:t>
      </w:r>
      <w:r>
        <w:t xml:space="preserve">monitoring.</w:t>
      </w:r>
      <w:r>
        <w:t xml:space="preserve"> </w:t>
      </w:r>
      <w:r>
        <w:rPr>
          <w:i/>
          <w:iCs/>
        </w:rPr>
        <w:t xml:space="preserve">International Journal of Public Health</w:t>
      </w:r>
      <w:r>
        <w:t xml:space="preserve">,</w:t>
      </w:r>
      <w:r>
        <w:t xml:space="preserve"> </w:t>
      </w:r>
      <w:r>
        <w:rPr>
          <w:i/>
          <w:iCs/>
        </w:rPr>
        <w:t xml:space="preserve">71</w:t>
      </w:r>
      <w:r>
        <w:t xml:space="preserve">, 1609612.</w:t>
      </w:r>
      <w:r>
        <w:t xml:space="preserve"> </w:t>
      </w:r>
      <w:hyperlink r:id="rId47">
        <w:r>
          <w:rPr>
            <w:rStyle w:val="Hyperlink"/>
          </w:rPr>
          <w:t xml:space="preserve">https://doi.org/10.3389/ijph.2026.1609612</w:t>
        </w:r>
      </w:hyperlink>
    </w:p>
    <w:bookmarkEnd w:id="48"/>
    <w:bookmarkStart w:id="50"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9">
        <w:r>
          <w:rPr>
            <w:rStyle w:val="Hyperlink"/>
          </w:rPr>
          <w:t xml:space="preserve">https://doi.org/10.1023/A:1009930313242</w:t>
        </w:r>
      </w:hyperlink>
    </w:p>
    <w:bookmarkEnd w:id="50"/>
    <w:bookmarkStart w:id="52" w:name="ref-deMoura2022One"/>
    <w:p>
      <w:pPr>
        <w:pStyle w:val="Bibliography"/>
      </w:pPr>
      <w:r>
        <w:t xml:space="preserve">de Moura, R. R., Chiba de Castro, W. A., Farinhas, J. H., Pettan-Brewer, C., Kmetiuk, L. B., dos Santos, A. P., &amp; Biondo, A. W.</w:t>
      </w:r>
      <w:r>
        <w:t xml:space="preserve"> (2022). One</w:t>
      </w:r>
      <w:r>
        <w:t xml:space="preserve"> </w:t>
      </w:r>
      <w:r>
        <w:t xml:space="preserve">Health Index</w:t>
      </w:r>
      <w:r>
        <w:t xml:space="preserve"> </w:t>
      </w:r>
      <w:r>
        <w:t xml:space="preserve">(</w:t>
      </w:r>
      <w:r>
        <w:t xml:space="preserve">OHI</w:t>
      </w:r>
      <w:r>
        <w:t xml:space="preserve">) applied to</w:t>
      </w:r>
      <w:r>
        <w:t xml:space="preserve"> </w:t>
      </w:r>
      <w:r>
        <w:t xml:space="preserve">Curitiba</w:t>
      </w:r>
      <w:r>
        <w:t xml:space="preserve">, the ninth-largest metropolitan area of</w:t>
      </w:r>
      <w:r>
        <w:t xml:space="preserve"> </w:t>
      </w:r>
      <w:r>
        <w:t xml:space="preserve">Brazil</w:t>
      </w:r>
      <w:r>
        <w:t xml:space="preserve">, with concomitant assessment of animal, environmental, and human health indicators.</w:t>
      </w:r>
      <w:r>
        <w:t xml:space="preserve"> </w:t>
      </w:r>
      <w:r>
        <w:rPr>
          <w:i/>
          <w:iCs/>
        </w:rPr>
        <w:t xml:space="preserve">One Health</w:t>
      </w:r>
      <w:r>
        <w:t xml:space="preserve">,</w:t>
      </w:r>
      <w:r>
        <w:t xml:space="preserve"> </w:t>
      </w:r>
      <w:r>
        <w:rPr>
          <w:i/>
          <w:iCs/>
        </w:rPr>
        <w:t xml:space="preserve">14</w:t>
      </w:r>
      <w:r>
        <w:t xml:space="preserve">, 100373.</w:t>
      </w:r>
      <w:r>
        <w:t xml:space="preserve"> </w:t>
      </w:r>
      <w:hyperlink r:id="rId51">
        <w:r>
          <w:rPr>
            <w:rStyle w:val="Hyperlink"/>
          </w:rPr>
          <w:t xml:space="preserve">https://doi.org/10.1016/j.onehlt.2022.100373</w:t>
        </w:r>
      </w:hyperlink>
    </w:p>
    <w:bookmarkEnd w:id="52"/>
    <w:bookmarkStart w:id="53" w:name="ref-Descola2013Nature"/>
    <w:p>
      <w:pPr>
        <w:pStyle w:val="Bibliography"/>
      </w:pPr>
      <w:r>
        <w:t xml:space="preserve">Descola, P. (2013).</w:t>
      </w:r>
      <w:r>
        <w:t xml:space="preserve"> </w:t>
      </w:r>
      <w:r>
        <w:rPr>
          <w:i/>
          <w:iCs/>
        </w:rPr>
        <w:t xml:space="preserve">Beyond</w:t>
      </w:r>
      <w:r>
        <w:rPr>
          <w:i/>
          <w:iCs/>
        </w:rPr>
        <w:t xml:space="preserve"> </w:t>
      </w:r>
      <w:r>
        <w:rPr>
          <w:i/>
          <w:iCs/>
        </w:rPr>
        <w:t xml:space="preserve">Nature</w:t>
      </w:r>
      <w:r>
        <w:rPr>
          <w:i/>
          <w:iCs/>
        </w:rPr>
        <w:t xml:space="preserve"> </w:t>
      </w:r>
      <w:r>
        <w:rPr>
          <w:i/>
          <w:iCs/>
        </w:rPr>
        <w:t xml:space="preserve">and</w:t>
      </w:r>
      <w:r>
        <w:rPr>
          <w:i/>
          <w:iCs/>
        </w:rPr>
        <w:t xml:space="preserve"> </w:t>
      </w:r>
      <w:r>
        <w:rPr>
          <w:i/>
          <w:iCs/>
        </w:rPr>
        <w:t xml:space="preserve">Culture</w:t>
      </w:r>
      <w:r>
        <w:t xml:space="preserve">. University of Chicago Press.</w:t>
      </w:r>
    </w:p>
    <w:bookmarkEnd w:id="53"/>
    <w:bookmarkStart w:id="55"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54">
        <w:r>
          <w:rPr>
            <w:rStyle w:val="Hyperlink"/>
          </w:rPr>
          <w:t xml:space="preserve">https://doi.org/10.1126/science.aap8826</w:t>
        </w:r>
      </w:hyperlink>
    </w:p>
    <w:bookmarkEnd w:id="55"/>
    <w:bookmarkStart w:id="57"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56">
        <w:r>
          <w:rPr>
            <w:rStyle w:val="Hyperlink"/>
          </w:rPr>
          <w:t xml:space="preserve">https://doi.org/10.1111/j.1365-3059.2011.02501.x</w:t>
        </w:r>
      </w:hyperlink>
    </w:p>
    <w:bookmarkEnd w:id="57"/>
    <w:bookmarkStart w:id="59"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8">
        <w:r>
          <w:rPr>
            <w:rStyle w:val="Hyperlink"/>
          </w:rPr>
          <w:t xml:space="preserve">https://doi.org/10.1038/nrg1729</w:t>
        </w:r>
      </w:hyperlink>
    </w:p>
    <w:bookmarkEnd w:id="59"/>
    <w:bookmarkStart w:id="61"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60">
        <w:r>
          <w:rPr>
            <w:rStyle w:val="Hyperlink"/>
          </w:rPr>
          <w:t xml:space="preserve">https://doi.org/10.3389/fsufs.2020.00001</w:t>
        </w:r>
      </w:hyperlink>
    </w:p>
    <w:bookmarkEnd w:id="61"/>
    <w:bookmarkStart w:id="63"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62">
        <w:r>
          <w:rPr>
            <w:rStyle w:val="Hyperlink"/>
          </w:rPr>
          <w:t xml:space="preserve">https://doi.org/10.1136/vr.g143</w:t>
        </w:r>
      </w:hyperlink>
    </w:p>
    <w:bookmarkEnd w:id="63"/>
    <w:bookmarkStart w:id="64"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64"/>
    <w:bookmarkStart w:id="66"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65">
        <w:r>
          <w:rPr>
            <w:rStyle w:val="Hyperlink"/>
          </w:rPr>
          <w:t xml:space="preserve">https://doi.org/10.1139/facets-2024-0357</w:t>
        </w:r>
      </w:hyperlink>
    </w:p>
    <w:bookmarkEnd w:id="66"/>
    <w:bookmarkStart w:id="67" w:name="ref-Hierro2005Land"/>
    <w:p>
      <w:pPr>
        <w:pStyle w:val="Bibliography"/>
      </w:pPr>
      <w:r>
        <w:t xml:space="preserve">Hierro, P. G. (2005).</w:t>
      </w:r>
      <w:r>
        <w:t xml:space="preserve"> </w:t>
      </w:r>
      <w:r>
        <w:rPr>
          <w:i/>
          <w:iCs/>
        </w:rPr>
        <w:t xml:space="preserve">The</w:t>
      </w:r>
      <w:r>
        <w:rPr>
          <w:i/>
          <w:iCs/>
        </w:rPr>
        <w:t xml:space="preserve"> </w:t>
      </w:r>
      <w:r>
        <w:rPr>
          <w:i/>
          <w:iCs/>
        </w:rPr>
        <w:t xml:space="preserve">Land Within</w:t>
      </w:r>
      <w:r>
        <w:rPr>
          <w:i/>
          <w:iCs/>
        </w:rPr>
        <w:t xml:space="preserve">:</w:t>
      </w:r>
      <w:r>
        <w:rPr>
          <w:i/>
          <w:iCs/>
        </w:rPr>
        <w:t xml:space="preserve"> </w:t>
      </w:r>
      <w:r>
        <w:rPr>
          <w:i/>
          <w:iCs/>
        </w:rPr>
        <w:t xml:space="preserve">Indigenous Territory</w:t>
      </w:r>
      <w:r>
        <w:rPr>
          <w:i/>
          <w:iCs/>
        </w:rPr>
        <w:t xml:space="preserve"> </w:t>
      </w:r>
      <w:r>
        <w:rPr>
          <w:i/>
          <w:iCs/>
        </w:rPr>
        <w:t xml:space="preserve">and the</w:t>
      </w:r>
      <w:r>
        <w:rPr>
          <w:i/>
          <w:iCs/>
        </w:rPr>
        <w:t xml:space="preserve"> </w:t>
      </w:r>
      <w:r>
        <w:rPr>
          <w:i/>
          <w:iCs/>
        </w:rPr>
        <w:t xml:space="preserve">Perception</w:t>
      </w:r>
      <w:r>
        <w:rPr>
          <w:i/>
          <w:iCs/>
        </w:rPr>
        <w:t xml:space="preserve"> </w:t>
      </w:r>
      <w:r>
        <w:rPr>
          <w:i/>
          <w:iCs/>
        </w:rPr>
        <w:t xml:space="preserve">of the</w:t>
      </w:r>
      <w:r>
        <w:rPr>
          <w:i/>
          <w:iCs/>
        </w:rPr>
        <w:t xml:space="preserve"> </w:t>
      </w:r>
      <w:r>
        <w:rPr>
          <w:i/>
          <w:iCs/>
        </w:rPr>
        <w:t xml:space="preserve">Environment</w:t>
      </w:r>
      <w:r>
        <w:t xml:space="preserve">. IWGIA.</w:t>
      </w:r>
    </w:p>
    <w:bookmarkEnd w:id="67"/>
    <w:bookmarkStart w:id="69"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8">
        <w:r>
          <w:rPr>
            <w:rStyle w:val="Hyperlink"/>
          </w:rPr>
          <w:t xml:space="preserve">https://doi.org/10.1007/s00038-013-0482-1</w:t>
        </w:r>
      </w:hyperlink>
    </w:p>
    <w:bookmarkEnd w:id="69"/>
    <w:bookmarkStart w:id="70"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70"/>
    <w:bookmarkStart w:id="72"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71">
        <w:r>
          <w:rPr>
            <w:rStyle w:val="Hyperlink"/>
          </w:rPr>
          <w:t xml:space="preserve">https://doi.org/10.1111/j.1523-1739.2010.01605.x</w:t>
        </w:r>
      </w:hyperlink>
    </w:p>
    <w:bookmarkEnd w:id="72"/>
    <w:bookmarkStart w:id="74"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73">
        <w:r>
          <w:rPr>
            <w:rStyle w:val="Hyperlink"/>
          </w:rPr>
          <w:t xml:space="preserve">https://doi.org/10.1038/nature06536</w:t>
        </w:r>
      </w:hyperlink>
    </w:p>
    <w:bookmarkEnd w:id="74"/>
    <w:bookmarkStart w:id="76"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75">
        <w:r>
          <w:rPr>
            <w:rStyle w:val="Hyperlink"/>
          </w:rPr>
          <w:t xml:space="preserve">https://doi.org/10.1016/j.scitotenv.2016.09.009</w:t>
        </w:r>
      </w:hyperlink>
    </w:p>
    <w:bookmarkEnd w:id="76"/>
    <w:bookmarkStart w:id="77"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7"/>
    <w:bookmarkStart w:id="78"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8"/>
    <w:bookmarkStart w:id="80"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9">
        <w:r>
          <w:rPr>
            <w:rStyle w:val="Hyperlink"/>
          </w:rPr>
          <w:t xml:space="preserve">https://doi.org/10.3402/iee.v5.25300</w:t>
        </w:r>
      </w:hyperlink>
    </w:p>
    <w:bookmarkEnd w:id="80"/>
    <w:bookmarkStart w:id="82"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81">
        <w:r>
          <w:rPr>
            <w:rStyle w:val="Hyperlink"/>
          </w:rPr>
          <w:t xml:space="preserve">https://doi.org/10.3389/fvets.2017.00163</w:t>
        </w:r>
      </w:hyperlink>
    </w:p>
    <w:bookmarkEnd w:id="82"/>
    <w:bookmarkStart w:id="84"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83">
        <w:r>
          <w:rPr>
            <w:rStyle w:val="Hyperlink"/>
          </w:rPr>
          <w:t xml:space="preserve">https://doi.org/10.1007/978-3-319-27455-3_13</w:t>
        </w:r>
      </w:hyperlink>
    </w:p>
    <w:bookmarkEnd w:id="84"/>
    <w:bookmarkStart w:id="86"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85">
        <w:r>
          <w:rPr>
            <w:rStyle w:val="Hyperlink"/>
          </w:rPr>
          <w:t xml:space="preserve">https://doi.org/10.1007/s00709-020-01579-w</w:t>
        </w:r>
      </w:hyperlink>
    </w:p>
    <w:bookmarkEnd w:id="86"/>
    <w:bookmarkStart w:id="88"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7">
        <w:r>
          <w:rPr>
            <w:rStyle w:val="Hyperlink"/>
          </w:rPr>
          <w:t xml:space="preserve">https://doi.org/10.1371/journal.pone.0041128</w:t>
        </w:r>
      </w:hyperlink>
    </w:p>
    <w:bookmarkEnd w:id="88"/>
    <w:bookmarkStart w:id="90"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9">
        <w:r>
          <w:rPr>
            <w:rStyle w:val="Hyperlink"/>
          </w:rPr>
          <w:t xml:space="preserve">https://doi.org/10.1371/journal.ppat.1010537</w:t>
        </w:r>
      </w:hyperlink>
    </w:p>
    <w:bookmarkEnd w:id="90"/>
    <w:bookmarkStart w:id="92"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91">
        <w:r>
          <w:rPr>
            <w:rStyle w:val="Hyperlink"/>
          </w:rPr>
          <w:t xml:space="preserve">https://doi.org/10.1093/biosci/biaf091</w:t>
        </w:r>
      </w:hyperlink>
    </w:p>
    <w:bookmarkEnd w:id="92"/>
    <w:bookmarkStart w:id="93"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93"/>
    <w:bookmarkStart w:id="95"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94">
        <w:r>
          <w:rPr>
            <w:rStyle w:val="Hyperlink"/>
          </w:rPr>
          <w:t xml:space="preserve">https://doi.org/10.1146/annurev-publhealth-031912-114426</w:t>
        </w:r>
      </w:hyperlink>
    </w:p>
    <w:bookmarkEnd w:id="95"/>
    <w:bookmarkStart w:id="96"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6"/>
    <w:bookmarkStart w:id="98"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7">
        <w:r>
          <w:rPr>
            <w:rStyle w:val="Hyperlink"/>
          </w:rPr>
          <w:t xml:space="preserve">https://doi.org/10.1016/j.envres.2024.118115</w:t>
        </w:r>
      </w:hyperlink>
    </w:p>
    <w:bookmarkEnd w:id="98"/>
    <w:bookmarkStart w:id="100"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9">
        <w:r>
          <w:rPr>
            <w:rStyle w:val="Hyperlink"/>
          </w:rPr>
          <w:t xml:space="preserve">https://doi.org/10.1007/BF01873258</w:t>
        </w:r>
      </w:hyperlink>
    </w:p>
    <w:bookmarkEnd w:id="100"/>
    <w:bookmarkStart w:id="102"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101">
        <w:r>
          <w:rPr>
            <w:rStyle w:val="Hyperlink"/>
          </w:rPr>
          <w:t xml:space="preserve">https://doi.org/10.1146/annurev.phyto.43.113004.133839</w:t>
        </w:r>
      </w:hyperlink>
    </w:p>
    <w:bookmarkEnd w:id="102"/>
    <w:bookmarkStart w:id="103"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103"/>
    <w:bookmarkStart w:id="104"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104"/>
    <w:bookmarkStart w:id="105"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105"/>
    <w:bookmarkStart w:id="106"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6"/>
    <w:bookmarkStart w:id="107"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7"/>
    <w:bookmarkStart w:id="109"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8">
        <w:r>
          <w:rPr>
            <w:rStyle w:val="Hyperlink"/>
          </w:rPr>
          <w:t xml:space="preserve">https://doi.org/10.1111/nyas.13983</w:t>
        </w:r>
      </w:hyperlink>
    </w:p>
    <w:bookmarkEnd w:id="109"/>
    <w:bookmarkStart w:id="110"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10"/>
    <w:bookmarkStart w:id="111" w:name="ref-Who"/>
    <w:p>
      <w:pPr>
        <w:pStyle w:val="Bibliography"/>
      </w:pPr>
      <w:r>
        <w:t xml:space="preserve">WHO. (2025).</w:t>
      </w:r>
      <w:r>
        <w:t xml:space="preserve"> </w:t>
      </w:r>
      <w:r>
        <w:rPr>
          <w:i/>
          <w:iCs/>
        </w:rPr>
        <w:t xml:space="preserve">WHO Pandemic Agreement</w:t>
      </w:r>
      <w:r>
        <w:t xml:space="preserve">. Seventy-eighth World Health Assembly. WHA78.1.</w:t>
      </w:r>
    </w:p>
    <w:bookmarkEnd w:id="111"/>
    <w:bookmarkStart w:id="113"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12">
        <w:r>
          <w:rPr>
            <w:rStyle w:val="Hyperlink"/>
          </w:rPr>
          <w:t xml:space="preserve">https://doi.org/10.1016/S0140-6736(25)00627-0</w:t>
        </w:r>
      </w:hyperlink>
    </w:p>
    <w:bookmarkEnd w:id="113"/>
    <w:bookmarkStart w:id="115" w:name="ref-Zhang2022Global"/>
    <w:p>
      <w:pPr>
        <w:pStyle w:val="Bibliography"/>
      </w:pPr>
      <w:r>
        <w:t xml:space="preserve">Zhang, X.-X., Liu, J.-S., Han, L.-F., Xia, S., Li, S.-Z., Li, O. Y., Kassegne, K., Li, M., Yin, K., Hu, Q.-Q., Xiu, L.-S., Zhu, Y.-Z., Huang, L.-Y., Wang, X.-C., Zhang, Y., Zhao, H.-Q., Yin, J.-X., Jiang, T.-G., Li, Q., … Zhou, X.-N. (2022). Towards a global</w:t>
      </w:r>
      <w:r>
        <w:t xml:space="preserve"> </w:t>
      </w:r>
      <w:r>
        <w:t xml:space="preserve">One Health</w:t>
      </w:r>
      <w:r>
        <w:t xml:space="preserve"> </w:t>
      </w:r>
      <w:r>
        <w:t xml:space="preserve">index: A potential assessment tool for</w:t>
      </w:r>
      <w:r>
        <w:t xml:space="preserve"> </w:t>
      </w:r>
      <w:r>
        <w:t xml:space="preserve">One Health</w:t>
      </w:r>
      <w:r>
        <w:t xml:space="preserve"> </w:t>
      </w:r>
      <w:r>
        <w:t xml:space="preserve">performance.</w:t>
      </w:r>
      <w:r>
        <w:t xml:space="preserve"> </w:t>
      </w:r>
      <w:r>
        <w:rPr>
          <w:i/>
          <w:iCs/>
        </w:rPr>
        <w:t xml:space="preserve">Infectious Diseases of Poverty</w:t>
      </w:r>
      <w:r>
        <w:t xml:space="preserve">,</w:t>
      </w:r>
      <w:r>
        <w:t xml:space="preserve"> </w:t>
      </w:r>
      <w:r>
        <w:rPr>
          <w:i/>
          <w:iCs/>
        </w:rPr>
        <w:t xml:space="preserve">11</w:t>
      </w:r>
      <w:r>
        <w:t xml:space="preserve">(1), 57.</w:t>
      </w:r>
      <w:r>
        <w:t xml:space="preserve"> </w:t>
      </w:r>
      <w:hyperlink r:id="rId114">
        <w:r>
          <w:rPr>
            <w:rStyle w:val="Hyperlink"/>
          </w:rPr>
          <w:t xml:space="preserve">https://doi.org/10.1186/s40249-022-00979-9</w:t>
        </w:r>
      </w:hyperlink>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83" Target="https://doi.org/10.1007/978-3-319-27455-3_13" TargetMode="External" /><Relationship Type="http://schemas.openxmlformats.org/officeDocument/2006/relationships/hyperlink" Id="rId99" Target="https://doi.org/10.1007/BF01873258" TargetMode="External" /><Relationship Type="http://schemas.openxmlformats.org/officeDocument/2006/relationships/hyperlink" Id="rId68" Target="https://doi.org/10.1007/s00038-013-0482-1" TargetMode="External" /><Relationship Type="http://schemas.openxmlformats.org/officeDocument/2006/relationships/hyperlink" Id="rId85" Target="https://doi.org/10.1007/s00709-020-01579-w" TargetMode="External" /><Relationship Type="http://schemas.openxmlformats.org/officeDocument/2006/relationships/hyperlink" Id="rId112"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7" Target="https://doi.org/10.1016/j.envres.2024.118115" TargetMode="External" /><Relationship Type="http://schemas.openxmlformats.org/officeDocument/2006/relationships/hyperlink" Id="rId51" Target="https://doi.org/10.1016/j.onehlt.2022.100373" TargetMode="External" /><Relationship Type="http://schemas.openxmlformats.org/officeDocument/2006/relationships/hyperlink" Id="rId75" Target="https://doi.org/10.1016/j.scitotenv.2016.09.009" TargetMode="External" /><Relationship Type="http://schemas.openxmlformats.org/officeDocument/2006/relationships/hyperlink" Id="rId49" Target="https://doi.org/10.1023/A:1009930313242" TargetMode="External" /><Relationship Type="http://schemas.openxmlformats.org/officeDocument/2006/relationships/hyperlink" Id="rId73" Target="https://doi.org/10.1038/nature06536" TargetMode="External" /><Relationship Type="http://schemas.openxmlformats.org/officeDocument/2006/relationships/hyperlink" Id="rId58" Target="https://doi.org/10.1038/nrg1729" TargetMode="External" /><Relationship Type="http://schemas.openxmlformats.org/officeDocument/2006/relationships/hyperlink" Id="rId41" Target="https://doi.org/10.1038/s41467-022-30339-y" TargetMode="External" /><Relationship Type="http://schemas.openxmlformats.org/officeDocument/2006/relationships/hyperlink" Id="rId35" Target="https://doi.org/10.1038/s41559-025-02718-3" TargetMode="External" /><Relationship Type="http://schemas.openxmlformats.org/officeDocument/2006/relationships/hyperlink" Id="rId43" Target="https://doi.org/10.1038/s44358-024-00005-w" TargetMode="External" /><Relationship Type="http://schemas.openxmlformats.org/officeDocument/2006/relationships/hyperlink" Id="rId91" Target="https://doi.org/10.1093/biosci/biaf091" TargetMode="External" /><Relationship Type="http://schemas.openxmlformats.org/officeDocument/2006/relationships/hyperlink" Id="rId45" Target="https://doi.org/10.1111/cobi.14192" TargetMode="External" /><Relationship Type="http://schemas.openxmlformats.org/officeDocument/2006/relationships/hyperlink" Id="rId56" Target="https://doi.org/10.1111/j.1365-3059.2011.02501.x" TargetMode="External" /><Relationship Type="http://schemas.openxmlformats.org/officeDocument/2006/relationships/hyperlink" Id="rId71" Target="https://doi.org/10.1111/j.1523-1739.2010.01605.x" TargetMode="External" /><Relationship Type="http://schemas.openxmlformats.org/officeDocument/2006/relationships/hyperlink" Id="rId108" Target="https://doi.org/10.1111/nyas.13983" TargetMode="External" /><Relationship Type="http://schemas.openxmlformats.org/officeDocument/2006/relationships/hyperlink" Id="rId54" Target="https://doi.org/10.1126/science.aap8826" TargetMode="External" /><Relationship Type="http://schemas.openxmlformats.org/officeDocument/2006/relationships/hyperlink" Id="rId62" Target="https://doi.org/10.1136/vr.g143" TargetMode="External" /><Relationship Type="http://schemas.openxmlformats.org/officeDocument/2006/relationships/hyperlink" Id="rId65" Target="https://doi.org/10.1139/facets-2024-0357" TargetMode="External" /><Relationship Type="http://schemas.openxmlformats.org/officeDocument/2006/relationships/hyperlink" Id="rId94" Target="https://doi.org/10.1146/annurev-publhealth-031912-114426" TargetMode="External" /><Relationship Type="http://schemas.openxmlformats.org/officeDocument/2006/relationships/hyperlink" Id="rId101" Target="https://doi.org/10.1146/annurev.phyto.43.113004.133839" TargetMode="External" /><Relationship Type="http://schemas.openxmlformats.org/officeDocument/2006/relationships/hyperlink" Id="rId114" Target="https://doi.org/10.1186/s40249-022-00979-9" TargetMode="External" /><Relationship Type="http://schemas.openxmlformats.org/officeDocument/2006/relationships/hyperlink" Id="rId87" Target="https://doi.org/10.1371/journal.pone.0041128" TargetMode="External" /><Relationship Type="http://schemas.openxmlformats.org/officeDocument/2006/relationships/hyperlink" Id="rId89" Target="https://doi.org/10.1371/journal.ppat.1010537" TargetMode="External" /><Relationship Type="http://schemas.openxmlformats.org/officeDocument/2006/relationships/hyperlink" Id="rId60" Target="https://doi.org/10.3389/fsufs.2020.00001" TargetMode="External" /><Relationship Type="http://schemas.openxmlformats.org/officeDocument/2006/relationships/hyperlink" Id="rId81" Target="https://doi.org/10.3389/fvets.2017.00163" TargetMode="External" /><Relationship Type="http://schemas.openxmlformats.org/officeDocument/2006/relationships/hyperlink" Id="rId47" Target="https://doi.org/10.3389/ijph.2026.1609612" TargetMode="External" /><Relationship Type="http://schemas.openxmlformats.org/officeDocument/2006/relationships/hyperlink" Id="rId79"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7/978-3-319-27455-3_13" TargetMode="External" /><Relationship Type="http://schemas.openxmlformats.org/officeDocument/2006/relationships/hyperlink" Id="rId99" Target="https://doi.org/10.1007/BF01873258" TargetMode="External" /><Relationship Type="http://schemas.openxmlformats.org/officeDocument/2006/relationships/hyperlink" Id="rId68" Target="https://doi.org/10.1007/s00038-013-0482-1" TargetMode="External" /><Relationship Type="http://schemas.openxmlformats.org/officeDocument/2006/relationships/hyperlink" Id="rId85" Target="https://doi.org/10.1007/s00709-020-01579-w" TargetMode="External" /><Relationship Type="http://schemas.openxmlformats.org/officeDocument/2006/relationships/hyperlink" Id="rId112"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7" Target="https://doi.org/10.1016/j.envres.2024.118115" TargetMode="External" /><Relationship Type="http://schemas.openxmlformats.org/officeDocument/2006/relationships/hyperlink" Id="rId51" Target="https://doi.org/10.1016/j.onehlt.2022.100373" TargetMode="External" /><Relationship Type="http://schemas.openxmlformats.org/officeDocument/2006/relationships/hyperlink" Id="rId75" Target="https://doi.org/10.1016/j.scitotenv.2016.09.009" TargetMode="External" /><Relationship Type="http://schemas.openxmlformats.org/officeDocument/2006/relationships/hyperlink" Id="rId49" Target="https://doi.org/10.1023/A:1009930313242" TargetMode="External" /><Relationship Type="http://schemas.openxmlformats.org/officeDocument/2006/relationships/hyperlink" Id="rId73" Target="https://doi.org/10.1038/nature06536" TargetMode="External" /><Relationship Type="http://schemas.openxmlformats.org/officeDocument/2006/relationships/hyperlink" Id="rId58" Target="https://doi.org/10.1038/nrg1729" TargetMode="External" /><Relationship Type="http://schemas.openxmlformats.org/officeDocument/2006/relationships/hyperlink" Id="rId41" Target="https://doi.org/10.1038/s41467-022-30339-y" TargetMode="External" /><Relationship Type="http://schemas.openxmlformats.org/officeDocument/2006/relationships/hyperlink" Id="rId35" Target="https://doi.org/10.1038/s41559-025-02718-3" TargetMode="External" /><Relationship Type="http://schemas.openxmlformats.org/officeDocument/2006/relationships/hyperlink" Id="rId43" Target="https://doi.org/10.1038/s44358-024-00005-w" TargetMode="External" /><Relationship Type="http://schemas.openxmlformats.org/officeDocument/2006/relationships/hyperlink" Id="rId91" Target="https://doi.org/10.1093/biosci/biaf091" TargetMode="External" /><Relationship Type="http://schemas.openxmlformats.org/officeDocument/2006/relationships/hyperlink" Id="rId45" Target="https://doi.org/10.1111/cobi.14192" TargetMode="External" /><Relationship Type="http://schemas.openxmlformats.org/officeDocument/2006/relationships/hyperlink" Id="rId56" Target="https://doi.org/10.1111/j.1365-3059.2011.02501.x" TargetMode="External" /><Relationship Type="http://schemas.openxmlformats.org/officeDocument/2006/relationships/hyperlink" Id="rId71" Target="https://doi.org/10.1111/j.1523-1739.2010.01605.x" TargetMode="External" /><Relationship Type="http://schemas.openxmlformats.org/officeDocument/2006/relationships/hyperlink" Id="rId108" Target="https://doi.org/10.1111/nyas.13983" TargetMode="External" /><Relationship Type="http://schemas.openxmlformats.org/officeDocument/2006/relationships/hyperlink" Id="rId54" Target="https://doi.org/10.1126/science.aap8826" TargetMode="External" /><Relationship Type="http://schemas.openxmlformats.org/officeDocument/2006/relationships/hyperlink" Id="rId62" Target="https://doi.org/10.1136/vr.g143" TargetMode="External" /><Relationship Type="http://schemas.openxmlformats.org/officeDocument/2006/relationships/hyperlink" Id="rId65" Target="https://doi.org/10.1139/facets-2024-0357" TargetMode="External" /><Relationship Type="http://schemas.openxmlformats.org/officeDocument/2006/relationships/hyperlink" Id="rId94" Target="https://doi.org/10.1146/annurev-publhealth-031912-114426" TargetMode="External" /><Relationship Type="http://schemas.openxmlformats.org/officeDocument/2006/relationships/hyperlink" Id="rId101" Target="https://doi.org/10.1146/annurev.phyto.43.113004.133839" TargetMode="External" /><Relationship Type="http://schemas.openxmlformats.org/officeDocument/2006/relationships/hyperlink" Id="rId114" Target="https://doi.org/10.1186/s40249-022-00979-9" TargetMode="External" /><Relationship Type="http://schemas.openxmlformats.org/officeDocument/2006/relationships/hyperlink" Id="rId87" Target="https://doi.org/10.1371/journal.pone.0041128" TargetMode="External" /><Relationship Type="http://schemas.openxmlformats.org/officeDocument/2006/relationships/hyperlink" Id="rId89" Target="https://doi.org/10.1371/journal.ppat.1010537" TargetMode="External" /><Relationship Type="http://schemas.openxmlformats.org/officeDocument/2006/relationships/hyperlink" Id="rId60" Target="https://doi.org/10.3389/fsufs.2020.00001" TargetMode="External" /><Relationship Type="http://schemas.openxmlformats.org/officeDocument/2006/relationships/hyperlink" Id="rId81" Target="https://doi.org/10.3389/fvets.2017.00163" TargetMode="External" /><Relationship Type="http://schemas.openxmlformats.org/officeDocument/2006/relationships/hyperlink" Id="rId47" Target="https://doi.org/10.3389/ijph.2026.1609612" TargetMode="External" /><Relationship Type="http://schemas.openxmlformats.org/officeDocument/2006/relationships/hyperlink" Id="rId79"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2026-06-22T13:25:28Z</dcterms:created>
  <dcterms:modified xsi:type="dcterms:W3CDTF">2026-06-22T13:25:28Z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action tracks. We found that 75% of the KM-GBF indicators are associated with either human (56%), animal (53%), plant (51%), or environmental (63%) health, and that 91% of them can be used for monitoring at least one action track. Reusing existing indicators alleviates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retrospectively and prospectively measure progress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2026-06-22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