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7"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Figure caption." title="" id="25" name="Picture"/>
            <a:graphic>
              <a:graphicData uri="http://schemas.openxmlformats.org/drawingml/2006/picture">
                <pic:pic>
                  <pic:nvPicPr>
                    <pic:cNvPr descr="figures/link_health.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7"/>
    <w:bookmarkStart w:id="38"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all.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tbl>
      <w:tblPr>
        <w:tblStyle w:val="Table"/>
        <w:tblW w:type="pct" w:w="5000"/>
        <w:tblLayout w:type="fixed"/>
        <w:tblLook w:firstRow="0" w:lastRow="0" w:firstColumn="0" w:lastColumn="0" w:noHBand="0" w:noVBand="0" w:val="0000"/>
      </w:tblPr>
      <w:tblGrid>
        <w:gridCol w:w="7920"/>
      </w:tblGrid>
      <w:tr>
        <w:tc>
          <w:tcPr/>
          <w:bookmarkStart w:id="31" w:name="tbl-letters-tbl-colwidths104545"/>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left"/>
                    <w:jc w:val="center"/>
                  </w:pPr>
                  <w:r>
                    <w:t xml:space="preserve">Action</w:t>
                  </w:r>
                </w:p>
              </w:tc>
              <w:tc>
                <w:tcPr/>
                <w:p>
                  <w:pPr>
                    <w:pStyle w:val="Compact"/>
                    <w:jc w:val="center"/>
                  </w:pPr>
                  <w:r>
                    <w:t xml:space="preserve">Directly usable</w:t>
                  </w:r>
                </w:p>
              </w:tc>
              <w:tc>
                <w:tcPr/>
                <w:p>
                  <w:pPr>
                    <w:pStyle w:val="Compact"/>
                    <w:jc w:val="center"/>
                  </w:pPr>
                  <w:r>
                    <w:t xml:space="preserve">Usable after adaptation</w:t>
                  </w:r>
                </w:p>
              </w:tc>
            </w:tr>
            <w:tr>
              <w:tc>
                <w:tcPr/>
                <w:p>
                  <w:pPr>
                    <w:pStyle w:val="Compact"/>
                    <w:jc w:val="left"/>
                    <w:jc w:val="center"/>
                  </w:pPr>
                  <w:r>
                    <w:t xml:space="preserve">1.1 Establish the foundations for One Health capacities</w:t>
                  </w:r>
                </w:p>
              </w:tc>
              <w:tc>
                <w:tcPr/>
                <w:p>
                  <w:pPr>
                    <w:pStyle w:val="Compact"/>
                    <w:jc w:val="center"/>
                  </w:pPr>
                  <w:r>
                    <w:t xml:space="preserve">30</w:t>
                  </w:r>
                </w:p>
              </w:tc>
              <w:tc>
                <w:tcPr/>
                <w:p>
                  <w:pPr>
                    <w:pStyle w:val="Compact"/>
                    <w:jc w:val="center"/>
                  </w:pPr>
                  <w:r>
                    <w:t xml:space="preserve">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center"/>
                  </w:pPr>
                  <w:r>
                    <w:t xml:space="preserve">8</w:t>
                  </w:r>
                </w:p>
              </w:tc>
              <w:tc>
                <w:tcPr/>
                <w:p>
                  <w:pPr>
                    <w:pStyle w:val="Compact"/>
                    <w:jc w:val="center"/>
                  </w:pPr>
                  <w:r>
                    <w:t xml:space="preserve">50</w:t>
                  </w:r>
                </w:p>
              </w:tc>
            </w:tr>
            <w:tr>
              <w:tc>
                <w:tcPr/>
                <w:p>
                  <w:pPr>
                    <w:pStyle w:val="Compact"/>
                    <w:jc w:val="left"/>
                    <w:jc w:val="center"/>
                  </w:pPr>
                  <w:r>
                    <w:t xml:space="preserve">1.3 Generate an enabling environment for the effective implementation of One Health</w:t>
                  </w:r>
                </w:p>
              </w:tc>
              <w:tc>
                <w:tcPr/>
                <w:p>
                  <w:pPr>
                    <w:pStyle w:val="Compact"/>
                    <w:jc w:val="center"/>
                  </w:pPr>
                  <w:r>
                    <w:t xml:space="preserve">8</w:t>
                  </w:r>
                </w:p>
              </w:tc>
              <w:tc>
                <w:tcPr/>
                <w:p>
                  <w:pPr>
                    <w:pStyle w:val="Compact"/>
                    <w:jc w:val="center"/>
                  </w:pPr>
                  <w:r>
                    <w:t xml:space="preserve">6</w:t>
                  </w:r>
                </w:p>
              </w:tc>
            </w:tr>
            <w:tr>
              <w:tc>
                <w:tcPr/>
                <w:p>
                  <w:pPr>
                    <w:pStyle w:val="Compact"/>
                    <w:jc w:val="left"/>
                    <w:jc w:val="center"/>
                  </w:pPr>
                  <w:r>
                    <w:t xml:space="preserve">2.1 Understand the drivers of emergence, spillover, and spread of zoonotic pathogens</w:t>
                  </w:r>
                </w:p>
              </w:tc>
              <w:tc>
                <w:tcPr/>
                <w:p>
                  <w:pPr>
                    <w:pStyle w:val="Compact"/>
                    <w:jc w:val="center"/>
                  </w:pPr>
                  <w:r>
                    <w:t xml:space="preserve">16</w:t>
                  </w:r>
                </w:p>
              </w:tc>
              <w:tc>
                <w:tcPr/>
                <w:p>
                  <w:pPr>
                    <w:pStyle w:val="Compact"/>
                    <w:jc w:val="center"/>
                  </w:pPr>
                  <w:r>
                    <w:t xml:space="preserve">27</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center"/>
                  </w:pPr>
                  <w:r>
                    <w:t xml:space="preserve">7</w:t>
                  </w:r>
                </w:p>
              </w:tc>
              <w:tc>
                <w:tcPr/>
                <w:p>
                  <w:pPr>
                    <w:pStyle w:val="Compact"/>
                    <w:jc w:val="center"/>
                  </w:pPr>
                  <w:r>
                    <w:t xml:space="preserve">6</w:t>
                  </w:r>
                </w:p>
              </w:tc>
            </w:tr>
            <w:tr>
              <w:tc>
                <w:tcPr/>
                <w:p>
                  <w:pPr>
                    <w:pStyle w:val="Compact"/>
                    <w:jc w:val="left"/>
                    <w:jc w:val="center"/>
                  </w:pPr>
                  <w:r>
                    <w:t xml:space="preserve">2.3 Strengthen national, regional, and global One Health surveillance, early warning, and response systems</w:t>
                  </w:r>
                </w:p>
              </w:tc>
              <w:tc>
                <w:tcPr/>
                <w:p>
                  <w:pPr>
                    <w:pStyle w:val="Compact"/>
                    <w:jc w:val="center"/>
                  </w:pPr>
                  <w:r>
                    <w:t xml:space="preserve">17</w:t>
                  </w:r>
                </w:p>
              </w:tc>
              <w:tc>
                <w:tcPr/>
                <w:p>
                  <w:pPr>
                    <w:pStyle w:val="Compact"/>
                    <w:jc w:val="center"/>
                  </w:pPr>
                  <w:r>
                    <w:t xml:space="preserve">30</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center"/>
                  </w:pPr>
                  <w:r>
                    <w:t xml:space="preserve">3</w:t>
                  </w:r>
                </w:p>
              </w:tc>
              <w:tc>
                <w:tcPr/>
                <w:p>
                  <w:pPr>
                    <w:pStyle w:val="Compact"/>
                    <w:jc w:val="center"/>
                  </w:pPr>
                  <w:r>
                    <w:t xml:space="preserve">14</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center"/>
                  </w:pPr>
                  <w:r>
                    <w:t xml:space="preserve">18</w:t>
                  </w:r>
                </w:p>
              </w:tc>
              <w:tc>
                <w:tcPr/>
                <w:p>
                  <w:pPr>
                    <w:pStyle w:val="Compact"/>
                    <w:jc w:val="center"/>
                  </w:pPr>
                  <w:r>
                    <w:t xml:space="preserve">10</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center"/>
                  </w:pPr>
                  <w:r>
                    <w:t xml:space="preserve">4</w:t>
                  </w:r>
                </w:p>
              </w:tc>
              <w:tc>
                <w:tcPr/>
                <w:p>
                  <w:pPr>
                    <w:pStyle w:val="Compact"/>
                    <w:jc w:val="center"/>
                  </w:pPr>
                  <w:r>
                    <w:t xml:space="preserve">19</w:t>
                  </w:r>
                </w:p>
              </w:tc>
            </w:tr>
            <w:tr>
              <w:tc>
                <w:tcPr/>
                <w:p>
                  <w:pPr>
                    <w:pStyle w:val="Compact"/>
                    <w:jc w:val="left"/>
                    <w:jc w:val="center"/>
                  </w:pPr>
                  <w:r>
                    <w:t xml:space="preserve">4.1 Strengthen the One Health approach in national food control systems and food safety coordination</w:t>
                  </w:r>
                </w:p>
              </w:tc>
              <w:tc>
                <w:tcPr/>
                <w:p>
                  <w:pPr>
                    <w:pStyle w:val="Compact"/>
                    <w:jc w:val="center"/>
                  </w:pPr>
                  <w:r>
                    <w:t xml:space="preserve">18</w:t>
                  </w:r>
                </w:p>
              </w:tc>
              <w:tc>
                <w:tcPr/>
                <w:p>
                  <w:pPr>
                    <w:pStyle w:val="Compact"/>
                    <w:jc w:val="center"/>
                  </w:pPr>
                  <w:r>
                    <w:t xml:space="preserve">30</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center"/>
                  </w:pPr>
                  <w:r>
                    <w:t xml:space="preserve">15</w:t>
                  </w:r>
                </w:p>
              </w:tc>
              <w:tc>
                <w:tcPr/>
                <w:p>
                  <w:pPr>
                    <w:pStyle w:val="Compact"/>
                    <w:jc w:val="center"/>
                  </w:pPr>
                  <w:r>
                    <w:t xml:space="preserve">21</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center"/>
                  </w:pPr>
                  <w:r>
                    <w:t xml:space="preserve">9</w:t>
                  </w:r>
                </w:p>
              </w:tc>
              <w:tc>
                <w:tcPr/>
                <w:p>
                  <w:pPr>
                    <w:pStyle w:val="Compact"/>
                    <w:jc w:val="center"/>
                  </w:pPr>
                  <w:r>
                    <w:t xml:space="preserve">19</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center"/>
                  </w:pPr>
                  <w:r>
                    <w:t xml:space="preserve">7</w:t>
                  </w:r>
                </w:p>
              </w:tc>
              <w:tc>
                <w:tcPr/>
                <w:p>
                  <w:pPr>
                    <w:pStyle w:val="Compact"/>
                    <w:jc w:val="center"/>
                  </w:pPr>
                  <w:r>
                    <w:t xml:space="preserve">17</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center"/>
                  </w:pPr>
                  <w:r>
                    <w:t xml:space="preserve">2</w:t>
                  </w:r>
                </w:p>
              </w:tc>
              <w:tc>
                <w:tcPr/>
                <w:p>
                  <w:pPr>
                    <w:pStyle w:val="Compact"/>
                    <w:jc w:val="center"/>
                  </w:pPr>
                  <w:r>
                    <w:t xml:space="preserve">13</w:t>
                  </w:r>
                </w:p>
              </w:tc>
            </w:tr>
            <w:tr>
              <w:tc>
                <w:tcPr/>
                <w:p>
                  <w:pPr>
                    <w:pStyle w:val="Compact"/>
                    <w:jc w:val="left"/>
                    <w:jc w:val="center"/>
                  </w:pPr>
                  <w:r>
                    <w:t xml:space="preserve">5.3 Strengthen global AMR governance structures</w:t>
                  </w:r>
                </w:p>
              </w:tc>
              <w:tc>
                <w:tcPr/>
                <w:p>
                  <w:pPr>
                    <w:pStyle w:val="Compact"/>
                    <w:jc w:val="center"/>
                  </w:pPr>
                  <w:r>
                    <w:t xml:space="preserve">0</w:t>
                  </w:r>
                </w:p>
              </w:tc>
              <w:tc>
                <w:tcPr/>
                <w:p>
                  <w:pPr>
                    <w:pStyle w:val="Compact"/>
                    <w:jc w:val="center"/>
                  </w:pPr>
                  <w:r>
                    <w:t xml:space="preserve">1</w:t>
                  </w:r>
                </w:p>
              </w:tc>
            </w:tr>
            <w:tr>
              <w:tc>
                <w:tcPr/>
                <w:p>
                  <w:pPr>
                    <w:pStyle w:val="Compact"/>
                    <w:jc w:val="left"/>
                    <w:jc w:val="center"/>
                  </w:pPr>
                  <w:r>
                    <w:t xml:space="preserve">6.1 Protect, restore, and prevent the degradation of ecosystems and the wider environment</w:t>
                  </w:r>
                </w:p>
              </w:tc>
              <w:tc>
                <w:tcPr/>
                <w:p>
                  <w:pPr>
                    <w:pStyle w:val="Compact"/>
                    <w:jc w:val="center"/>
                  </w:pPr>
                  <w:r>
                    <w:t xml:space="preserve">92</w:t>
                  </w:r>
                </w:p>
              </w:tc>
              <w:tc>
                <w:tcPr/>
                <w:p>
                  <w:pPr>
                    <w:pStyle w:val="Compact"/>
                    <w:jc w:val="center"/>
                  </w:pPr>
                  <w:r>
                    <w:t xml:space="preserve">16</w:t>
                  </w:r>
                </w:p>
              </w:tc>
            </w:tr>
            <w:tr>
              <w:tc>
                <w:tcPr/>
                <w:p>
                  <w:pPr>
                    <w:pStyle w:val="Compact"/>
                    <w:jc w:val="left"/>
                    <w:jc w:val="center"/>
                  </w:pPr>
                  <w:r>
                    <w:t xml:space="preserve">6.2 Mainstream the health of the environment and ecosystems into the One Health approach</w:t>
                  </w:r>
                </w:p>
              </w:tc>
              <w:tc>
                <w:tcPr/>
                <w:p>
                  <w:pPr>
                    <w:pStyle w:val="Compact"/>
                    <w:jc w:val="center"/>
                  </w:pPr>
                  <w:r>
                    <w:t xml:space="preserve">9</w:t>
                  </w:r>
                </w:p>
              </w:tc>
              <w:tc>
                <w:tcPr/>
                <w:p>
                  <w:pPr>
                    <w:pStyle w:val="Compact"/>
                    <w:jc w:val="center"/>
                  </w:pPr>
                  <w:r>
                    <w:t xml:space="preserve">7</w:t>
                  </w:r>
                </w:p>
              </w:tc>
            </w:tr>
            <w:tr>
              <w:tc>
                <w:tcPr/>
                <w:p>
                  <w:pPr>
                    <w:pStyle w:val="Compact"/>
                    <w:jc w:val="left"/>
                    <w:jc w:val="center"/>
                  </w:pPr>
                  <w:r>
                    <w:t xml:space="preserve">6.3 Integrate environmental knowledge, data, and evidence into One Health decision-making</w:t>
                  </w:r>
                </w:p>
              </w:tc>
              <w:tc>
                <w:tcPr/>
                <w:p>
                  <w:pPr>
                    <w:pStyle w:val="Compact"/>
                    <w:jc w:val="center"/>
                  </w:pPr>
                  <w:r>
                    <w:t xml:space="preserve">20</w:t>
                  </w:r>
                </w:p>
              </w:tc>
              <w:tc>
                <w:tcPr/>
                <w:p>
                  <w:pPr>
                    <w:pStyle w:val="Compact"/>
                    <w:jc w:val="center"/>
                  </w:pPr>
                  <w:r>
                    <w:t xml:space="preserve">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center"/>
                  </w:pPr>
                  <w:r>
                    <w:t xml:space="preserve">5</w:t>
                  </w:r>
                </w:p>
              </w:tc>
              <w:tc>
                <w:tcPr/>
                <w:p>
                  <w:pPr>
                    <w:pStyle w:val="Compact"/>
                    <w:jc w:val="center"/>
                  </w:pPr>
                  <w:r>
                    <w:t xml:space="preserve">7</w:t>
                  </w:r>
                </w:p>
              </w:tc>
            </w:tr>
          </w:tbl>
          <w:bookmarkEnd w:id="31"/>
          <w:p/>
        </w:tc>
      </w:tr>
    </w:tbl>
    <w:p>
      <w:pPr>
        <w:pStyle w:val="Compact"/>
        <w:numPr>
          <w:ilvl w:val="0"/>
          <w:numId w:val="1031"/>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3</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33" name="Picture"/>
            <a:graphic>
              <a:graphicData uri="http://schemas.openxmlformats.org/drawingml/2006/picture">
                <pic:pic>
                  <pic:nvPicPr>
                    <pic:cNvPr descr="figures/usability_categories.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3"/>
        </w:numPr>
      </w:pPr>
      <w:r>
        <w:t xml:space="preserve">Usable indicators are in all categories of the Action Plan</w:t>
      </w:r>
    </w:p>
    <w:p>
      <w:pPr>
        <w:pStyle w:val="Compact"/>
        <w:numPr>
          <w:ilvl w:val="1"/>
          <w:numId w:val="1034"/>
        </w:numPr>
      </w:pPr>
      <w:r>
        <w:t xml:space="preserve">The KM-GBF addresses many dimensions of health</w:t>
      </w:r>
    </w:p>
    <w:p>
      <w:pPr>
        <w:pStyle w:val="Compact"/>
        <w:numPr>
          <w:ilvl w:val="1"/>
          <w:numId w:val="1034"/>
        </w:numPr>
      </w:pPr>
      <w:r>
        <w:t xml:space="preserve">Presentation of important gaps</w:t>
      </w:r>
    </w:p>
    <w:p>
      <w:pPr>
        <w:pStyle w:val="Compact"/>
        <w:numPr>
          <w:ilvl w:val="1"/>
          <w:numId w:val="1034"/>
        </w:numPr>
      </w:pPr>
      <w:r>
        <w:t xml:space="preserve">Description of important categories and their connection with health</w:t>
      </w:r>
    </w:p>
    <w:p>
      <w:pPr>
        <w:pStyle w:val="CaptionedFigure"/>
      </w:pPr>
      <w:r>
        <w:drawing>
          <wp:inline>
            <wp:extent cx="5334000" cy="4000500"/>
            <wp:effectExtent b="0" l="0" r="0" t="0"/>
            <wp:docPr descr="Figure caption." title="" id="36" name="Picture"/>
            <a:graphic>
              <a:graphicData uri="http://schemas.openxmlformats.org/drawingml/2006/picture">
                <pic:pic>
                  <pic:nvPicPr>
                    <pic:cNvPr descr="figures/usability_GAP.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bookmarkEnd w:id="38"/>
    <w:bookmarkStart w:id="39"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8" Target="media/rId2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2025-12-19T22:34:29Z</dcterms:created>
  <dcterms:modified xsi:type="dcterms:W3CDTF">2025-12-19T22:34:29Z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