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2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ompact"/>
        <w:numPr>
          <w:ilvl w:val="0"/>
          <w:numId w:val="1029"/>
        </w:numPr>
      </w:pPr>
      <w:r>
        <w:t xml:space="preserve">Table 1:</w:t>
      </w:r>
    </w:p>
    <w:p>
      <w:pPr>
        <w:pStyle w:val="Compact"/>
        <w:numPr>
          <w:ilvl w:val="1"/>
          <w:numId w:val="1031"/>
        </w:numPr>
      </w:pPr>
      <w:r>
        <w:t xml:space="preserve">Lines: All actions in the OH JPA</w:t>
      </w:r>
    </w:p>
    <w:p>
      <w:pPr>
        <w:pStyle w:val="Compact"/>
        <w:numPr>
          <w:ilvl w:val="1"/>
          <w:numId w:val="1031"/>
        </w:numPr>
      </w:pPr>
      <w:r>
        <w:t xml:space="preserve">Columns: Directly usable, usable after adaptation, not usable</w:t>
      </w:r>
    </w:p>
    <w:p>
      <w:pPr>
        <w:pStyle w:val="Compact"/>
        <w:numPr>
          <w:ilvl w:val="0"/>
          <w:numId w:val="1029"/>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2</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Elephant" title="" id="26" name="Picture"/>
            <a:graphic>
              <a:graphicData uri="http://schemas.openxmlformats.org/drawingml/2006/picture">
                <pic:pic>
                  <pic:nvPicPr>
                    <pic:cNvPr descr="figures/usability_categori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Elephant</w:t>
      </w:r>
    </w:p>
    <w:p>
      <w:pPr>
        <w:pStyle w:val="BodyText"/>
      </w:pPr>
      <w:r>
        <w:t xml:space="preserve">#figure(</w:t>
      </w:r>
      <w:r>
        <w:t xml:space="preserve"> </w:t>
      </w:r>
      <w:r>
        <w:t xml:space="preserve">rect[Hello],</w:t>
      </w:r>
      <w:r>
        <w:t xml:space="preserve"> </w:t>
      </w:r>
      <w:r>
        <w:t xml:space="preserve">caption: [I am emphasized!],</w:t>
      </w:r>
      <w:r>
        <w:t xml:space="preserve"> </w:t>
      </w:r>
      <w:r>
        <w:t xml:space="preserve">)</w:t>
      </w:r>
    </w:p>
    <w:p>
      <w:pPr>
        <w:pStyle w:val="BodyText"/>
      </w:pPr>
      <w:r>
        <w:t xml:space="preserve">#figure(</w:t>
      </w:r>
      <w:r>
        <w:t xml:space="preserve"> </w:t>
      </w:r>
      <w:r>
        <w:t xml:space="preserve">image(</w:t>
      </w:r>
      <w:r>
        <w:t xml:space="preserve">“figures/usability_categories.png”</w:t>
      </w:r>
      <w:r>
        <w:t xml:space="preserve">, width: 80%),</w:t>
      </w:r>
      <w:r>
        <w:t xml:space="preserve"> </w:t>
      </w:r>
      <w:r>
        <w:t xml:space="preserve">caption: [A curious figure.],</w:t>
      </w:r>
      <w:r>
        <w:t xml:space="preserve"> </w:t>
      </w:r>
      <w:r>
        <w:t xml:space="preserve">)</w:t>
      </w:r>
      <w:r>
        <w:t xml:space="preserve"> </w:t>
      </w:r>
    </w:p>
    <w:p>
      <w:pPr>
        <w:pStyle w:val="BodyText"/>
      </w:pPr>
      <w:r>
        <w:t xml:space="preserve">TEST</w:t>
      </w:r>
      <w:r>
        <w:t xml:space="preserve"> </w:t>
      </w:r>
      <w:r>
        <w:t xml:space="preserve">- Usable indicators are in all categories of the Action Plan</w:t>
      </w:r>
      <w:r>
        <w:t xml:space="preserve"> </w:t>
      </w:r>
      <w:r>
        <w:t xml:space="preserve">- The KM-GBF addresses many dimensions of health</w:t>
      </w:r>
      <w:r>
        <w:t xml:space="preserve"> </w:t>
      </w:r>
      <w:r>
        <w:t xml:space="preserve">- Presentation of important gaps</w:t>
      </w:r>
      <w:r>
        <w:t xml:space="preserve"> </w:t>
      </w:r>
      <w:r>
        <w:t xml:space="preserve">- Description of important categories and their connection with health</w:t>
      </w:r>
    </w:p>
    <w:p>
      <w:pPr>
        <w:pStyle w:val="Compact"/>
        <w:numPr>
          <w:ilvl w:val="0"/>
          <w:numId w:val="1033"/>
        </w:numPr>
      </w:pPr>
      <w:r>
        <w:t xml:space="preserve">Figure 3: Sankey diagram</w:t>
      </w:r>
    </w:p>
    <w:p>
      <w:pPr>
        <w:pStyle w:val="Compact"/>
        <w:numPr>
          <w:ilvl w:val="1"/>
          <w:numId w:val="1034"/>
        </w:numPr>
      </w:pPr>
      <w:r>
        <w:t xml:space="preserve">Left: Categories of the Global Action Plan on biodiversity and health (including no assigned category)</w:t>
      </w:r>
    </w:p>
    <w:p>
      <w:pPr>
        <w:pStyle w:val="Compact"/>
        <w:numPr>
          <w:ilvl w:val="1"/>
          <w:numId w:val="1034"/>
        </w:numPr>
      </w:pPr>
      <w:r>
        <w:t xml:space="preserve">Right: Six action tracks (including no action track)</w:t>
      </w:r>
    </w:p>
    <w:bookmarkEnd w:id="28"/>
    <w:bookmarkStart w:id="2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Andrea Paz Velez; Timothée Poisot</dc:creator>
  <dc:language>en-CA</dc:language>
  <cp:keywords>biodiversity indicators, Kunming-Montreal Global Biodiversity Framework, One Health, One Health Joint Plan of Action, Quadripartite Organizations</cp:keywords>
  <dcterms:created xsi:type="dcterms:W3CDTF">2025-12-19T16:44:45Z</dcterms:created>
  <dcterms:modified xsi:type="dcterms:W3CDTF">2025-12-19T16:44:45Z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