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2026-05-08</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On the other hand, infectious diseases originating in wildlife are a serious threat to public health, the transmission of pathogens from animals to humans being a major cause of disease outbreaks</w:t>
      </w:r>
      <w:r>
        <w:t xml:space="preserve"> </w:t>
      </w:r>
      <w:r>
        <w:t xml:space="preserve">(K. E. Jones et al., 2008)</w:t>
      </w:r>
      <w:r>
        <w:t xml:space="preserve">. Plant diseases also impact human health by hindering ecosystem services, e.g. through food contamination or the reduction in food production</w:t>
      </w:r>
      <w:r>
        <w:t xml:space="preserve"> </w:t>
      </w:r>
      <w:r>
        <w:t xml:space="preserve">(Al-Sadi, 2017)</w:t>
      </w:r>
      <w:r>
        <w:t xml:space="preserve">. Biodiversity and human health can both be affected by the same threats</w:t>
      </w:r>
      <w:r>
        <w:t xml:space="preserve"> </w:t>
      </w:r>
      <w:r>
        <w:t xml:space="preserve">(Carlson et al., 2025)</w:t>
      </w:r>
      <w:r>
        <w:t xml:space="preserve">, supported by the same strategies that mitigate these threats</w:t>
      </w:r>
      <w:r>
        <w:t xml:space="preserve"> </w:t>
      </w:r>
      <w:r>
        <w:t xml:space="preserve">(Kilpatrick et al., 2017)</w:t>
      </w:r>
      <w:r>
        <w:t xml:space="preserve">, and monitored by the same set of tools</w:t>
      </w:r>
      <w:r>
        <w:t xml:space="preserve"> </w:t>
      </w:r>
      <w:r>
        <w:t xml:space="preserve">(Poisot et al., 2025)</w:t>
      </w:r>
      <w:r>
        <w:t xml:space="preserve">, which further underscores their interconnections.</w:t>
      </w:r>
    </w:p>
    <w:p>
      <w:pPr>
        <w:pStyle w:val="BodyText"/>
      </w:pPr>
      <w:r>
        <w:t xml:space="preserve">The One Health approach</w:t>
      </w:r>
      <w:r>
        <w:t xml:space="preserve"> </w:t>
      </w:r>
      <w:r>
        <w:t xml:space="preserve">(OHHLEP et al., 2022; Winkler et al., 2025)</w:t>
      </w:r>
      <w:r>
        <w:t xml:space="preserve"> </w:t>
      </w:r>
      <w:r>
        <w:t xml:space="preserve">acknowledges the interconnections between human, animal, plant, and environmental health</w:t>
      </w:r>
      <w:r>
        <w:t xml:space="preserve"> </w:t>
      </w:r>
      <w:r>
        <w:t xml:space="preserve">(Rabinowitz &amp; Conti, 2013)</w:t>
      </w:r>
      <w:r>
        <w:t xml:space="preserve"> </w:t>
      </w:r>
      <w:r>
        <w:t xml:space="preserve">by fostering collaboration between health professionals, veterinarians, and biologists to address complex public health challenges. To do so, it engages a socioecological systems perspective that notably recognizes the importance of biodiversity conservation for public health</w:t>
      </w:r>
      <w:r>
        <w:t xml:space="preserve"> </w:t>
      </w:r>
      <w:r>
        <w:t xml:space="preserve">(Winkler et al., 2025)</w:t>
      </w:r>
      <w:r>
        <w:t xml:space="preserve">. This approach is operationalized through the One Health Joint Plan of Action (OH JPA) (2022-2026), which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and food safety capacities (track 4) while preventing zoonotic diseases (tracks 2 and 3), antimicrobial resistance (track 5), and environmental degradation (track 6). However, there are currently no indicators for monitoring the implementation of this plan. As we enter the final year of the plan, the need to evaluate the progress made since its adoption in 2022 grows acute for at least two reasons: to encourage States to effectively implement policies for the OH JPA as it is a statement of intent with no legal or binding force, and because this evaluation is essential to inform the development of the next version of the plan.</w:t>
      </w:r>
    </w:p>
    <w:p>
      <w:pPr>
        <w:pStyle w:val="BodyText"/>
      </w:pPr>
      <w:r>
        <w:t xml:space="preserve">A solid example of monitoring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w:t>
      </w:r>
    </w:p>
    <w:p>
      <w:pPr>
        <w:pStyle w:val="BodyText"/>
      </w:pPr>
      <w:r>
        <w:t xml:space="preserve">Biodiversity indicators are defined as measures of changes in the state of biodiversity over time that allow for tracking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the two</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some of the same indicators for both monitoring systems (the KM-GBF and the OH JPA) would improve their efficiency and reduce the workload of countries, as developing and measuring indicators require significant resources and expertise from all governments, which should therefore be allocated wisely. This is illustrated by the reluctance which was voiced during the vote of the KM-GBF monitoring framework, where</w:t>
      </w:r>
      <w:r>
        <w:t xml:space="preserve"> </w:t>
      </w:r>
      <w:r>
        <w:t xml:space="preserve">“many delegates were concerned that a large number of targets and indicators increased challenges for communication and monitoring, especially by less well-resourced nations”</w:t>
      </w:r>
      <w:r>
        <w:t xml:space="preserve"> </w:t>
      </w:r>
      <w:r>
        <w:t xml:space="preserve">(Carroll et al., 2024)</w:t>
      </w:r>
      <w:r>
        <w:t xml:space="preserve">. This highlights the need to make existing indicators more efficient by making them serve more than one purpose. Moreover, it is worth noting that,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w:t>
      </w:r>
    </w:p>
    <w:p>
      <w:pPr>
        <w:pStyle w:val="BodyText"/>
      </w:pPr>
      <w:r>
        <w:t xml:space="preserve">This study therefore aimed to identify the indicators of the KM-GBF monitoring framework that are of relevance to health. First, we assessed the link between each of these indicators and human, animal, plant, and environmental health, respectively. Then, we evaluated the usability of the indicators for monitoring the specific action tracks of the OH JPA. We show how biodiversity monitoring can become an essential component of effective One Health strategies, and how it can be used to track the progress made towards the ambitious goals of the OH JPA.</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Specifically, we evaluated the degree to which they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harder to define</w:t>
            </w:r>
            <w:r>
              <w:t xml:space="preserve"> </w:t>
            </w:r>
            <w:r>
              <w:t xml:space="preserve">(Döring et al., 2012)</w:t>
            </w:r>
            <w:r>
              <w:t xml:space="preserve">. We consider plant health as the extent to which they are able to function physiologically, and plant diseases as impediments to their normal physiological functioning often leading to death. Because domesticated animals and plants are mainly used for human consumption, diseases can have important consequences for food security</w:t>
            </w:r>
            <w:r>
              <w:t xml:space="preserve"> </w:t>
            </w:r>
            <w:r>
              <w:t xml:space="preserve">(Garcia et al., 2020; Strange &amp; Scott, 2005)</w:t>
            </w:r>
            <w:r>
              <w:t xml:space="preserve">. At the ecosystem level, consisting of many species and their interactions, health is also ill-defined</w:t>
            </w:r>
            <w:r>
              <w:t xml:space="preserve"> </w:t>
            </w:r>
            <w:r>
              <w:t xml:space="preserve">(Schaeffer et al., 1988)</w:t>
            </w:r>
            <w:r>
              <w:t xml:space="preserve">, and the idea of ecosystem health, although ancient,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which only has 52% of usable indicators.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 This figure 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As demonstrated in the introduction, reusing existing indicators can greatly reduce the workload of countries that are part of different multilateral environmental agreements with overlapping objectives. Instead of developing and measuring new indicators, which can be resource-intensive, reusing indicators from the KM-GBF monitoring framework to monitor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and improve their methodologies. Making indicators serve more than one purpose can also improve the efficiency of public and private spending by avoiding duplication of work.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most KM-GBF indicators can greatly facilitate the monitoring of One Health action tracks, and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w:t>
      </w:r>
    </w:p>
    <w:bookmarkEnd w:id="34"/>
    <w:bookmarkStart w:id="109" w:name="references"/>
    <w:p>
      <w:pPr>
        <w:pStyle w:val="Heading1"/>
      </w:pPr>
      <w:r>
        <w:t xml:space="preserve">References</w:t>
      </w:r>
    </w:p>
    <w:bookmarkStart w:id="108"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1">
        <w:r>
          <w:rPr>
            <w:rStyle w:val="Hyperlink"/>
          </w:rPr>
          <w:t xml:space="preserve">https://doi.org/10.1038/s44358-024-00005-w</w:t>
        </w:r>
      </w:hyperlink>
    </w:p>
    <w:bookmarkEnd w:id="42"/>
    <w:bookmarkStart w:id="44"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3">
        <w:r>
          <w:rPr>
            <w:rStyle w:val="Hyperlink"/>
          </w:rPr>
          <w:t xml:space="preserve">https://doi.org/10.1111/cobi.14192</w:t>
        </w:r>
      </w:hyperlink>
    </w:p>
    <w:bookmarkEnd w:id="44"/>
    <w:bookmarkStart w:id="46"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5">
        <w:r>
          <w:rPr>
            <w:rStyle w:val="Hyperlink"/>
          </w:rPr>
          <w:t xml:space="preserve">https://doi.org/10.1023/A:1009930313242</w:t>
        </w:r>
      </w:hyperlink>
    </w:p>
    <w:bookmarkEnd w:id="46"/>
    <w:bookmarkStart w:id="48"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7">
        <w:r>
          <w:rPr>
            <w:rStyle w:val="Hyperlink"/>
          </w:rPr>
          <w:t xml:space="preserve">https://doi.org/10.1126/science.aap8826</w:t>
        </w:r>
      </w:hyperlink>
    </w:p>
    <w:bookmarkEnd w:id="48"/>
    <w:bookmarkStart w:id="50"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9">
        <w:r>
          <w:rPr>
            <w:rStyle w:val="Hyperlink"/>
          </w:rPr>
          <w:t xml:space="preserve">https://doi.org/10.1111/j.1365-3059.2011.02501.x</w:t>
        </w:r>
      </w:hyperlink>
    </w:p>
    <w:bookmarkEnd w:id="50"/>
    <w:bookmarkStart w:id="52"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1">
        <w:r>
          <w:rPr>
            <w:rStyle w:val="Hyperlink"/>
          </w:rPr>
          <w:t xml:space="preserve">https://doi.org/10.1038/nrg1729</w:t>
        </w:r>
      </w:hyperlink>
    </w:p>
    <w:bookmarkEnd w:id="52"/>
    <w:bookmarkStart w:id="54"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53">
        <w:r>
          <w:rPr>
            <w:rStyle w:val="Hyperlink"/>
          </w:rPr>
          <w:t xml:space="preserve">https://doi.org/10.3389/fsufs.2020.00001</w:t>
        </w:r>
      </w:hyperlink>
    </w:p>
    <w:bookmarkEnd w:id="54"/>
    <w:bookmarkStart w:id="56"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55">
        <w:r>
          <w:rPr>
            <w:rStyle w:val="Hyperlink"/>
          </w:rPr>
          <w:t xml:space="preserve">https://doi.org/10.1136/vr.g143</w:t>
        </w:r>
      </w:hyperlink>
    </w:p>
    <w:bookmarkEnd w:id="56"/>
    <w:bookmarkStart w:id="57"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57"/>
    <w:bookmarkStart w:id="59"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58">
        <w:r>
          <w:rPr>
            <w:rStyle w:val="Hyperlink"/>
          </w:rPr>
          <w:t xml:space="preserve">https://doi.org/10.1139/facets-2024-0357</w:t>
        </w:r>
      </w:hyperlink>
    </w:p>
    <w:bookmarkEnd w:id="59"/>
    <w:bookmarkStart w:id="61"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0">
        <w:r>
          <w:rPr>
            <w:rStyle w:val="Hyperlink"/>
          </w:rPr>
          <w:t xml:space="preserve">https://doi.org/10.1007/s00038-013-0482-1</w:t>
        </w:r>
      </w:hyperlink>
    </w:p>
    <w:bookmarkEnd w:id="61"/>
    <w:bookmarkStart w:id="62"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62"/>
    <w:bookmarkStart w:id="64"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63">
        <w:r>
          <w:rPr>
            <w:rStyle w:val="Hyperlink"/>
          </w:rPr>
          <w:t xml:space="preserve">https://doi.org/10.1111/j.1523-1739.2010.01605.x</w:t>
        </w:r>
      </w:hyperlink>
    </w:p>
    <w:bookmarkEnd w:id="64"/>
    <w:bookmarkStart w:id="66"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65">
        <w:r>
          <w:rPr>
            <w:rStyle w:val="Hyperlink"/>
          </w:rPr>
          <w:t xml:space="preserve">https://doi.org/10.1038/nature06536</w:t>
        </w:r>
      </w:hyperlink>
    </w:p>
    <w:bookmarkEnd w:id="66"/>
    <w:bookmarkStart w:id="68" w:name="ref-Kilpatrick2017Conservation"/>
    <w:p>
      <w:pPr>
        <w:pStyle w:val="Bibliography"/>
      </w:pPr>
      <w:r>
        <w:t xml:space="preserve">Kilpatrick, A. M., Salkeld, D. J., Titcomb, G., &amp; Hahn, M. B. (2017). Conservation of biodiversity as a strategy for improving human health and well-being.</w:t>
      </w:r>
      <w:r>
        <w:t xml:space="preserve"> </w:t>
      </w:r>
      <w:r>
        <w:rPr>
          <w:i/>
          <w:iCs/>
        </w:rPr>
        <w:t xml:space="preserve">Philosophical Transactions of the Royal Society B: Biological Sciences</w:t>
      </w:r>
      <w:r>
        <w:t xml:space="preserve">,</w:t>
      </w:r>
      <w:r>
        <w:t xml:space="preserve"> </w:t>
      </w:r>
      <w:r>
        <w:rPr>
          <w:i/>
          <w:iCs/>
        </w:rPr>
        <w:t xml:space="preserve">372</w:t>
      </w:r>
      <w:r>
        <w:t xml:space="preserve">(1722), 20160131.</w:t>
      </w:r>
      <w:r>
        <w:t xml:space="preserve"> </w:t>
      </w:r>
      <w:hyperlink r:id="rId67">
        <w:r>
          <w:rPr>
            <w:rStyle w:val="Hyperlink"/>
          </w:rPr>
          <w:t xml:space="preserve">https://doi.org/10.1098/rstb.2016.0131</w:t>
        </w:r>
      </w:hyperlink>
    </w:p>
    <w:bookmarkEnd w:id="68"/>
    <w:bookmarkStart w:id="70"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69">
        <w:r>
          <w:rPr>
            <w:rStyle w:val="Hyperlink"/>
          </w:rPr>
          <w:t xml:space="preserve">https://doi.org/10.1016/j.scitotenv.2016.09.009</w:t>
        </w:r>
      </w:hyperlink>
    </w:p>
    <w:bookmarkEnd w:id="70"/>
    <w:bookmarkStart w:id="71"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1"/>
    <w:bookmarkStart w:id="72"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2"/>
    <w:bookmarkStart w:id="74"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3">
        <w:r>
          <w:rPr>
            <w:rStyle w:val="Hyperlink"/>
          </w:rPr>
          <w:t xml:space="preserve">https://doi.org/10.3402/iee.v5.25300</w:t>
        </w:r>
      </w:hyperlink>
    </w:p>
    <w:bookmarkEnd w:id="74"/>
    <w:bookmarkStart w:id="76"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75">
        <w:r>
          <w:rPr>
            <w:rStyle w:val="Hyperlink"/>
          </w:rPr>
          <w:t xml:space="preserve">https://doi.org/10.3389/fvets.2017.00163</w:t>
        </w:r>
      </w:hyperlink>
    </w:p>
    <w:bookmarkEnd w:id="76"/>
    <w:bookmarkStart w:id="78"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77">
        <w:r>
          <w:rPr>
            <w:rStyle w:val="Hyperlink"/>
          </w:rPr>
          <w:t xml:space="preserve">https://doi.org/10.1007/978-3-319-27455-3_13</w:t>
        </w:r>
      </w:hyperlink>
    </w:p>
    <w:bookmarkEnd w:id="78"/>
    <w:bookmarkStart w:id="80"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79">
        <w:r>
          <w:rPr>
            <w:rStyle w:val="Hyperlink"/>
          </w:rPr>
          <w:t xml:space="preserve">https://doi.org/10.1007/s00709-020-01579-w</w:t>
        </w:r>
      </w:hyperlink>
    </w:p>
    <w:bookmarkEnd w:id="80"/>
    <w:bookmarkStart w:id="82"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1">
        <w:r>
          <w:rPr>
            <w:rStyle w:val="Hyperlink"/>
          </w:rPr>
          <w:t xml:space="preserve">https://doi.org/10.1371/journal.pone.0041128</w:t>
        </w:r>
      </w:hyperlink>
    </w:p>
    <w:bookmarkEnd w:id="82"/>
    <w:bookmarkStart w:id="84"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3">
        <w:r>
          <w:rPr>
            <w:rStyle w:val="Hyperlink"/>
          </w:rPr>
          <w:t xml:space="preserve">https://doi.org/10.1371/journal.ppat.1010537</w:t>
        </w:r>
      </w:hyperlink>
    </w:p>
    <w:bookmarkEnd w:id="84"/>
    <w:bookmarkStart w:id="86"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85">
        <w:r>
          <w:rPr>
            <w:rStyle w:val="Hyperlink"/>
          </w:rPr>
          <w:t xml:space="preserve">https://doi.org/10.1093/biosci/biaf091</w:t>
        </w:r>
      </w:hyperlink>
    </w:p>
    <w:bookmarkEnd w:id="86"/>
    <w:bookmarkStart w:id="87"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87"/>
    <w:bookmarkStart w:id="89"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88">
        <w:r>
          <w:rPr>
            <w:rStyle w:val="Hyperlink"/>
          </w:rPr>
          <w:t xml:space="preserve">https://doi.org/10.1146/annurev-publhealth-031912-114426</w:t>
        </w:r>
      </w:hyperlink>
    </w:p>
    <w:bookmarkEnd w:id="89"/>
    <w:bookmarkStart w:id="90"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0"/>
    <w:bookmarkStart w:id="92"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1">
        <w:r>
          <w:rPr>
            <w:rStyle w:val="Hyperlink"/>
          </w:rPr>
          <w:t xml:space="preserve">https://doi.org/10.1016/j.envres.2024.118115</w:t>
        </w:r>
      </w:hyperlink>
    </w:p>
    <w:bookmarkEnd w:id="92"/>
    <w:bookmarkStart w:id="94"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3">
        <w:r>
          <w:rPr>
            <w:rStyle w:val="Hyperlink"/>
          </w:rPr>
          <w:t xml:space="preserve">https://doi.org/10.1007/BF01873258</w:t>
        </w:r>
      </w:hyperlink>
    </w:p>
    <w:bookmarkEnd w:id="94"/>
    <w:bookmarkStart w:id="96"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95">
        <w:r>
          <w:rPr>
            <w:rStyle w:val="Hyperlink"/>
          </w:rPr>
          <w:t xml:space="preserve">https://doi.org/10.1146/annurev.phyto.43.113004.133839</w:t>
        </w:r>
      </w:hyperlink>
    </w:p>
    <w:bookmarkEnd w:id="96"/>
    <w:bookmarkStart w:id="97"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97"/>
    <w:bookmarkStart w:id="98"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98"/>
    <w:bookmarkStart w:id="99"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99"/>
    <w:bookmarkStart w:id="100"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0"/>
    <w:bookmarkStart w:id="101"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1"/>
    <w:bookmarkStart w:id="103"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2">
        <w:r>
          <w:rPr>
            <w:rStyle w:val="Hyperlink"/>
          </w:rPr>
          <w:t xml:space="preserve">https://doi.org/10.1111/nyas.13983</w:t>
        </w:r>
      </w:hyperlink>
    </w:p>
    <w:bookmarkEnd w:id="103"/>
    <w:bookmarkStart w:id="104"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04"/>
    <w:bookmarkStart w:id="105" w:name="ref-Who"/>
    <w:p>
      <w:pPr>
        <w:pStyle w:val="Bibliography"/>
      </w:pPr>
      <w:r>
        <w:t xml:space="preserve">WHO. (2025).</w:t>
      </w:r>
      <w:r>
        <w:t xml:space="preserve"> </w:t>
      </w:r>
      <w:r>
        <w:rPr>
          <w:i/>
          <w:iCs/>
        </w:rPr>
        <w:t xml:space="preserve">WHO Pandemic Agreement</w:t>
      </w:r>
      <w:r>
        <w:t xml:space="preserve">. Seventy-eighth World Health Assembly. WHA78.1.</w:t>
      </w:r>
    </w:p>
    <w:bookmarkEnd w:id="105"/>
    <w:bookmarkStart w:id="107"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06">
        <w:r>
          <w:rPr>
            <w:rStyle w:val="Hyperlink"/>
          </w:rPr>
          <w:t xml:space="preserve">https://doi.org/10.1016/S0140-6736(25)00627-0</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27455-3_13" TargetMode="External" /><Relationship Type="http://schemas.openxmlformats.org/officeDocument/2006/relationships/hyperlink" Id="rId93" Target="https://doi.org/10.1007/BF01873258" TargetMode="External" /><Relationship Type="http://schemas.openxmlformats.org/officeDocument/2006/relationships/hyperlink" Id="rId60" Target="https://doi.org/10.1007/s00038-013-0482-1" TargetMode="External" /><Relationship Type="http://schemas.openxmlformats.org/officeDocument/2006/relationships/hyperlink" Id="rId79" Target="https://doi.org/10.1007/s00709-020-01579-w" TargetMode="External" /><Relationship Type="http://schemas.openxmlformats.org/officeDocument/2006/relationships/hyperlink" Id="rId106"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1" Target="https://doi.org/10.1016/j.envres.2024.118115" TargetMode="External" /><Relationship Type="http://schemas.openxmlformats.org/officeDocument/2006/relationships/hyperlink" Id="rId69" Target="https://doi.org/10.1016/j.scitotenv.2016.09.009" TargetMode="External" /><Relationship Type="http://schemas.openxmlformats.org/officeDocument/2006/relationships/hyperlink" Id="rId45" Target="https://doi.org/10.1023/A:1009930313242" TargetMode="External" /><Relationship Type="http://schemas.openxmlformats.org/officeDocument/2006/relationships/hyperlink" Id="rId65" Target="https://doi.org/10.1038/nature06536" TargetMode="External" /><Relationship Type="http://schemas.openxmlformats.org/officeDocument/2006/relationships/hyperlink" Id="rId51" Target="https://doi.org/10.1038/nrg1729" TargetMode="External" /><Relationship Type="http://schemas.openxmlformats.org/officeDocument/2006/relationships/hyperlink" Id="rId35" Target="https://doi.org/10.1038/s41559-025-02718-3" TargetMode="External" /><Relationship Type="http://schemas.openxmlformats.org/officeDocument/2006/relationships/hyperlink" Id="rId41" Target="https://doi.org/10.1038/s44358-024-00005-w" TargetMode="External" /><Relationship Type="http://schemas.openxmlformats.org/officeDocument/2006/relationships/hyperlink" Id="rId85" Target="https://doi.org/10.1093/biosci/biaf091" TargetMode="External" /><Relationship Type="http://schemas.openxmlformats.org/officeDocument/2006/relationships/hyperlink" Id="rId67" Target="https://doi.org/10.1098/rstb.2016.0131" TargetMode="External" /><Relationship Type="http://schemas.openxmlformats.org/officeDocument/2006/relationships/hyperlink" Id="rId43" Target="https://doi.org/10.1111/cobi.14192" TargetMode="External" /><Relationship Type="http://schemas.openxmlformats.org/officeDocument/2006/relationships/hyperlink" Id="rId49" Target="https://doi.org/10.1111/j.1365-3059.2011.02501.x" TargetMode="External" /><Relationship Type="http://schemas.openxmlformats.org/officeDocument/2006/relationships/hyperlink" Id="rId63" Target="https://doi.org/10.1111/j.1523-1739.2010.01605.x" TargetMode="External" /><Relationship Type="http://schemas.openxmlformats.org/officeDocument/2006/relationships/hyperlink" Id="rId102" Target="https://doi.org/10.1111/nyas.13983" TargetMode="External" /><Relationship Type="http://schemas.openxmlformats.org/officeDocument/2006/relationships/hyperlink" Id="rId47" Target="https://doi.org/10.1126/science.aap8826" TargetMode="External" /><Relationship Type="http://schemas.openxmlformats.org/officeDocument/2006/relationships/hyperlink" Id="rId55" Target="https://doi.org/10.1136/vr.g143" TargetMode="External" /><Relationship Type="http://schemas.openxmlformats.org/officeDocument/2006/relationships/hyperlink" Id="rId58" Target="https://doi.org/10.1139/facets-2024-0357" TargetMode="External" /><Relationship Type="http://schemas.openxmlformats.org/officeDocument/2006/relationships/hyperlink" Id="rId88" Target="https://doi.org/10.1146/annurev-publhealth-031912-114426" TargetMode="External" /><Relationship Type="http://schemas.openxmlformats.org/officeDocument/2006/relationships/hyperlink" Id="rId95" Target="https://doi.org/10.1146/annurev.phyto.43.113004.133839" TargetMode="External" /><Relationship Type="http://schemas.openxmlformats.org/officeDocument/2006/relationships/hyperlink" Id="rId81" Target="https://doi.org/10.1371/journal.pone.0041128" TargetMode="External" /><Relationship Type="http://schemas.openxmlformats.org/officeDocument/2006/relationships/hyperlink" Id="rId83" Target="https://doi.org/10.1371/journal.ppat.1010537" TargetMode="External" /><Relationship Type="http://schemas.openxmlformats.org/officeDocument/2006/relationships/hyperlink" Id="rId53" Target="https://doi.org/10.3389/fsufs.2020.00001" TargetMode="External" /><Relationship Type="http://schemas.openxmlformats.org/officeDocument/2006/relationships/hyperlink" Id="rId75" Target="https://doi.org/10.3389/fvets.2017.00163" TargetMode="External" /><Relationship Type="http://schemas.openxmlformats.org/officeDocument/2006/relationships/hyperlink" Id="rId73"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2026-05-08T19:55:15Z</dcterms:created>
  <dcterms:modified xsi:type="dcterms:W3CDTF">2026-05-08T19:55:15Z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One Health action tracks. We found that 75% of the KM-GBF indicators are associated with either human (56%), animal (53%), plant (51%), or environmental (63%) health, and that 91% of them can be used for monitoring at least one action track. Reusing existing indicators can alleviate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retrospsectively and prospectively measure progress accomplished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2026-05-08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