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2026-05-13</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w:t>
      </w:r>
    </w:p>
    <w:p>
      <w:pPr>
        <w:pStyle w:val="BodyText"/>
      </w:pPr>
      <w:r>
        <w:t xml:space="preserve">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This was done independently by at least two evaluators for each of the indicators, this process leading to a consensus among the coauthors for all indicators. Specifically, we evaluated the degree to which the indicators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and the idea of ecosystem health, although ancient,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can greatly facilitate the monitoring of One Health action tracks, and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w:t>
      </w:r>
    </w:p>
    <w:bookmarkEnd w:id="34"/>
    <w:bookmarkStart w:id="109" w:name="references"/>
    <w:p>
      <w:pPr>
        <w:pStyle w:val="Heading1"/>
      </w:pPr>
      <w:r>
        <w:t xml:space="preserve">References</w:t>
      </w:r>
    </w:p>
    <w:bookmarkStart w:id="108"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5">
        <w:r>
          <w:rPr>
            <w:rStyle w:val="Hyperlink"/>
          </w:rPr>
          <w:t xml:space="preserve">https://doi.org/10.1023/A:1009930313242</w:t>
        </w:r>
      </w:hyperlink>
    </w:p>
    <w:bookmarkEnd w:id="46"/>
    <w:bookmarkStart w:id="48"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7">
        <w:r>
          <w:rPr>
            <w:rStyle w:val="Hyperlink"/>
          </w:rPr>
          <w:t xml:space="preserve">https://doi.org/10.1126/science.aap8826</w:t>
        </w:r>
      </w:hyperlink>
    </w:p>
    <w:bookmarkEnd w:id="48"/>
    <w:bookmarkStart w:id="50"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9">
        <w:r>
          <w:rPr>
            <w:rStyle w:val="Hyperlink"/>
          </w:rPr>
          <w:t xml:space="preserve">https://doi.org/10.1111/j.1365-3059.2011.02501.x</w:t>
        </w:r>
      </w:hyperlink>
    </w:p>
    <w:bookmarkEnd w:id="50"/>
    <w:bookmarkStart w:id="52"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1">
        <w:r>
          <w:rPr>
            <w:rStyle w:val="Hyperlink"/>
          </w:rPr>
          <w:t xml:space="preserve">https://doi.org/10.1038/nrg1729</w:t>
        </w:r>
      </w:hyperlink>
    </w:p>
    <w:bookmarkEnd w:id="52"/>
    <w:bookmarkStart w:id="54"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3">
        <w:r>
          <w:rPr>
            <w:rStyle w:val="Hyperlink"/>
          </w:rPr>
          <w:t xml:space="preserve">https://doi.org/10.3389/fsufs.2020.00001</w:t>
        </w:r>
      </w:hyperlink>
    </w:p>
    <w:bookmarkEnd w:id="54"/>
    <w:bookmarkStart w:id="56"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5">
        <w:r>
          <w:rPr>
            <w:rStyle w:val="Hyperlink"/>
          </w:rPr>
          <w:t xml:space="preserve">https://doi.org/10.1136/vr.g143</w:t>
        </w:r>
      </w:hyperlink>
    </w:p>
    <w:bookmarkEnd w:id="56"/>
    <w:bookmarkStart w:id="57"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7"/>
    <w:bookmarkStart w:id="59"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8">
        <w:r>
          <w:rPr>
            <w:rStyle w:val="Hyperlink"/>
          </w:rPr>
          <w:t xml:space="preserve">https://doi.org/10.1139/facets-2024-0357</w:t>
        </w:r>
      </w:hyperlink>
    </w:p>
    <w:bookmarkEnd w:id="59"/>
    <w:bookmarkStart w:id="61"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0">
        <w:r>
          <w:rPr>
            <w:rStyle w:val="Hyperlink"/>
          </w:rPr>
          <w:t xml:space="preserve">https://doi.org/10.1007/s00038-013-0482-1</w:t>
        </w:r>
      </w:hyperlink>
    </w:p>
    <w:bookmarkEnd w:id="61"/>
    <w:bookmarkStart w:id="62"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2"/>
    <w:bookmarkStart w:id="64"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3">
        <w:r>
          <w:rPr>
            <w:rStyle w:val="Hyperlink"/>
          </w:rPr>
          <w:t xml:space="preserve">https://doi.org/10.1111/j.1523-1739.2010.01605.x</w:t>
        </w:r>
      </w:hyperlink>
    </w:p>
    <w:bookmarkEnd w:id="64"/>
    <w:bookmarkStart w:id="66"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5">
        <w:r>
          <w:rPr>
            <w:rStyle w:val="Hyperlink"/>
          </w:rPr>
          <w:t xml:space="preserve">https://doi.org/10.1038/nature06536</w:t>
        </w:r>
      </w:hyperlink>
    </w:p>
    <w:bookmarkEnd w:id="66"/>
    <w:bookmarkStart w:id="68"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7">
        <w:r>
          <w:rPr>
            <w:rStyle w:val="Hyperlink"/>
          </w:rPr>
          <w:t xml:space="preserve">https://doi.org/10.1098/rstb.2016.0131</w:t>
        </w:r>
      </w:hyperlink>
    </w:p>
    <w:bookmarkEnd w:id="68"/>
    <w:bookmarkStart w:id="70"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9">
        <w:r>
          <w:rPr>
            <w:rStyle w:val="Hyperlink"/>
          </w:rPr>
          <w:t xml:space="preserve">https://doi.org/10.1016/j.scitotenv.2016.09.009</w:t>
        </w:r>
      </w:hyperlink>
    </w:p>
    <w:bookmarkEnd w:id="70"/>
    <w:bookmarkStart w:id="71"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1"/>
    <w:bookmarkStart w:id="72"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2"/>
    <w:bookmarkStart w:id="74"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3">
        <w:r>
          <w:rPr>
            <w:rStyle w:val="Hyperlink"/>
          </w:rPr>
          <w:t xml:space="preserve">https://doi.org/10.3402/iee.v5.25300</w:t>
        </w:r>
      </w:hyperlink>
    </w:p>
    <w:bookmarkEnd w:id="74"/>
    <w:bookmarkStart w:id="76"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5">
        <w:r>
          <w:rPr>
            <w:rStyle w:val="Hyperlink"/>
          </w:rPr>
          <w:t xml:space="preserve">https://doi.org/10.3389/fvets.2017.00163</w:t>
        </w:r>
      </w:hyperlink>
    </w:p>
    <w:bookmarkEnd w:id="76"/>
    <w:bookmarkStart w:id="78"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7">
        <w:r>
          <w:rPr>
            <w:rStyle w:val="Hyperlink"/>
          </w:rPr>
          <w:t xml:space="preserve">https://doi.org/10.1007/978-3-319-27455-3_13</w:t>
        </w:r>
      </w:hyperlink>
    </w:p>
    <w:bookmarkEnd w:id="78"/>
    <w:bookmarkStart w:id="80"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9">
        <w:r>
          <w:rPr>
            <w:rStyle w:val="Hyperlink"/>
          </w:rPr>
          <w:t xml:space="preserve">https://doi.org/10.1007/s00709-020-01579-w</w:t>
        </w:r>
      </w:hyperlink>
    </w:p>
    <w:bookmarkEnd w:id="80"/>
    <w:bookmarkStart w:id="82"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1">
        <w:r>
          <w:rPr>
            <w:rStyle w:val="Hyperlink"/>
          </w:rPr>
          <w:t xml:space="preserve">https://doi.org/10.1371/journal.pone.0041128</w:t>
        </w:r>
      </w:hyperlink>
    </w:p>
    <w:bookmarkEnd w:id="82"/>
    <w:bookmarkStart w:id="84"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3">
        <w:r>
          <w:rPr>
            <w:rStyle w:val="Hyperlink"/>
          </w:rPr>
          <w:t xml:space="preserve">https://doi.org/10.1371/journal.ppat.1010537</w:t>
        </w:r>
      </w:hyperlink>
    </w:p>
    <w:bookmarkEnd w:id="84"/>
    <w:bookmarkStart w:id="86"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5">
        <w:r>
          <w:rPr>
            <w:rStyle w:val="Hyperlink"/>
          </w:rPr>
          <w:t xml:space="preserve">https://doi.org/10.1093/biosci/biaf091</w:t>
        </w:r>
      </w:hyperlink>
    </w:p>
    <w:bookmarkEnd w:id="86"/>
    <w:bookmarkStart w:id="87"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7"/>
    <w:bookmarkStart w:id="89"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8">
        <w:r>
          <w:rPr>
            <w:rStyle w:val="Hyperlink"/>
          </w:rPr>
          <w:t xml:space="preserve">https://doi.org/10.1146/annurev-publhealth-031912-114426</w:t>
        </w:r>
      </w:hyperlink>
    </w:p>
    <w:bookmarkEnd w:id="89"/>
    <w:bookmarkStart w:id="90"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0"/>
    <w:bookmarkStart w:id="92"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1">
        <w:r>
          <w:rPr>
            <w:rStyle w:val="Hyperlink"/>
          </w:rPr>
          <w:t xml:space="preserve">https://doi.org/10.1016/j.envres.2024.118115</w:t>
        </w:r>
      </w:hyperlink>
    </w:p>
    <w:bookmarkEnd w:id="92"/>
    <w:bookmarkStart w:id="94"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3">
        <w:r>
          <w:rPr>
            <w:rStyle w:val="Hyperlink"/>
          </w:rPr>
          <w:t xml:space="preserve">https://doi.org/10.1007/BF01873258</w:t>
        </w:r>
      </w:hyperlink>
    </w:p>
    <w:bookmarkEnd w:id="94"/>
    <w:bookmarkStart w:id="96"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5">
        <w:r>
          <w:rPr>
            <w:rStyle w:val="Hyperlink"/>
          </w:rPr>
          <w:t xml:space="preserve">https://doi.org/10.1146/annurev.phyto.43.113004.133839</w:t>
        </w:r>
      </w:hyperlink>
    </w:p>
    <w:bookmarkEnd w:id="96"/>
    <w:bookmarkStart w:id="97"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7"/>
    <w:bookmarkStart w:id="98"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98"/>
    <w:bookmarkStart w:id="99"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9"/>
    <w:bookmarkStart w:id="100"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0"/>
    <w:bookmarkStart w:id="101"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1"/>
    <w:bookmarkStart w:id="103"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2">
        <w:r>
          <w:rPr>
            <w:rStyle w:val="Hyperlink"/>
          </w:rPr>
          <w:t xml:space="preserve">https://doi.org/10.1111/nyas.13983</w:t>
        </w:r>
      </w:hyperlink>
    </w:p>
    <w:bookmarkEnd w:id="103"/>
    <w:bookmarkStart w:id="104"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4"/>
    <w:bookmarkStart w:id="105" w:name="ref-Who"/>
    <w:p>
      <w:pPr>
        <w:pStyle w:val="Bibliography"/>
      </w:pPr>
      <w:r>
        <w:t xml:space="preserve">WHO. (2025).</w:t>
      </w:r>
      <w:r>
        <w:t xml:space="preserve"> </w:t>
      </w:r>
      <w:r>
        <w:rPr>
          <w:i/>
          <w:iCs/>
        </w:rPr>
        <w:t xml:space="preserve">WHO Pandemic Agreement</w:t>
      </w:r>
      <w:r>
        <w:t xml:space="preserve">. Seventy-eighth World Health Assembly. WHA78.1.</w:t>
      </w:r>
    </w:p>
    <w:bookmarkEnd w:id="105"/>
    <w:bookmarkStart w:id="107"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6">
        <w:r>
          <w:rPr>
            <w:rStyle w:val="Hyperlink"/>
          </w:rPr>
          <w:t xml:space="preserve">https://doi.org/10.1016/S0140-6736(25)00627-0</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2026-05-13T18:01:24Z</dcterms:created>
  <dcterms:modified xsi:type="dcterms:W3CDTF">2026-05-13T18:01:24Z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2026-05-13</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