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7.png" ContentType="image/png"/>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Global Biodiversity Framework supports global assessment of One Health actions</w:t>
      </w:r>
    </w:p>
    <w:p>
      <w:pPr>
        <w:pStyle w:val="Author"/>
      </w:pPr>
      <w:r>
        <w:t xml:space="preserve">Francis Banville</w:t>
      </w:r>
    </w:p>
    <w:p>
      <w:pPr>
        <w:pStyle w:val="Author"/>
      </w:pPr>
      <w:r>
        <w:t xml:space="preserve">Claire Burnel</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w:t>
      </w:r>
    </w:p>
    <w:p>
      <w:pPr>
        <w:pStyle w:val="Author"/>
      </w:pPr>
      <w:r>
        <w:t xml:space="preserve">Timothée Poisot</w:t>
      </w:r>
    </w:p>
    <w:p>
      <w:pPr>
        <w:pStyle w:val="Date"/>
      </w:pPr>
      <w:r>
        <w:t xml:space="preserve">2026-06-01</w:t>
      </w:r>
    </w:p>
    <w:p>
      <w:pPr>
        <w:pStyle w:val="AbstractTitle"/>
      </w:pPr>
      <w:r>
        <w:t xml:space="preserve">Abstract</w:t>
      </w:r>
    </w:p>
    <w:p>
      <w:pPr>
        <w:pStyle w:val="Abstract"/>
      </w:pPr>
      <w:r>
        <w:t xml:space="preserve">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action tracks. We found that 75% of the KM-GBF indicators are associated with either human (56%), animal (53%), plant (51%), or environmental (63%) health, and that 91% of them can be used for monitoring at least one action track. Reusing existing indicators alleviates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retrospectively and prospectively measure progress on ambitious One Health actions.</w:t>
      </w:r>
    </w:p>
    <w:bookmarkStart w:id="9" w:name="introduction"/>
    <w:p>
      <w:pPr>
        <w:pStyle w:val="Heading1"/>
      </w:pPr>
      <w:r>
        <w:t xml:space="preserve">Introduction</w:t>
      </w:r>
    </w:p>
    <w:p>
      <w:pPr>
        <w:pStyle w:val="FirstParagraph"/>
      </w:pPr>
      <w:r>
        <w:t xml:space="preserve">Human health responds to changes in biodiversity in complex and sometimes opposite ways</w:t>
      </w:r>
      <w:r>
        <w:t xml:space="preserve"> </w:t>
      </w:r>
      <w:r>
        <w:t xml:space="preserve">(Robinson et al., 2024)</w:t>
      </w:r>
      <w:r>
        <w:t xml:space="preserve">. On one hand, biodiversity supplies food, shelter, and medicine that are vital to human health</w:t>
      </w:r>
      <w:r>
        <w:t xml:space="preserve"> </w:t>
      </w:r>
      <w:r>
        <w:t xml:space="preserve">(</w:t>
      </w:r>
      <w:r>
        <w:t xml:space="preserve">Diaz et al.</w:t>
      </w:r>
      <w:r>
        <w:t xml:space="preserve">, 2018)</w:t>
      </w:r>
      <w:r>
        <w:t xml:space="preserve">. On the other hand, infectious diseases originating in wildlife are a serious threat to human health, the transmission of pathogens from animals to humans being a major cause of disease outbreaks</w:t>
      </w:r>
      <w:r>
        <w:t xml:space="preserve"> </w:t>
      </w:r>
      <w:r>
        <w:t xml:space="preserve">(K. E. Jones et al., 2008)</w:t>
      </w:r>
      <w:r>
        <w:t xml:space="preserve">. Ecosystem services, such as climate stabilization, air and water filtration, and natural hazards mitigation, support human societies by maintaining safe and adequate environmental conditions</w:t>
      </w:r>
      <w:r>
        <w:t xml:space="preserve"> </w:t>
      </w:r>
      <w:r>
        <w:t xml:space="preserve">(Jackson et al., 2013)</w:t>
      </w:r>
      <w:r>
        <w:t xml:space="preserve">. However, plant diseases can hinder ecosystem services, e.g. through food contamination or the reduction in food production</w:t>
      </w:r>
      <w:r>
        <w:t xml:space="preserve"> </w:t>
      </w:r>
      <w:r>
        <w:t xml:space="preserve">(Al-Sadi, 2017)</w:t>
      </w:r>
      <w:r>
        <w:t xml:space="preserve">. The main threats to biodiversity (biological invasions, climate change, habitat loss, overexploitation, and pollution;</w:t>
      </w:r>
      <w:r>
        <w:t xml:space="preserve"> </w:t>
      </w:r>
      <w:r>
        <w:t xml:space="preserve">Bellard et al. (2022)</w:t>
      </w:r>
      <w:r>
        <w:t xml:space="preserve">) all impact human health, notably by driving the emergence of infectious diseases</w:t>
      </w:r>
      <w:r>
        <w:t xml:space="preserve">(Carlson et al., 2025)</w:t>
      </w:r>
      <w:r>
        <w:t xml:space="preserve">. Because biodiversity and human health are highly interconnected, both can be monitored using a similar set of tools</w:t>
      </w:r>
      <w:r>
        <w:t xml:space="preserve"> </w:t>
      </w:r>
      <w:r>
        <w:t xml:space="preserve">(Poisot et al., 2025)</w:t>
      </w:r>
      <w:r>
        <w:t xml:space="preserve">.</w:t>
      </w:r>
    </w:p>
    <w:p>
      <w:pPr>
        <w:pStyle w:val="BodyText"/>
      </w:pPr>
      <w:r>
        <w:t xml:space="preserve">The One Health approach</w:t>
      </w:r>
      <w:r>
        <w:t xml:space="preserve"> </w:t>
      </w:r>
      <w:r>
        <w:t xml:space="preserve">(OHHLEP et al., 2022; Winkler et al., 2025)</w:t>
      </w:r>
      <w:r>
        <w:t xml:space="preserve"> </w:t>
      </w:r>
      <w:r>
        <w:t xml:space="preserve">recognizes the importance of biodiversity for public health</w:t>
      </w:r>
      <w:r>
        <w:t xml:space="preserve"> </w:t>
      </w:r>
      <w:r>
        <w:t xml:space="preserve">(Winkler et al., 2025)</w:t>
      </w:r>
      <w:r>
        <w:t xml:space="preserve">. It addresses complex public health challenges at the interface between human, animal, plant, and environmental health</w:t>
      </w:r>
      <w:r>
        <w:t xml:space="preserve"> </w:t>
      </w:r>
      <w:r>
        <w:t xml:space="preserve">(Rabinowitz &amp; Conti, 2013)</w:t>
      </w:r>
      <w:r>
        <w:t xml:space="preserve"> </w:t>
      </w:r>
      <w:r>
        <w:t xml:space="preserve">by promoting collaboration between health professionals, veterinarians, and biologists. The One Health Joint Plan of Action (OH JPA) (2022-2026) is an action-oriented framework aimed at advancing One Health principles by 2026</w:t>
      </w:r>
      <w:r>
        <w:t xml:space="preserve"> </w:t>
      </w:r>
      <w:r>
        <w:t xml:space="preserve">(Quadripartite organizations, 2022)</w:t>
      </w:r>
      <w:r>
        <w:t xml:space="preserve">. Developed by the Quadripartite organizations, which is a strategic partnership between the Food and Agriculture Organization of the United Nations (FAO), the United Nations Environment Programme (UNEP), the World Organisation for Animal Health (WOAH), and the World Health Organization (WHO), the OH JPA contains 19 actions that countries can take to improve One Health capacity-building, political commitment, governance structure, funding, and knowledge systems. These actions form six tracks that collectively seek to strengthen health systems (track 1), prevent zoonotic diseases (tracks 2 and 3), improve food safety (track 4), reduce antimicrobial resistance (track 5), and stop environmental degradation (track 6). As we enter the final year of the plan, there is a need to generate clear and objective information regarding the progress made since its adoption in 2022. This evaluation is essential given the non-binding nature of the OH JPA, as it would encourage effective policy development by the States and inform the development of the next version of the plan. However, there are currently no indicators for monitoring the implementation of this plan.</w:t>
      </w:r>
    </w:p>
    <w:p>
      <w:pPr>
        <w:pStyle w:val="BodyText"/>
      </w:pPr>
      <w:r>
        <w:t xml:space="preserve">Biodiversity indicators are measures of changes in the state of biodiversity over time that track progress towards specific objectives</w:t>
      </w:r>
      <w:r>
        <w:t xml:space="preserve"> </w:t>
      </w:r>
      <w:r>
        <w:t xml:space="preserve">(Hébert et al., 2025; J. P. G. Jones et al., 2011)</w:t>
      </w:r>
      <w:r>
        <w:t xml:space="preserve">. As such, they are intended to serve several purposes, the main ones being to simplify complex phenomena which are difficult to measure directly, and to improve accountability and effectiveness through prioritization, evaluation and communication of objectives and policies</w:t>
      </w:r>
      <w:r>
        <w:t xml:space="preserve"> </w:t>
      </w:r>
      <w:r>
        <w:t xml:space="preserve">(Amuasi &amp; Winkler, 2025; Gudmundsson, 2003; Nicholson et al., 2012)</w:t>
      </w:r>
      <w:r>
        <w:t xml:space="preserve">. A solid example of monitoring framework can be found in the Kunming-Montreal Global Biodiversity Framework (KM-GBF)</w:t>
      </w:r>
      <w:r>
        <w:t xml:space="preserve"> </w:t>
      </w:r>
      <w:r>
        <w:t xml:space="preserve">(UNEP, 2022a)</w:t>
      </w:r>
      <w:r>
        <w:t xml:space="preserve">, adopted in 2022 by the Parties to the Convention on Biological Diversity (CBD). The KM-GBF aims to halt and reverse biodiversity loss by 2030 through 4 general goals and 23 specific targets, ranging from the restoration of degraded ecosystems to the integration of biodiversity in decision-making. For the first time since the CBD was signed in 1992, the KM-GBF includes a monitoring framework</w:t>
      </w:r>
      <w:r>
        <w:t xml:space="preserve"> </w:t>
      </w:r>
      <w:r>
        <w:t xml:space="preserve">(UNEP, 2025)</w:t>
      </w:r>
      <w:r>
        <w:t xml:space="preserve"> </w:t>
      </w:r>
      <w:r>
        <w:t xml:space="preserve">made up of 204 indicators that countries can use to monitor these goals and targets. These indicators are classified in four groups: headline (high-level), binary (yes/no questions), component (technical), and complementary (supporting) indicators. Only two of these groups (headline and binary indicators) are mandatory when reporting national progress to the CBD. This reliance on policy evaluation and indicators is in line with a broader trend that some refer to as an</w:t>
      </w:r>
      <w:r>
        <w:t xml:space="preserve"> </w:t>
      </w:r>
      <w:r>
        <w:t xml:space="preserve">“indicator industry”</w:t>
      </w:r>
      <w:r>
        <w:t xml:space="preserve"> </w:t>
      </w:r>
      <w:r>
        <w:t xml:space="preserve">(Lehtonen, 2015)</w:t>
      </w:r>
      <w:r>
        <w:t xml:space="preserve">, which aims to provide more precise and quantitative assessments of policies. The CBD serves as a good example of how such indicators constitute</w:t>
      </w:r>
      <w:r>
        <w:t xml:space="preserve"> </w:t>
      </w:r>
      <w:r>
        <w:t xml:space="preserve">“soft instruments”</w:t>
      </w:r>
      <w:r>
        <w:t xml:space="preserve"> </w:t>
      </w:r>
      <w:r>
        <w:t xml:space="preserve">capable of incentivizing States to act when the international agreement is not legally binding</w:t>
      </w:r>
      <w:r>
        <w:t xml:space="preserve"> </w:t>
      </w:r>
      <w:r>
        <w:t xml:space="preserve">(Kirsop-Taylor, 2022)</w:t>
      </w:r>
      <w:r>
        <w:t xml:space="preserve">.</w:t>
      </w:r>
    </w:p>
    <w:p>
      <w:pPr>
        <w:pStyle w:val="BodyText"/>
      </w:pPr>
      <w:r>
        <w:t xml:space="preserve">More recently, the Parties to the CBD also adopted the Global Action Plan on Biodiversity and Health (GAP-BH), which formally recognizes the links between biodiversity and human health</w:t>
      </w:r>
      <w:r>
        <w:t xml:space="preserve"> </w:t>
      </w:r>
      <w:r>
        <w:t xml:space="preserve">(UNEP, 2024)</w:t>
      </w:r>
      <w:r>
        <w:t xml:space="preserve">. The GAP-BH groups the targets of the KM-GBF into 14 thematic categories, encompassing a variety of topics ranging from</w:t>
      </w:r>
      <w:r>
        <w:t xml:space="preserve"> </w:t>
      </w:r>
      <w:r>
        <w:t xml:space="preserve">“Land and sea use”</w:t>
      </w:r>
      <w:r>
        <w:t xml:space="preserve"> </w:t>
      </w:r>
      <w:r>
        <w:t xml:space="preserve">(category 1) to</w:t>
      </w:r>
      <w:r>
        <w:t xml:space="preserve"> </w:t>
      </w:r>
      <w:r>
        <w:t xml:space="preserve">“Knowledge and engagement of people”</w:t>
      </w:r>
      <w:r>
        <w:t xml:space="preserve"> </w:t>
      </w:r>
      <w:r>
        <w:t xml:space="preserve">(category 14). Each thematic category has its own relevance to human health. For example, the targets that fall under the</w:t>
      </w:r>
      <w:r>
        <w:t xml:space="preserve"> </w:t>
      </w:r>
      <w:r>
        <w:t xml:space="preserve">“Land and sea use”</w:t>
      </w:r>
      <w:r>
        <w:t xml:space="preserve"> </w:t>
      </w:r>
      <w:r>
        <w:t xml:space="preserve">category, which include the</w:t>
      </w:r>
      <w:r>
        <w:t xml:space="preserve"> </w:t>
      </w:r>
      <w:r>
        <w:t xml:space="preserve">“restoration of 30% of all degraded ecosystems”</w:t>
      </w:r>
      <w:r>
        <w:t xml:space="preserve"> </w:t>
      </w:r>
      <w:r>
        <w:t xml:space="preserve">(target 2) and the</w:t>
      </w:r>
      <w:r>
        <w:t xml:space="preserve"> </w:t>
      </w:r>
      <w:r>
        <w:t xml:space="preserve">“conservation of 30% of land, waters and seas”</w:t>
      </w:r>
      <w:r>
        <w:t xml:space="preserve"> </w:t>
      </w:r>
      <w:r>
        <w:t xml:space="preserve">(target 3), contribute to</w:t>
      </w:r>
      <w:r>
        <w:t xml:space="preserve"> </w:t>
      </w:r>
      <w:r>
        <w:t xml:space="preserve">“the continued provision of nature’s contributions to people, which in turn support health and reduce disease emergence and transmission among wildlife, livestock and people”</w:t>
      </w:r>
      <w:r>
        <w:t xml:space="preserve"> </w:t>
      </w:r>
      <w:r>
        <w:t xml:space="preserve">(UNEP, 2024)</w:t>
      </w:r>
      <w:r>
        <w:t xml:space="preserve">. Because of the high relevance of all KM-GBF targets to human health as described in</w:t>
      </w:r>
      <w:r>
        <w:t xml:space="preserve"> </w:t>
      </w:r>
      <w:r>
        <w:t xml:space="preserve">UNEP (2024)</w:t>
      </w:r>
      <w:r>
        <w:t xml:space="preserve">, we hypothesized that a large proportion of the indicators of these targets would also be relevant to health, and therefore to the retroactive monitoring of the OH JPA. Given the recent increase in prominence of the One Health concept following its introduction in the Article 5 of the WHO Pandemic Agreement</w:t>
      </w:r>
      <w:r>
        <w:t xml:space="preserve"> </w:t>
      </w:r>
      <w:r>
        <w:t xml:space="preserve">(WHO, 2025)</w:t>
      </w:r>
      <w:r>
        <w:t xml:space="preserve">, it is also crucial to anticipate on the reporting need of a future high-level document for One Health, and to suggest existing indicators and reporting processes that can support its implementation.</w:t>
      </w:r>
    </w:p>
    <w:p>
      <w:pPr>
        <w:pStyle w:val="BodyText"/>
      </w:pPr>
      <w:r>
        <w:t xml:space="preserve">We argue that reusing indicators for both monitoring systems (the KM-GBF and the OH JPA) would improve their efficiency and reduce the workload of countries. During the vote of the KM-GBF monitoring framework, delegates warned that too many indicators could hinder monitoring, especially in less well-resourced nations</w:t>
      </w:r>
      <w:r>
        <w:t xml:space="preserve"> </w:t>
      </w:r>
      <w:r>
        <w:t xml:space="preserve">(Carroll et al., 2024)</w:t>
      </w:r>
      <w:r>
        <w:t xml:space="preserve">.</w:t>
      </w:r>
      <w:r>
        <w:t xml:space="preserve"> </w:t>
      </w:r>
      <w:r>
        <w:t xml:space="preserve">Colinas et al. (2026)</w:t>
      </w:r>
      <w:r>
        <w:t xml:space="preserve"> </w:t>
      </w:r>
      <w:r>
        <w:t xml:space="preserve">present best practices in selecting indicators for monitoring One Health. They suggest to review existing indicators rather than devoting resources to designing a new standardized and aggregated single index such as the One Health Index</w:t>
      </w:r>
      <w:r>
        <w:t xml:space="preserve"> </w:t>
      </w:r>
      <w:r>
        <w:t xml:space="preserve">(</w:t>
      </w:r>
      <w:r>
        <w:t xml:space="preserve">de Moura et al.</w:t>
      </w:r>
      <w:r>
        <w:t xml:space="preserve">, 2022)</w:t>
      </w:r>
      <w:r>
        <w:t xml:space="preserve"> </w:t>
      </w:r>
      <w:r>
        <w:t xml:space="preserve">and the Global One Health Index</w:t>
      </w:r>
      <w:r>
        <w:t xml:space="preserve"> </w:t>
      </w:r>
      <w:r>
        <w:t xml:space="preserve">(Zhang et al., 2022)</w:t>
      </w:r>
      <w:r>
        <w:t xml:space="preserve">. Our work serves as a first step in the framework they propose by quantifying the extent to which the OH JPA is already covered by existing biodiversity indicators. Moreover, in the absence of a prior monitoring system, many of the KM-GBF indicators still lack an agreed-upon methodology, both at the national and international levels</w:t>
      </w:r>
      <w:r>
        <w:t xml:space="preserve"> </w:t>
      </w:r>
      <w:r>
        <w:t xml:space="preserve">(Affinito et al., 2025)</w:t>
      </w:r>
      <w:r>
        <w:t xml:space="preserve">: a further reason why pooling efforts would help improve both this framework and the OH JPA. Despite these difficulties, the indicators of the KM-GBF have ultimately achieved a broad global consensus, and this grants them an important legitimacy as reporting instruments in other context, whenever they are relevant. Therefore, we aimed to identify the indicators of the KM-GBF monitoring framework that are relevant to One Health monitoring. First, we assessed the link between each of these indicators and human, animal, plant, and environmental health, respectively. Then, we evaluated the usability of the indicators for monitoring the specific action tracks of the OH JPA. Our work shows that biodiversity monitoring is an essential component of effective One Health strategies.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(UNEP, 2025)</w:t>
      </w:r>
      <w:r>
        <w:t xml:space="preserve"> </w:t>
      </w:r>
      <w:r>
        <w:t xml:space="preserve">to health. This was done independently by at least two evaluators for each of the indicators, this process leading to a consensus among the coauthors for all indicators. Specifically, we evaluated the degree to which the indicators are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supplemented by expert elicitation. The result of this analysis and the code to reproduce the figures are available on Zenodo (https://doi.org/10.5281/zenodo.20085701).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1: What are animals, plants, and the environment in One Health?</w:t>
            </w:r>
          </w:p>
        </w:tc>
      </w:tr>
      <w:tr>
        <w:trPr>
          <w:cantSplit/>
        </w:trPr>
        <w:tc>
          <w:tcPr>
            <w:tcMar>
              <w:top w:w="108" w:type="dxa"/>
              <w:bottom w:w="108" w:type="dxa"/>
            </w:tcMar>
          </w:tcPr>
          <w:p>
            <w:pPr>
              <w:pStyle w:val="BodyText"/>
            </w:pPr>
            <w:pPr>
              <w:spacing w:before="16" w:after="16"/>
            </w:pPr>
            <w:r>
              <w:t xml:space="preserve">The definitions of animals, plants, and the environment in One Health are based more on institutional norms than on biological realities. Here, we adhere to the delineation of these groups by mandates of the four organizations that form the Quadripartite. Humans are their own pillar of One Health and the primary focus of the WHO. Animals and plants refer to</w:t>
            </w:r>
            <w:r>
              <w:t xml:space="preserve"> </w:t>
            </w:r>
            <w:r>
              <w:rPr>
                <w:i/>
                <w:iCs/>
              </w:rPr>
              <w:t xml:space="preserve">domesticated</w:t>
            </w:r>
            <w:r>
              <w:t xml:space="preserve"> </w:t>
            </w:r>
            <w:r>
              <w:t xml:space="preserve">species only, a distinction we make to align more closely with the mandates of the WOAH (animals) and FAO (plants). Therefore, we include pets, livestock, and edible marine and freshwater species captured from fisheries and aquaculture in the animal health pillar, i.e. species mainly looked after by veterinarians and food inspectors. Even though, biologically speaking, humans and wildlife are also animals, they are not part of the animal health pillar. Similarly, we include all cultivated plants used for food, fuel, and medicine into the plant health pillar. Wildlife and uncultivated plant species, such as wild fish and tree species used in forestry, are part of the environment health pillar, alongside all other species absent from the other three pillars. The environment health pillar also includes whole ecosystems (natural and artificial), which are central to UNEP’s mission. These definitions are aligned with the core contributing sciences of the One Health approach, i.e. human medicine, veterinary medicine, agriculture, and ecology</w:t>
            </w:r>
            <w:r>
              <w:t xml:space="preserve"> </w:t>
            </w:r>
            <w:r>
              <w:t xml:space="preserve">(Gibbs, 2014; Lerner &amp; Berg, 2017)</w:t>
            </w:r>
            <w:r>
              <w:t xml:space="preserve">. While it may be biologically frustrating to work within this framework, we emphasize that assigning groups of organisms to specific organizations has the direct benefit of inscribing our work within established, and multilaterally agreed-upon, systems of governance and reporting.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Box 2: What is health?</w:t>
            </w:r>
          </w:p>
        </w:tc>
      </w:tr>
      <w:tr>
        <w:trPr>
          <w:cantSplit/>
        </w:trPr>
        <w:tc>
          <w:tcPr>
            <w:tcMar>
              <w:top w:w="108" w:type="dxa"/>
              <w:bottom w:w="108" w:type="dxa"/>
            </w:tcMar>
          </w:tcPr>
          <w:p>
            <w:pPr>
              <w:pStyle w:val="BodyText"/>
            </w:pPr>
            <w:pPr>
              <w:spacing w:before="16" w:after="16"/>
            </w:pPr>
            <w:r>
              <w:t xml:space="preserve">Throughout this manuscript, we use the overarching term</w:t>
            </w:r>
            <w:r>
              <w:t xml:space="preserve"> </w:t>
            </w:r>
            <w:r>
              <w:t xml:space="preserve">“health”</w:t>
            </w:r>
            <w:r>
              <w:t xml:space="preserve"> </w:t>
            </w:r>
            <w:r>
              <w:t xml:space="preserve">when referring to the health of different species and the environment, and refer to human, animal, plant, and environmental health when wanting to differentiate. Health manifests differently depending on the level of biological organization</w:t>
            </w:r>
            <w:r>
              <w:t xml:space="preserve"> </w:t>
            </w:r>
            <w:r>
              <w:t xml:space="preserve">(Lerner &amp; Berg, 2015)</w:t>
            </w:r>
            <w:r>
              <w:t xml:space="preserve">. At the individual level, we use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This is addressed, in the spirit of One Health, holistically at the individual, populational, and global scale, and therefore accounts for</w:t>
            </w:r>
            <w:r>
              <w:t xml:space="preserve"> </w:t>
            </w:r>
            <w:r>
              <w:rPr>
                <w:i/>
                <w:iCs/>
              </w:rPr>
              <w:t xml:space="preserve">e.g.</w:t>
            </w:r>
            <w:r>
              <w:t xml:space="preserve"> </w:t>
            </w:r>
            <w:r>
              <w:t xml:space="preserve">health system preparedness. In plants, which are not conscious organisms</w:t>
            </w:r>
            <w:r>
              <w:t xml:space="preserve"> </w:t>
            </w:r>
            <w:r>
              <w:t xml:space="preserve">(Mallatt et al., 2021)</w:t>
            </w:r>
            <w:r>
              <w:t xml:space="preserve">, health is the extent to which they are able to function physiologically, and diseases are impediments to their normal physiological functioning often leading to death</w:t>
            </w:r>
            <w:r>
              <w:t xml:space="preserve"> </w:t>
            </w:r>
            <w:r>
              <w:t xml:space="preserve">(Döring et al., 2012)</w:t>
            </w:r>
            <w:r>
              <w:t xml:space="preserve">. Because domesticated animals and plants are mainly used for human consumption, animal and plant diseases have important consequences for food security</w:t>
            </w:r>
            <w:r>
              <w:t xml:space="preserve"> </w:t>
            </w:r>
            <w:r>
              <w:t xml:space="preserve">(Garcia et al., 2020; Strange &amp; Scott, 2005)</w:t>
            </w:r>
            <w:r>
              <w:t xml:space="preserve">. At the ecosystem level, consisting of many species and their interactions, health is ill-defined</w:t>
            </w:r>
            <w:r>
              <w:t xml:space="preserve"> </w:t>
            </w:r>
            <w:r>
              <w:t xml:space="preserve">(Schaeffer et al., 1988)</w:t>
            </w:r>
            <w:r>
              <w:t xml:space="preserve">. The idea of ecosystem health, although ancient in Indigenous and non-Western cosmological perspectives</w:t>
            </w:r>
            <w:r>
              <w:t xml:space="preserve"> </w:t>
            </w:r>
            <w:r>
              <w:t xml:space="preserve">(Descola, 2013; Hierro, 2005)</w:t>
            </w:r>
            <w:r>
              <w:t xml:space="preserve">, has often been promoted as metaphorical</w:t>
            </w:r>
            <w:r>
              <w:t xml:space="preserve"> </w:t>
            </w:r>
            <w:r>
              <w:t xml:space="preserve">(Costanza &amp; Mageau, 1999; Rapport, 1989)</w:t>
            </w:r>
            <w:r>
              <w:t xml:space="preserve">. We consider environmental health as the extent to which an ecosystem can maintain its biological and chemical processes and adapt to changes</w:t>
            </w:r>
            <w:r>
              <w:t xml:space="preserve"> </w:t>
            </w:r>
            <w:r>
              <w:t xml:space="preserve">(Jakobsson, 2012)</w:t>
            </w:r>
            <w:r>
              <w:t xml:space="preserve">. Disturbances, such as extreme weather events or resource exploitation, are the ecosystem analogue of diseases, and represent degradations that usually lead to a decline in ecosystem functioning. Environmental health also includes the health of species that are part of the environment pillar of One Health, e.g. wildlife and uncultivated plant species.</w:t>
            </w:r>
          </w:p>
          <w:p/>
        </w:tc>
      </w:tr>
    </w:tbl>
    <w:bookmarkStart w:id="10" w:name="X6884087c636afad3079990b19c09fcb9fa45997"/>
    <w:p>
      <w:pPr>
        <w:pStyle w:val="Heading2"/>
      </w:pPr>
      <w:r>
        <w:t xml:space="preserve">Assessing the link between KM-GBF indicators and health</w:t>
      </w:r>
    </w:p>
    <w:p>
      <w:pPr>
        <w:pStyle w:val="FirstParagraph"/>
      </w:pPr>
      <w:r>
        <w:t xml:space="preserve">We classified the degree to which the KM-GBF indicators are linked to each of the four pillars of One Health into four categories: direct connection, indirect connection, potential connection, and no connection. An indicator was classified as directly connected to health when there is a direct causal relationship between the indicator and health. This is the case, for instance, when the indicator directly measures a condition or determinant of health. In contrast, an indicator was classified as indirectly connected to health when there is an intermediary factor between the indicator and health, and as potentially connected when there are multiple intermediary factors or when its connection to health is likely but difficult to certify. Finally, an indicator was classified as not connected to health when the connection is unlikely, unsupported by current scientific evidence, or absent. For each of the four pillars of One Health, we counted the number of indicators assigned to each category.</w:t>
      </w:r>
    </w:p>
    <w:p>
      <w:pPr>
        <w:pStyle w:val="BodyText"/>
      </w:pPr>
      <w:r>
        <w:t xml:space="preserve">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It was also considered directly connected to animal, plant, and environmental health because the use of pesticides can benefit the growth of cultivated plants through the reduction of herbivory and competition, while being highly harmful to animals and biodiversity</w:t>
      </w:r>
      <w:r>
        <w:t xml:space="preserve"> </w:t>
      </w:r>
      <w:r>
        <w:t xml:space="preserve">(Mahmood et al., 2016)</w:t>
      </w:r>
      <w:r>
        <w:t xml:space="preserve">. In contrast,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However, we did not find any evidence of a link between this indicator and animal, plant, or environmental health.</w:t>
      </w:r>
    </w:p>
    <w:bookmarkEnd w:id="10"/>
    <w:bookmarkStart w:id="11" w:name="Xd12e5e1c6456ce2833305c9d5ec68231425ae54"/>
    <w:p>
      <w:pPr>
        <w:pStyle w:val="Heading2"/>
      </w:pPr>
      <w:r>
        <w:t xml:space="preserve">Assessing the usability of KM-GBF indicators for monitoring One Health action tracks</w:t>
      </w:r>
    </w:p>
    <w:p>
      <w:pPr>
        <w:pStyle w:val="FirstParagraph"/>
      </w:pPr>
      <w:r>
        <w:t xml:space="preserve">For each action track of the OH JPA, we classified the KM-GBF indicators into three categories: directly usable, usable after adaptation, and not usable. Directly usable indicators can be used in their current form to monitor the implementation of at least one action in an action track. They can detect trends relevant to the actions of the track and do not require adaptations. For example, we qualified headline indicator 7.2</w:t>
      </w:r>
      <w:r>
        <w:t xml:space="preserve"> </w:t>
      </w:r>
      <w:r>
        <w:t xml:space="preserve">“Pesticide environment concentration and/or aggregated total applied toxicity”</w:t>
      </w:r>
      <w:r>
        <w:t xml:space="preserve"> </w:t>
      </w:r>
      <w:r>
        <w:t xml:space="preserve">as being directly usable for monitoring the sixth action track because it is a direct measure of environmental degradation and contamination. In contrast, indicators usable after adaptation need to be slightly modified before being used to monitor actions in an action track. These adaptations should be small changes in the scale of measurement, the data resolution, or the taxa monitored by the indicator. For instance, headline indicator 7.2 was qualified as being usable after adaptation for monitoring the fourth action track on food safety risks. To be more relevant for this action track, this indicator could refer more specifically to the use of pesticides in agriculture. Finally, not usable indicators are outside the scope of an action track or need to be greatly modified before being used to monitor the implementation of an action track.</w:t>
      </w:r>
    </w:p>
    <w:p>
      <w:pPr>
        <w:pStyle w:val="BodyText"/>
      </w:pPr>
      <w:r>
        <w:t xml:space="preserve">We assessed usability for each action track independently, i.e. an indicator can be useful for monitoring multiple action tracks. For each action track, we counted the total number of indicators in each category. We also counted the number of usable indicators for the whole plan regardless of the action tracks. Then, we partitioned these numbers based on the group of indicators in the KM-GBF monitoring framework (i.e. headline, binary, component, and complementary indicators) and the thematic categories of the GAP-BH.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32" w:name="results-and-discussion"/>
    <w:p>
      <w:pPr>
        <w:pStyle w:val="Heading1"/>
      </w:pPr>
      <w:r>
        <w:t xml:space="preserve">Results and discussion</w:t>
      </w:r>
    </w:p>
    <w:bookmarkStart w:id="17" w:name="Xc26da58ba1c887a6167c826a50d65a174f8765a"/>
    <w:p>
      <w:pPr>
        <w:pStyle w:val="Heading2"/>
      </w:pPr>
      <w:r>
        <w:t xml:space="preserve">Link between KM-GBF indicators and health</w:t>
      </w:r>
    </w:p>
    <w:p>
      <w:pPr>
        <w:pStyle w:val="FirstParagraph"/>
      </w:pPr>
      <w:r>
        <w:t xml:space="preserve">We found that 75% of KM-GBF indicators are either directly or indirectly connected to either human, animal, plant, or environmental health, with approximately 55% of indicators being directly connected to health. This signifies that monitoring the state, benefits, and pressure of biodiversity and our responses to biodiversity loss provides extensive health information. In</w:t>
      </w:r>
      <w:r>
        <w:t xml:space="preserve"> </w:t>
      </w:r>
      <w:hyperlink w:anchor="fig-link">
        <w:r>
          <w:rPr>
            <w:rStyle w:val="Hyperlink"/>
          </w:rPr>
          <w:t xml:space="preserve">Figure 1</w:t>
        </w:r>
      </w:hyperlink>
      <w:r>
        <w:t xml:space="preserve">, we show the number of indicators that are directly, indirectly, potentially, and not connected to each of the four pillars of One Health. The number of directly connected indicators is, as expected, slightly higher for environmental health (41% of indicators) compared to human (27%), animal (26%), and plant (28%) health, mostly because the environment trivially contains most of biodiversity. However, this difference is less pronounced after adding indirectly connected indicators (63% for environmental health compared to 56%, 53%, and 51% respectively for human, animal, and plant health), highlighting the multiple pathways through which biodiversity and health are connected.</w:t>
      </w:r>
    </w:p>
    <w:tbl>
      <w:tblPr>
        <w:tblStyle w:val="Table"/>
        <w:tblW w:type="pct" w:w="5000"/>
        <w:tblLayout w:type="fixed"/>
        <w:tblLook w:firstRow="0" w:lastRow="0" w:firstColumn="0" w:lastColumn="0" w:noHBand="0" w:noVBand="0" w:val="0000"/>
      </w:tblPr>
      <w:tblGrid>
        <w:gridCol w:w="7920"/>
      </w:tblGrid>
      <w:tr>
        <w:tc>
          <w:tcPr/>
          <w:bookmarkStart w:id="16" w:name="fig-link"/>
          <w:p>
            <w:pPr>
              <w:pStyle w:val="Compact"/>
              <w:jc w:val="center"/>
            </w:pPr>
            <w:r>
              <w:drawing>
                <wp:inline>
                  <wp:extent cx="5334000" cy="4000500"/>
                  <wp:effectExtent b="0" l="0" r="0" t="0"/>
                  <wp:docPr descr=""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Number of indicators of the Kunming-Montreal Global Biodiversity Framework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bookmarkEnd w:id="16"/>
        </w:tc>
      </w:tr>
    </w:tbl>
    <w:p>
      <w:pPr>
        <w:pStyle w:val="BodyText"/>
      </w:pPr>
      <w:r>
        <w:t xml:space="preserve">The fact that most KM-GBF indicators are connected to health is not surprising. The GAP-BH recognizes the relevance to health of all 23 targets of the KM-GBF, and because the indicators measure the progress made towards these targets, they also measure the progress made towards a healthier planet. However, we did not expect that comparable numbers of indicators would be linked to the four pillars of One Health, indicating that similar amount of biodiversity information can be reused, either directly or indirectly, to monitor human, animal, plant, and environmental health. This result therefore suggests that the core components of One Health can all be meaningfully informed by biodiversity monitoring.</w:t>
      </w:r>
    </w:p>
    <w:bookmarkEnd w:id="17"/>
    <w:bookmarkStart w:id="31" w:name="Xb6acba32f15df8c5079198a8204860f5a789b83"/>
    <w:p>
      <w:pPr>
        <w:pStyle w:val="Heading2"/>
      </w:pPr>
      <w:r>
        <w:t xml:space="preserve">Usability of KM-GBF indicators for monitoring One Health action tracks</w:t>
      </w:r>
    </w:p>
    <w:p>
      <w:pPr>
        <w:pStyle w:val="FirstParagraph"/>
      </w:pPr>
      <w:r>
        <w:t xml:space="preserve">The vast majority of KM-GBF indicators (91%) can be used either directly or after adaptation to monitor the OH JPA action tracks, and around 74% of indicators can be used directly. This signifies that we can already do an extensive evaluation of One Health actions with existing data and methodologies. However, we show in</w:t>
      </w:r>
      <w:r>
        <w:t xml:space="preserve"> </w:t>
      </w:r>
      <w:hyperlink w:anchor="fig-use-all">
        <w:r>
          <w:rPr>
            <w:rStyle w:val="Hyperlink"/>
          </w:rPr>
          <w:t xml:space="preserve">Figure 2</w:t>
        </w:r>
      </w:hyperlink>
      <w:r>
        <w:t xml:space="preserve"> </w:t>
      </w:r>
      <w:r>
        <w:t xml:space="preserve">that the usability of indicators greatly differs depending on the action track. The proportion of usable indicators varies from 20% for the fifth action track on antimicrobial resistance (4% of directly usable indicators) to 79% for the sixth action track on the integration of the environment into One Health (62% of directly usable indicators). The high proportion of usable indicators for the sixth action track is not surprising given that the KM-GBF is a multilateral environmental agreement that aims to protect species and restore ecosystems. The low proportion of indicators that can monitor actions in the fifth action track could be due to the characteristics of these actions, which are more focused on collaboration, capacity-building and awareness-raising than the decrease and prevention of antimicrobial resistance through biodiversity. Similarly, the actions in the third action track on endemic zoonotic, neglected tropical, and vector-borne diseases, which can only be monitored by 33% of the indicators, are more centered on capacity-building and less on the drivers and inhibitors of infectious diseases, especially in comparison to the actions of the second action track on zoonotic epidemics and pandemics. These differences suggest that, although the KM-GBF monitoring framework can greatly support One Health agencies by reducing the need to develop, gain expertise in, and monitor new indicators at the intersection of biodiversity and health, additional work is still needed to equally cover all aspects of the plan.</w:t>
      </w:r>
    </w:p>
    <w:tbl>
      <w:tblPr>
        <w:tblStyle w:val="Table"/>
        <w:tblW w:type="pct" w:w="5000"/>
        <w:tblLayout w:type="fixed"/>
        <w:tblLook w:firstRow="0" w:lastRow="0" w:firstColumn="0" w:lastColumn="0" w:noHBand="0" w:noVBand="0" w:val="0000"/>
      </w:tblPr>
      <w:tblGrid>
        <w:gridCol w:w="7920"/>
      </w:tblGrid>
      <w:tr>
        <w:tc>
          <w:tcPr/>
          <w:bookmarkStart w:id="21" w:name="fig-use-all"/>
          <w:p>
            <w:pPr>
              <w:pStyle w:val="Compact"/>
              <w:jc w:val="center"/>
            </w:pPr>
            <w:r>
              <w:drawing>
                <wp:inline>
                  <wp:extent cx="5334000" cy="4000500"/>
                  <wp:effectExtent b="0" l="0" r="0" t="0"/>
                  <wp:docPr descr="" title="" id="19" name="Picture"/>
                  <a:graphic>
                    <a:graphicData uri="http://schemas.openxmlformats.org/drawingml/2006/picture">
                      <pic:pic>
                        <pic:nvPicPr>
                          <pic:cNvPr descr="figures/usability_all.png" id="20" name="Picture"/>
                          <pic:cNvPicPr>
                            <a:picLocks noChangeArrowheads="1" noChangeAspect="1"/>
                          </pic:cNvPicPr>
                        </pic:nvPicPr>
                        <pic:blipFill>
                          <a:blip r:embed="rId1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Number of indicators of the Kunming-Montreal Global Biodiversity Framework that can be used to monitor at least one action in each of the action tracks of the One Health Joint Plan of Action.</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bookmarkEnd w:id="21"/>
        </w:tc>
      </w:tr>
    </w:tbl>
    <w:p>
      <w:pPr>
        <w:pStyle w:val="BodyText"/>
      </w:pPr>
      <w:r>
        <w:t xml:space="preserve">The number of indicators associated with each action in the OH JPA is presented in</w:t>
      </w:r>
      <w:r>
        <w:t xml:space="preserve"> </w:t>
      </w:r>
      <w:hyperlink w:anchor="tbl-letters">
        <w:r>
          <w:rPr>
            <w:rStyle w:val="Hyperlink"/>
          </w:rPr>
          <w:t xml:space="preserve">Table 1</w:t>
        </w:r>
      </w:hyperlink>
      <w:r>
        <w:t xml:space="preserve">. There are high discrepancies in the usability of indicators between actions. The total number of usable indicators (either directly or after adaptation) varies from 1 (action 5.3: Strengthen global AMR governance structures) to 108 (action 6.1: Protect, restore, and prevent the degradation of ecosystems and the wider environment). Within a single action track, the biggest differences are found in the sixth action track, where only 12 indicators were associated to action 6.4 whereas 108 indicators were associated to action 6.1 This result shows that the KM-GBF monitoring framework can provide substantial information for some of the actions, but it also further highlights the need to identify or develop new indicators for specific actions of the plan, even within the action tracks that can be monitored by numerous indicators, such as action track 6.</w:t>
      </w:r>
    </w:p>
    <w:tbl>
      <w:tblPr>
        <w:tblStyle w:val="Table"/>
        <w:tblW w:type="pct" w:w="5000"/>
        <w:tblLayout w:type="fixed"/>
        <w:tblLook w:firstRow="0" w:lastRow="0" w:firstColumn="0" w:lastColumn="0" w:noHBand="0" w:noVBand="0" w:val="0000"/>
      </w:tblPr>
      <w:tblGrid>
        <w:gridCol w:w="7920"/>
      </w:tblGrid>
      <w:tr>
        <w:tc>
          <w:tcPr/>
          <w:bookmarkStart w:id="22" w:name="tbl-letters"/>
          <w:p>
            <w:pPr>
              <w:jc w:val="center"/>
            </w:pPr>
            <w:pPr>
              <w:jc w:val="left"/>
              <w:spacing w:before="200"/>
              <w:pStyle w:val="ImageCaption"/>
            </w:pPr>
            <w:r>
              <w:t xml:space="preserve">Table 1:</w:t>
            </w:r>
            <w:r>
              <w:t xml:space="preserve"> </w:t>
            </w:r>
            <w:r>
              <w:rPr>
                <w:b/>
                <w:bCs/>
              </w:rPr>
              <w:t xml:space="preserve">Number of indicators of the Kunming-Montreal Global Biodiversity Framework that can be used directly and after adaptation to monitor each of the actions of the One Health Joint Plan of Action.</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 for each indicator.</w:t>
            </w:r>
          </w:p>
          <w:tbl>
            <w:tblPr>
              <w:tblStyle w:val="Table"/>
              <w:tblW w:type="pct" w:w="5000"/>
              <w:tblLayout w:type="fixed"/>
              <w:tblLook w:firstRow="1" w:lastRow="0" w:firstColumn="0" w:lastColumn="0" w:noHBand="0" w:noVBand="0" w:val="0020"/>
            </w:tblPr>
            <w:tblGrid>
              <w:gridCol w:w="4808"/>
              <w:gridCol w:w="1037"/>
              <w:gridCol w:w="1037"/>
              <w:gridCol w:w="103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2"/>
          <w:p/>
        </w:tc>
      </w:tr>
    </w:tbl>
    <w:p>
      <w:pPr>
        <w:pStyle w:val="BodyText"/>
      </w:pPr>
      <w:r>
        <w:t xml:space="preserve">Most KM-GBF indicators can be used to monitor the action tracks, for each of the groups of indicators in the KM-GBF monitoring framework (</w:t>
      </w:r>
      <w:hyperlink w:anchor="fig-use-cat">
        <w:r>
          <w:rPr>
            <w:rStyle w:val="Hyperlink"/>
          </w:rPr>
          <w:t xml:space="preserve">Figure 3</w:t>
        </w:r>
      </w:hyperlink>
      <w:r>
        <w:t xml:space="preserve">). We evaluated that 100% of headline indicators (27/27), 93% of binary indicators (14/15), 94% of component indicators (49/52), and 87% of complementary indicators (96/110) can be used, either directly or after adaptation, to monitor at least one action track. Headline and binary indicators are the only two mandatory groups of indicators, i.e. that Parties need to include in their national biodiversity reports. The high proportion of headline and binary indicators is encouraging, because it indicates that the information most likely to figure in national reports will be reusable for evaluating the implementation of the OH JPA. On the other hand, the high reusability of component and complementary indicators, which are currently optional, should be seen as an additional incentive to measure them.</w:t>
      </w:r>
    </w:p>
    <w:tbl>
      <w:tblPr>
        <w:tblStyle w:val="Table"/>
        <w:tblW w:type="pct" w:w="5000"/>
        <w:tblLayout w:type="fixed"/>
        <w:tblLook w:firstRow="0" w:lastRow="0" w:firstColumn="0" w:lastColumn="0" w:noHBand="0" w:noVBand="0" w:val="0000"/>
      </w:tblPr>
      <w:tblGrid>
        <w:gridCol w:w="7920"/>
      </w:tblGrid>
      <w:tr>
        <w:tc>
          <w:tcPr/>
          <w:bookmarkStart w:id="26" w:name="fig-use-cat"/>
          <w:p>
            <w:pPr>
              <w:pStyle w:val="Compact"/>
              <w:jc w:val="center"/>
            </w:pPr>
            <w:r>
              <w:drawing>
                <wp:inline>
                  <wp:extent cx="5334000" cy="4000500"/>
                  <wp:effectExtent b="0" l="0" r="0" t="0"/>
                  <wp:docPr descr="" title="" id="24" name="Picture"/>
                  <a:graphic>
                    <a:graphicData uri="http://schemas.openxmlformats.org/drawingml/2006/picture">
                      <pic:pic>
                        <pic:nvPicPr>
                          <pic:cNvPr descr="figures/usability_categories.png" id="25" name="Picture"/>
                          <pic:cNvPicPr>
                            <a:picLocks noChangeArrowheads="1" noChangeAspect="1"/>
                          </pic:cNvPicPr>
                        </pic:nvPicPr>
                        <pic:blipFill>
                          <a:blip r:embed="rId2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bookmarkEnd w:id="26"/>
        </w:tc>
      </w:tr>
    </w:tbl>
    <w:p>
      <w:pPr>
        <w:pStyle w:val="BodyText"/>
      </w:pPr>
      <w:r>
        <w:t xml:space="preserve">For each thematic category of the GAP-BH, at least 89% of indicators can be used, either directly or after adaptation, for monitoring at least one action track, except in the</w:t>
      </w:r>
      <w:r>
        <w:t xml:space="preserve"> </w:t>
      </w:r>
      <w:r>
        <w:t xml:space="preserve">“Knowledge and engagement of people”</w:t>
      </w:r>
      <w:r>
        <w:t xml:space="preserve"> </w:t>
      </w:r>
      <w:r>
        <w:t xml:space="preserve">category, where only 52% of the indicators can be used(</w:t>
      </w:r>
      <w:hyperlink w:anchor="fig-use-GAP">
        <w:r>
          <w:rPr>
            <w:rStyle w:val="Hyperlink"/>
          </w:rPr>
          <w:t xml:space="preserve">Figure 4</w:t>
        </w:r>
      </w:hyperlink>
      <w:r>
        <w:t xml:space="preserve">). This suggests that every sector of the KM-GBF monitoring framework, from</w:t>
      </w:r>
      <w:r>
        <w:t xml:space="preserve"> </w:t>
      </w:r>
      <w:r>
        <w:t xml:space="preserve">“Nature’s contribution to people”</w:t>
      </w:r>
      <w:r>
        <w:t xml:space="preserve"> </w:t>
      </w:r>
      <w:r>
        <w:t xml:space="preserve">to</w:t>
      </w:r>
      <w:r>
        <w:t xml:space="preserve"> </w:t>
      </w:r>
      <w:r>
        <w:t xml:space="preserve">“Species management”</w:t>
      </w:r>
      <w:r>
        <w:t xml:space="preserve">, is relevant for One Health, even though there are wide variations in the action track most relevant for each category. For instance, the three indicators under</w:t>
      </w:r>
      <w:r>
        <w:t xml:space="preserve"> </w:t>
      </w:r>
      <w:r>
        <w:t xml:space="preserve">“Urban areas”</w:t>
      </w:r>
      <w:r>
        <w:t xml:space="preserve"> </w:t>
      </w:r>
      <w:r>
        <w:t xml:space="preserve">can only be used after adaptation to monitor the action tracks, apart from tracks 1 and 6, yet they do not capture actions related to antimicrobial resistance (track 5).</w:t>
      </w:r>
      <w:r>
        <w:t xml:space="preserve"> </w:t>
      </w:r>
      <w:hyperlink w:anchor="fig-use-GAP">
        <w:r>
          <w:rPr>
            <w:rStyle w:val="Hyperlink"/>
          </w:rPr>
          <w:t xml:space="preserve">Figure 4</w:t>
        </w:r>
      </w:hyperlink>
      <w:r>
        <w:t xml:space="preserve"> </w:t>
      </w:r>
      <w:r>
        <w:t xml:space="preserve">also shows that all indicators that can directly monitor the fifth action track on antimicrobial resistance are in the</w:t>
      </w:r>
      <w:r>
        <w:t xml:space="preserve"> </w:t>
      </w:r>
      <w:r>
        <w:t xml:space="preserve">“Access and benefit-sharing”</w:t>
      </w:r>
      <w:r>
        <w:t xml:space="preserve"> </w:t>
      </w:r>
      <w:r>
        <w:t xml:space="preserve">and</w:t>
      </w:r>
      <w:r>
        <w:t xml:space="preserve"> </w:t>
      </w:r>
      <w:r>
        <w:t xml:space="preserve">“Biosafety and biotechnology”</w:t>
      </w:r>
      <w:r>
        <w:t xml:space="preserve"> </w:t>
      </w:r>
      <w:r>
        <w:t xml:space="preserve">categories, further emphasizing the importance of collaboration, capacity-building and awareness-raising set forth in this action track.</w:t>
      </w:r>
    </w:p>
    <w:tbl>
      <w:tblPr>
        <w:tblStyle w:val="Table"/>
        <w:tblW w:type="pct" w:w="5000"/>
        <w:tblLayout w:type="fixed"/>
        <w:tblLook w:firstRow="0" w:lastRow="0" w:firstColumn="0" w:lastColumn="0" w:noHBand="0" w:noVBand="0" w:val="0000"/>
      </w:tblPr>
      <w:tblGrid>
        <w:gridCol w:w="7920"/>
      </w:tblGrid>
      <w:tr>
        <w:tc>
          <w:tcPr/>
          <w:bookmarkStart w:id="30" w:name="fig-use-GAP"/>
          <w:p>
            <w:pPr>
              <w:pStyle w:val="Compact"/>
              <w:jc w:val="center"/>
            </w:pPr>
            <w:r>
              <w:drawing>
                <wp:inline>
                  <wp:extent cx="5334000" cy="4267200"/>
                  <wp:effectExtent b="0" l="0" r="0" t="0"/>
                  <wp:docPr descr="" title="" id="28" name="Picture"/>
                  <a:graphic>
                    <a:graphicData uri="http://schemas.openxmlformats.org/drawingml/2006/picture">
                      <pic:pic>
                        <pic:nvPicPr>
                          <pic:cNvPr descr="figures/usability_GAP.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Proportion of indicators of the Kunming-Montreal Global Biodiversity Framework that can be used to monitor at least one action in each of the action tracks of the One Health Joint Plan of Action, partitioned by the different thematic categories of the Global Action Plan on Biodiversity and Health.</w:t>
            </w:r>
            <w:r>
              <w:t xml:space="preserve"> </w:t>
            </w:r>
            <w:r>
              <w:t xml:space="preserve">The number of indicators in each thematic category is indicated in parentheses. The thematic category of an indicator was assigned based on the thematic category of its target. Indicators that monitor goals A, B, C, and D of the Kunming-Montreal Global Biodiversity Framework are not assigned to any thematic category. The opaque bars represent directly usable indicators, whereas the transparent bars represent those usable after adaptation. The gray bars designate the indicators that can monitor at least one action in the whole plan.</w:t>
            </w:r>
          </w:p>
          <w:bookmarkEnd w:id="30"/>
        </w:tc>
      </w:tr>
    </w:tbl>
    <w:bookmarkEnd w:id="31"/>
    <w:bookmarkEnd w:id="32"/>
    <w:bookmarkStart w:id="33" w:name="conclusion"/>
    <w:p>
      <w:pPr>
        <w:pStyle w:val="Heading1"/>
      </w:pPr>
      <w:r>
        <w:t xml:space="preserve">Conclusion</w:t>
      </w:r>
    </w:p>
    <w:p>
      <w:pPr>
        <w:pStyle w:val="FirstParagraph"/>
      </w:pPr>
      <w:r>
        <w:t xml:space="preserve">Instead of developing and measuring new indicators, which can be resource-intensive, the high reusability of the KM-GBF indicators for monitoring the implementation of the OH JPA can increase the efficiency of both monitoring systems. The environmental sector can meaningfully contribute to One Health efforts by sharing their data, tools, and expertise with national One Health agencies, which can in turn provide further incentives and means to measure relevant indicators. Making indicators serve more than one purpose can also improve the efficiency of public and private spending by avoiding duplication of work. Reusing existing indicators can thus greatly reduce the workload of countries that are part of different multilateral environmental agreements with overlapping objectives. However, additional effort is needed to identify or develop new indicators to monitor the action tracks where few KM-GBF indicators were found to be usable. These gaps could be filled by finding existing indicators in other multilateral environmental agreements, such as the global indicator framework of the Sustainable Development Goals (SDGs). Nevertheless, the high reusability of the KM-GBF indicators can greatly facilitate the monitoring of One Health action tracks. Putting in the work to monitor the implementation of the OH JPA will be an essential step to ensure it is effectively put into action and meets its goals. As Parties to the CBD submit their National Biodiversity Strategies and Action Plans (NBSAPs) with the monitored indicators</w:t>
      </w:r>
      <w:r>
        <w:t xml:space="preserve"> </w:t>
      </w:r>
      <w:r>
        <w:t xml:space="preserve">(UNEP, 2022b)</w:t>
      </w:r>
      <w:r>
        <w:t xml:space="preserve">, large amounts of new data will become available for the retrospsective assessment of the progress made on the ambitious One Health actions.</w:t>
      </w:r>
    </w:p>
    <w:bookmarkEnd w:id="33"/>
    <w:bookmarkStart w:id="34" w:name="acknowledgments"/>
    <w:p>
      <w:pPr>
        <w:pStyle w:val="Heading1"/>
      </w:pPr>
      <w:r>
        <w:t xml:space="preserve">Acknowledgments</w:t>
      </w:r>
    </w:p>
    <w:p>
      <w:pPr>
        <w:pStyle w:val="FirstParagraph"/>
      </w:pPr>
      <w:r>
        <w:t xml:space="preserve">We acknowledge that this study was conducted on land within the traditional unceded and unsurrendered territory of the Saint Lawrence Iroquoian, Anishinabewaki, Mohawk, Huron-Wendat and Omàmiwininiwak nations. TP was funded through award no. 223764/Z/21/Z from the Wellcome Trust and supported by the US National Science Foundation (grant no. DBI 2515340). This manuscript is a contribution of the GEO BON One Health working group. We thank Katerina Gapanenko, from the Canadian Institute for Health Information, for her useful feedback on the manuscript.</w:t>
      </w:r>
    </w:p>
    <w:bookmarkEnd w:id="34"/>
    <w:bookmarkStart w:id="117" w:name="references"/>
    <w:p>
      <w:pPr>
        <w:pStyle w:val="Heading1"/>
      </w:pPr>
      <w:r>
        <w:t xml:space="preserve">References</w:t>
      </w:r>
    </w:p>
    <w:bookmarkStart w:id="116" w:name="refs"/>
    <w:bookmarkStart w:id="36" w:name="ref-Affinito2025Assessinga"/>
    <w:p>
      <w:pPr>
        <w:pStyle w:val="Bibliography"/>
      </w:pPr>
      <w:r>
        <w:t xml:space="preserve">Affinito, F., Butchart, S. H. M., Nicholson, E., Hirsch, T., Williams, J. M., Campbell, J. E., Ferrari, M. F., Gabay, M., Gorini, L., Kalamujic Stroil, B., Kohsaka, R., Painter, B., Pinto, J. C., Scholz, A. H., Straza, T. R. A., Tshidada, N., Vallecillo, S., Widdicombe, S., &amp; Gonzalez, A. (2025). Assessing coverage of the monitoring framework of the</w:t>
      </w:r>
      <w:r>
        <w:t xml:space="preserve"> </w:t>
      </w:r>
      <w:r>
        <w:t xml:space="preserve">Kunming-Montreal Global Biodiversity Framework</w:t>
      </w:r>
      <w:r>
        <w:t xml:space="preserve"> </w:t>
      </w:r>
      <w:r>
        <w:t xml:space="preserve">and opportunities to fill gaps.</w:t>
      </w:r>
      <w:r>
        <w:t xml:space="preserve"> </w:t>
      </w:r>
      <w:r>
        <w:rPr>
          <w:i/>
          <w:iCs/>
        </w:rPr>
        <w:t xml:space="preserve">Nature Ecology &amp; Evolution</w:t>
      </w:r>
      <w:r>
        <w:t xml:space="preserve">,</w:t>
      </w:r>
      <w:r>
        <w:t xml:space="preserve"> </w:t>
      </w:r>
      <w:r>
        <w:rPr>
          <w:i/>
          <w:iCs/>
        </w:rPr>
        <w:t xml:space="preserve">9</w:t>
      </w:r>
      <w:r>
        <w:t xml:space="preserve">(7), 1280–1294.</w:t>
      </w:r>
      <w:r>
        <w:t xml:space="preserve"> </w:t>
      </w:r>
      <w:hyperlink r:id="rId35">
        <w:r>
          <w:rPr>
            <w:rStyle w:val="Hyperlink"/>
          </w:rPr>
          <w:t xml:space="preserve">https://doi.org/10.1038/s41559-025-02718-3</w:t>
        </w:r>
      </w:hyperlink>
    </w:p>
    <w:bookmarkEnd w:id="36"/>
    <w:bookmarkStart w:id="38" w:name="ref-Al-Sadi2017Impact"/>
    <w:p>
      <w:pPr>
        <w:pStyle w:val="Bibliography"/>
      </w:pPr>
      <w:r>
        <w:t xml:space="preserve">Al-Sadi, A. M. (2017). Impact of</w:t>
      </w:r>
      <w:r>
        <w:t xml:space="preserve"> </w:t>
      </w:r>
      <w:r>
        <w:t xml:space="preserve">Plant Diseases</w:t>
      </w:r>
      <w:r>
        <w:t xml:space="preserve"> </w:t>
      </w:r>
      <w:r>
        <w:t xml:space="preserve">on</w:t>
      </w:r>
      <w:r>
        <w:t xml:space="preserve"> </w:t>
      </w:r>
      <w:r>
        <w:t xml:space="preserve">Human Health</w:t>
      </w:r>
      <w:r>
        <w:t xml:space="preserve">.</w:t>
      </w:r>
      <w:r>
        <w:t xml:space="preserve"> </w:t>
      </w:r>
      <w:r>
        <w:rPr>
          <w:i/>
          <w:iCs/>
        </w:rPr>
        <w:t xml:space="preserve">International Journal of Nutrition, Pharmacology, Neurological Diseases</w:t>
      </w:r>
      <w:r>
        <w:t xml:space="preserve">,</w:t>
      </w:r>
      <w:r>
        <w:t xml:space="preserve"> </w:t>
      </w:r>
      <w:r>
        <w:rPr>
          <w:i/>
          <w:iCs/>
        </w:rPr>
        <w:t xml:space="preserve">7</w:t>
      </w:r>
      <w:r>
        <w:t xml:space="preserve">(2), 21.</w:t>
      </w:r>
      <w:r>
        <w:t xml:space="preserve"> </w:t>
      </w:r>
      <w:hyperlink r:id="rId37">
        <w:r>
          <w:rPr>
            <w:rStyle w:val="Hyperlink"/>
          </w:rPr>
          <w:t xml:space="preserve">https://doi.org/10.4103/ijnpnd.ijnpnd_24_17</w:t>
        </w:r>
      </w:hyperlink>
    </w:p>
    <w:bookmarkEnd w:id="38"/>
    <w:bookmarkStart w:id="40" w:name="ref-Amuasi2025Future"/>
    <w:p>
      <w:pPr>
        <w:pStyle w:val="Bibliography"/>
      </w:pPr>
      <w:r>
        <w:t xml:space="preserve">Amuasi, J. H., &amp; Winkler, A. S. (2025). Future trajectories for</w:t>
      </w:r>
      <w:r>
        <w:t xml:space="preserve"> </w:t>
      </w:r>
      <w:r>
        <w:t xml:space="preserve">One Health</w:t>
      </w:r>
      <w:r>
        <w:t xml:space="preserve">.</w:t>
      </w:r>
      <w:r>
        <w:t xml:space="preserve"> </w:t>
      </w:r>
      <w:r>
        <w:rPr>
          <w:i/>
          <w:iCs/>
        </w:rPr>
        <w:t xml:space="preserve">The Lancet</w:t>
      </w:r>
      <w:r>
        <w:t xml:space="preserve">,</w:t>
      </w:r>
      <w:r>
        <w:t xml:space="preserve"> </w:t>
      </w:r>
      <w:r>
        <w:rPr>
          <w:i/>
          <w:iCs/>
        </w:rPr>
        <w:t xml:space="preserve">406</w:t>
      </w:r>
      <w:r>
        <w:t xml:space="preserve">(10502), 426–429.</w:t>
      </w:r>
      <w:r>
        <w:t xml:space="preserve"> </w:t>
      </w:r>
      <w:hyperlink r:id="rId39">
        <w:r>
          <w:rPr>
            <w:rStyle w:val="Hyperlink"/>
          </w:rPr>
          <w:t xml:space="preserve">https://doi.org/10.1016/S0140-6736(25)01453-9</w:t>
        </w:r>
      </w:hyperlink>
    </w:p>
    <w:bookmarkEnd w:id="40"/>
    <w:bookmarkStart w:id="42" w:name="ref-Bellard2022Rankinga"/>
    <w:p>
      <w:pPr>
        <w:pStyle w:val="Bibliography"/>
      </w:pPr>
      <w:r>
        <w:t xml:space="preserve">Bellard, C., Marino, C., &amp; Courchamp, F. (2022). Ranking threats to biodiversity and why it doesn’t matter.</w:t>
      </w:r>
      <w:r>
        <w:t xml:space="preserve"> </w:t>
      </w:r>
      <w:r>
        <w:rPr>
          <w:i/>
          <w:iCs/>
        </w:rPr>
        <w:t xml:space="preserve">Nature Communications</w:t>
      </w:r>
      <w:r>
        <w:t xml:space="preserve">,</w:t>
      </w:r>
      <w:r>
        <w:t xml:space="preserve"> </w:t>
      </w:r>
      <w:r>
        <w:rPr>
          <w:i/>
          <w:iCs/>
        </w:rPr>
        <w:t xml:space="preserve">13</w:t>
      </w:r>
      <w:r>
        <w:t xml:space="preserve">(1), 2616.</w:t>
      </w:r>
      <w:r>
        <w:t xml:space="preserve"> </w:t>
      </w:r>
      <w:hyperlink r:id="rId41">
        <w:r>
          <w:rPr>
            <w:rStyle w:val="Hyperlink"/>
          </w:rPr>
          <w:t xml:space="preserve">https://doi.org/10.1038/s41467-022-30339-y</w:t>
        </w:r>
      </w:hyperlink>
    </w:p>
    <w:bookmarkEnd w:id="42"/>
    <w:bookmarkStart w:id="44" w:name="ref-Carlson2025Pathogens"/>
    <w:p>
      <w:pPr>
        <w:pStyle w:val="Bibliography"/>
      </w:pPr>
      <w:r>
        <w:t xml:space="preserve">Carlson, C. J., Brookson, C. B., Becker, D. J., Cummings, C. A., Gibb, R., Halliday, F. W., Heckley, A. M., Huang, Z. Y. X., Lavelle, T., Robertson, H., Vicente-Santos, A., Weets, C. M., &amp; Poisot, T. (2025). Pathogens and planetary change.</w:t>
      </w:r>
      <w:r>
        <w:t xml:space="preserve"> </w:t>
      </w:r>
      <w:r>
        <w:rPr>
          <w:i/>
          <w:iCs/>
        </w:rPr>
        <w:t xml:space="preserve">Nature Reviews Biodiversity</w:t>
      </w:r>
      <w:r>
        <w:t xml:space="preserve">,</w:t>
      </w:r>
      <w:r>
        <w:t xml:space="preserve"> </w:t>
      </w:r>
      <w:r>
        <w:rPr>
          <w:i/>
          <w:iCs/>
        </w:rPr>
        <w:t xml:space="preserve">1</w:t>
      </w:r>
      <w:r>
        <w:t xml:space="preserve">(1), 32–49.</w:t>
      </w:r>
      <w:r>
        <w:t xml:space="preserve"> </w:t>
      </w:r>
      <w:hyperlink r:id="rId43">
        <w:r>
          <w:rPr>
            <w:rStyle w:val="Hyperlink"/>
          </w:rPr>
          <w:t xml:space="preserve">https://doi.org/10.1038/s44358-024-00005-w</w:t>
        </w:r>
      </w:hyperlink>
    </w:p>
    <w:bookmarkEnd w:id="44"/>
    <w:bookmarkStart w:id="46" w:name="ref-Carroll2024Lessons"/>
    <w:p>
      <w:pPr>
        <w:pStyle w:val="Bibliography"/>
      </w:pPr>
      <w:r>
        <w:t xml:space="preserve">Carroll, C., Hoban, S., &amp; Ray, J. C. (2024). Lessons from</w:t>
      </w:r>
      <w:r>
        <w:t xml:space="preserve"> </w:t>
      </w:r>
      <w:r>
        <w:t xml:space="preserve">COP15</w:t>
      </w:r>
      <w:r>
        <w:t xml:space="preserve"> </w:t>
      </w:r>
      <w:r>
        <w:t xml:space="preserve">on effective scientific engagement in biodiversity policy processes.</w:t>
      </w:r>
      <w:r>
        <w:t xml:space="preserve"> </w:t>
      </w:r>
      <w:r>
        <w:rPr>
          <w:i/>
          <w:iCs/>
        </w:rPr>
        <w:t xml:space="preserve">Conservation Biology</w:t>
      </w:r>
      <w:r>
        <w:t xml:space="preserve">,</w:t>
      </w:r>
      <w:r>
        <w:t xml:space="preserve"> </w:t>
      </w:r>
      <w:r>
        <w:rPr>
          <w:i/>
          <w:iCs/>
        </w:rPr>
        <w:t xml:space="preserve">38</w:t>
      </w:r>
      <w:r>
        <w:t xml:space="preserve">(2), e14192.</w:t>
      </w:r>
      <w:r>
        <w:t xml:space="preserve"> </w:t>
      </w:r>
      <w:hyperlink r:id="rId45">
        <w:r>
          <w:rPr>
            <w:rStyle w:val="Hyperlink"/>
          </w:rPr>
          <w:t xml:space="preserve">https://doi.org/10.1111/cobi.14192</w:t>
        </w:r>
      </w:hyperlink>
    </w:p>
    <w:bookmarkEnd w:id="46"/>
    <w:bookmarkStart w:id="48" w:name="ref-Colinas2026Issuesa"/>
    <w:p>
      <w:pPr>
        <w:pStyle w:val="Bibliography"/>
      </w:pPr>
      <w:r>
        <w:t xml:space="preserve">Colinas, J., Boiteux, M., &amp; Aenishaenslin, C. (2026). Issues and principles for legitimate and meaningful</w:t>
      </w:r>
      <w:r>
        <w:t xml:space="preserve"> </w:t>
      </w:r>
      <w:r>
        <w:t xml:space="preserve">One Health</w:t>
      </w:r>
      <w:r>
        <w:t xml:space="preserve"> </w:t>
      </w:r>
      <w:r>
        <w:t xml:space="preserve">monitoring.</w:t>
      </w:r>
      <w:r>
        <w:t xml:space="preserve"> </w:t>
      </w:r>
      <w:r>
        <w:rPr>
          <w:i/>
          <w:iCs/>
        </w:rPr>
        <w:t xml:space="preserve">International Journal of Public Health</w:t>
      </w:r>
      <w:r>
        <w:t xml:space="preserve">,</w:t>
      </w:r>
      <w:r>
        <w:t xml:space="preserve"> </w:t>
      </w:r>
      <w:r>
        <w:rPr>
          <w:i/>
          <w:iCs/>
        </w:rPr>
        <w:t xml:space="preserve">71</w:t>
      </w:r>
      <w:r>
        <w:t xml:space="preserve">, 1609612.</w:t>
      </w:r>
      <w:r>
        <w:t xml:space="preserve"> </w:t>
      </w:r>
      <w:hyperlink r:id="rId47">
        <w:r>
          <w:rPr>
            <w:rStyle w:val="Hyperlink"/>
          </w:rPr>
          <w:t xml:space="preserve">https://doi.org/10.3389/ijph.2026.1609612</w:t>
        </w:r>
      </w:hyperlink>
    </w:p>
    <w:bookmarkEnd w:id="48"/>
    <w:bookmarkStart w:id="50" w:name="ref-Costanza1999What"/>
    <w:p>
      <w:pPr>
        <w:pStyle w:val="Bibliography"/>
      </w:pPr>
      <w:r>
        <w:t xml:space="preserve">Costanza, R., &amp; Mageau, M. (1999). What is a healthy ecosystem?</w:t>
      </w:r>
      <w:r>
        <w:t xml:space="preserve"> </w:t>
      </w:r>
      <w:r>
        <w:rPr>
          <w:i/>
          <w:iCs/>
        </w:rPr>
        <w:t xml:space="preserve">Aquatic Ecology</w:t>
      </w:r>
      <w:r>
        <w:t xml:space="preserve">,</w:t>
      </w:r>
      <w:r>
        <w:t xml:space="preserve"> </w:t>
      </w:r>
      <w:r>
        <w:rPr>
          <w:i/>
          <w:iCs/>
        </w:rPr>
        <w:t xml:space="preserve">33</w:t>
      </w:r>
      <w:r>
        <w:t xml:space="preserve">(1), 105–115.</w:t>
      </w:r>
      <w:r>
        <w:t xml:space="preserve"> </w:t>
      </w:r>
      <w:hyperlink r:id="rId49">
        <w:r>
          <w:rPr>
            <w:rStyle w:val="Hyperlink"/>
          </w:rPr>
          <w:t xml:space="preserve">https://doi.org/10.1023/A:1009930313242</w:t>
        </w:r>
      </w:hyperlink>
    </w:p>
    <w:bookmarkEnd w:id="50"/>
    <w:bookmarkStart w:id="52" w:name="ref-deMoura2022One"/>
    <w:p>
      <w:pPr>
        <w:pStyle w:val="Bibliography"/>
      </w:pPr>
      <w:r>
        <w:t xml:space="preserve">de Moura, R. R., Chiba de Castro, W. A., Farinhas, J. H., Pettan-Brewer, C., Kmetiuk, L. B., dos Santos, A. P., &amp; Biondo, A. W.</w:t>
      </w:r>
      <w:r>
        <w:t xml:space="preserve"> (2022). One</w:t>
      </w:r>
      <w:r>
        <w:t xml:space="preserve"> </w:t>
      </w:r>
      <w:r>
        <w:t xml:space="preserve">Health Index</w:t>
      </w:r>
      <w:r>
        <w:t xml:space="preserve"> </w:t>
      </w:r>
      <w:r>
        <w:t xml:space="preserve">(</w:t>
      </w:r>
      <w:r>
        <w:t xml:space="preserve">OHI</w:t>
      </w:r>
      <w:r>
        <w:t xml:space="preserve">) applied to</w:t>
      </w:r>
      <w:r>
        <w:t xml:space="preserve"> </w:t>
      </w:r>
      <w:r>
        <w:t xml:space="preserve">Curitiba</w:t>
      </w:r>
      <w:r>
        <w:t xml:space="preserve">, the ninth-largest metropolitan area of</w:t>
      </w:r>
      <w:r>
        <w:t xml:space="preserve"> </w:t>
      </w:r>
      <w:r>
        <w:t xml:space="preserve">Brazil</w:t>
      </w:r>
      <w:r>
        <w:t xml:space="preserve">, with concomitant assessment of animal, environmental, and human health indicators.</w:t>
      </w:r>
      <w:r>
        <w:t xml:space="preserve"> </w:t>
      </w:r>
      <w:r>
        <w:rPr>
          <w:i/>
          <w:iCs/>
        </w:rPr>
        <w:t xml:space="preserve">One Health</w:t>
      </w:r>
      <w:r>
        <w:t xml:space="preserve">,</w:t>
      </w:r>
      <w:r>
        <w:t xml:space="preserve"> </w:t>
      </w:r>
      <w:r>
        <w:rPr>
          <w:i/>
          <w:iCs/>
        </w:rPr>
        <w:t xml:space="preserve">14</w:t>
      </w:r>
      <w:r>
        <w:t xml:space="preserve">, 100373.</w:t>
      </w:r>
      <w:r>
        <w:t xml:space="preserve"> </w:t>
      </w:r>
      <w:hyperlink r:id="rId51">
        <w:r>
          <w:rPr>
            <w:rStyle w:val="Hyperlink"/>
          </w:rPr>
          <w:t xml:space="preserve">https://doi.org/10.1016/j.onehlt.2022.100373</w:t>
        </w:r>
      </w:hyperlink>
    </w:p>
    <w:bookmarkEnd w:id="52"/>
    <w:bookmarkStart w:id="53" w:name="ref-Descola2013Nature"/>
    <w:p>
      <w:pPr>
        <w:pStyle w:val="Bibliography"/>
      </w:pPr>
      <w:r>
        <w:t xml:space="preserve">Descola, P. (2013).</w:t>
      </w:r>
      <w:r>
        <w:t xml:space="preserve"> </w:t>
      </w:r>
      <w:r>
        <w:rPr>
          <w:i/>
          <w:iCs/>
        </w:rPr>
        <w:t xml:space="preserve">Beyond</w:t>
      </w:r>
      <w:r>
        <w:rPr>
          <w:i/>
          <w:iCs/>
        </w:rPr>
        <w:t xml:space="preserve"> </w:t>
      </w:r>
      <w:r>
        <w:rPr>
          <w:i/>
          <w:iCs/>
        </w:rPr>
        <w:t xml:space="preserve">Nature</w:t>
      </w:r>
      <w:r>
        <w:rPr>
          <w:i/>
          <w:iCs/>
        </w:rPr>
        <w:t xml:space="preserve"> </w:t>
      </w:r>
      <w:r>
        <w:rPr>
          <w:i/>
          <w:iCs/>
        </w:rPr>
        <w:t xml:space="preserve">and</w:t>
      </w:r>
      <w:r>
        <w:rPr>
          <w:i/>
          <w:iCs/>
        </w:rPr>
        <w:t xml:space="preserve"> </w:t>
      </w:r>
      <w:r>
        <w:rPr>
          <w:i/>
          <w:iCs/>
        </w:rPr>
        <w:t xml:space="preserve">Culture</w:t>
      </w:r>
      <w:r>
        <w:t xml:space="preserve">. University of Chicago Press.</w:t>
      </w:r>
    </w:p>
    <w:bookmarkEnd w:id="53"/>
    <w:bookmarkStart w:id="55" w:name="ref-Diaz2018Assessing"/>
    <w:p>
      <w:pPr>
        <w:pStyle w:val="Bibliography"/>
      </w:pPr>
      <w:r>
        <w:t xml:space="preserve">Diaz, S., Pascual, U., Stenseke, M., Martin-Lopez, B., Watson, R. T., Molnar, Z., Hill, R., Chan, K. M. A., Baste, I. A., Brauman, K. A., Polasky, S., Church, A., Lonsdale, M., Larigauderie, A., Leadley, P. W., van Oudenhoven, A. P. E., van der Plaat, F., Schroter, M., Lavorel, S., … Shirayama, Y.</w:t>
      </w:r>
      <w:r>
        <w:t xml:space="preserve"> (2018). Assessing nature’s contributions to people.</w:t>
      </w:r>
      <w:r>
        <w:t xml:space="preserve"> </w:t>
      </w:r>
      <w:r>
        <w:rPr>
          <w:i/>
          <w:iCs/>
        </w:rPr>
        <w:t xml:space="preserve">Science</w:t>
      </w:r>
      <w:r>
        <w:t xml:space="preserve">,</w:t>
      </w:r>
      <w:r>
        <w:t xml:space="preserve"> </w:t>
      </w:r>
      <w:r>
        <w:rPr>
          <w:i/>
          <w:iCs/>
        </w:rPr>
        <w:t xml:space="preserve">359</w:t>
      </w:r>
      <w:r>
        <w:t xml:space="preserve">(6373), 270–272.</w:t>
      </w:r>
      <w:r>
        <w:t xml:space="preserve"> </w:t>
      </w:r>
      <w:hyperlink r:id="rId54">
        <w:r>
          <w:rPr>
            <w:rStyle w:val="Hyperlink"/>
          </w:rPr>
          <w:t xml:space="preserve">https://doi.org/10.1126/science.aap8826</w:t>
        </w:r>
      </w:hyperlink>
    </w:p>
    <w:bookmarkEnd w:id="55"/>
    <w:bookmarkStart w:id="57"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56">
        <w:r>
          <w:rPr>
            <w:rStyle w:val="Hyperlink"/>
          </w:rPr>
          <w:t xml:space="preserve">https://doi.org/10.1111/j.1365-3059.2011.02501.x</w:t>
        </w:r>
      </w:hyperlink>
    </w:p>
    <w:bookmarkEnd w:id="57"/>
    <w:bookmarkStart w:id="59"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58">
        <w:r>
          <w:rPr>
            <w:rStyle w:val="Hyperlink"/>
          </w:rPr>
          <w:t xml:space="preserve">https://doi.org/10.1038/nrg1729</w:t>
        </w:r>
      </w:hyperlink>
    </w:p>
    <w:bookmarkEnd w:id="59"/>
    <w:bookmarkStart w:id="61" w:name="ref-Garcia2020One"/>
    <w:p>
      <w:pPr>
        <w:pStyle w:val="Bibliography"/>
      </w:pPr>
      <w:r>
        <w:t xml:space="preserve">Garcia, S. N., Osburn, B. I., &amp; Jay-Russell, M. T. (2020). One</w:t>
      </w:r>
      <w:r>
        <w:t xml:space="preserve"> </w:t>
      </w:r>
      <w:r>
        <w:t xml:space="preserve">Health</w:t>
      </w:r>
      <w:r>
        <w:t xml:space="preserve"> </w:t>
      </w:r>
      <w:r>
        <w:t xml:space="preserve">for</w:t>
      </w:r>
      <w:r>
        <w:t xml:space="preserve"> </w:t>
      </w:r>
      <w:r>
        <w:t xml:space="preserve">Food Safety</w:t>
      </w:r>
      <w:r>
        <w:t xml:space="preserve">,</w:t>
      </w:r>
      <w:r>
        <w:t xml:space="preserve"> </w:t>
      </w:r>
      <w:r>
        <w:t xml:space="preserve">Food Security</w:t>
      </w:r>
      <w:r>
        <w:t xml:space="preserve">, and</w:t>
      </w:r>
      <w:r>
        <w:t xml:space="preserve"> </w:t>
      </w:r>
      <w:r>
        <w:t xml:space="preserve">Sustainable Food Production</w:t>
      </w:r>
      <w:r>
        <w:t xml:space="preserve">.</w:t>
      </w:r>
      <w:r>
        <w:t xml:space="preserve"> </w:t>
      </w:r>
      <w:r>
        <w:rPr>
          <w:i/>
          <w:iCs/>
        </w:rPr>
        <w:t xml:space="preserve">Frontiers in Sustainable Food Systems</w:t>
      </w:r>
      <w:r>
        <w:t xml:space="preserve">,</w:t>
      </w:r>
      <w:r>
        <w:t xml:space="preserve"> </w:t>
      </w:r>
      <w:r>
        <w:rPr>
          <w:i/>
          <w:iCs/>
        </w:rPr>
        <w:t xml:space="preserve">4</w:t>
      </w:r>
      <w:r>
        <w:t xml:space="preserve">.</w:t>
      </w:r>
      <w:r>
        <w:t xml:space="preserve"> </w:t>
      </w:r>
      <w:hyperlink r:id="rId60">
        <w:r>
          <w:rPr>
            <w:rStyle w:val="Hyperlink"/>
          </w:rPr>
          <w:t xml:space="preserve">https://doi.org/10.3389/fsufs.2020.00001</w:t>
        </w:r>
      </w:hyperlink>
    </w:p>
    <w:bookmarkEnd w:id="61"/>
    <w:bookmarkStart w:id="63"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62">
        <w:r>
          <w:rPr>
            <w:rStyle w:val="Hyperlink"/>
          </w:rPr>
          <w:t xml:space="preserve">https://doi.org/10.1136/vr.g143</w:t>
        </w:r>
      </w:hyperlink>
    </w:p>
    <w:bookmarkEnd w:id="63"/>
    <w:bookmarkStart w:id="64" w:name="ref-Gudmundsson2003Policy"/>
    <w:p>
      <w:pPr>
        <w:pStyle w:val="Bibliography"/>
      </w:pPr>
      <w:r>
        <w:t xml:space="preserve">Gudmundsson, H. (2003). The</w:t>
      </w:r>
      <w:r>
        <w:t xml:space="preserve"> </w:t>
      </w:r>
      <w:r>
        <w:t xml:space="preserve">Policy Use</w:t>
      </w:r>
      <w:r>
        <w:t xml:space="preserve"> </w:t>
      </w:r>
      <w:r>
        <w:t xml:space="preserve">of</w:t>
      </w:r>
      <w:r>
        <w:t xml:space="preserve"> </w:t>
      </w:r>
      <w:r>
        <w:t xml:space="preserve">Environmental Indicators</w:t>
      </w:r>
      <w:r>
        <w:t xml:space="preserve"> </w:t>
      </w:r>
      <w:r>
        <w:t xml:space="preserve">-</w:t>
      </w:r>
      <w:r>
        <w:t xml:space="preserve"> </w:t>
      </w:r>
      <w:r>
        <w:t xml:space="preserve">Learning</w:t>
      </w:r>
      <w:r>
        <w:t xml:space="preserve"> </w:t>
      </w:r>
      <w:r>
        <w:t xml:space="preserve">from</w:t>
      </w:r>
      <w:r>
        <w:t xml:space="preserve"> </w:t>
      </w:r>
      <w:r>
        <w:t xml:space="preserve">Evaluation Research</w:t>
      </w:r>
      <w:r>
        <w:t xml:space="preserve">.</w:t>
      </w:r>
      <w:r>
        <w:t xml:space="preserve"> </w:t>
      </w:r>
      <w:r>
        <w:rPr>
          <w:i/>
          <w:iCs/>
        </w:rPr>
        <w:t xml:space="preserve">The Journal of Transdisciplinary Environmental Studies</w:t>
      </w:r>
      <w:r>
        <w:t xml:space="preserve">,</w:t>
      </w:r>
      <w:r>
        <w:t xml:space="preserve"> </w:t>
      </w:r>
      <w:r>
        <w:rPr>
          <w:i/>
          <w:iCs/>
        </w:rPr>
        <w:t xml:space="preserve">2</w:t>
      </w:r>
      <w:r>
        <w:t xml:space="preserve">(2), 1–12.</w:t>
      </w:r>
    </w:p>
    <w:bookmarkEnd w:id="64"/>
    <w:bookmarkStart w:id="66" w:name="ref-Hebert2025Selectinga"/>
    <w:p>
      <w:pPr>
        <w:pStyle w:val="Bibliography"/>
      </w:pPr>
      <w:r>
        <w:t xml:space="preserve">Hébert, K., Acevedo, D. H., Cameron, V., Courant, S., Daguet, C., Gonzalez, A., Gravel, D., Huot, J., Jousse, M., Juhasz, C.-C., Lévesque, C., Serrano, J., Simard, A., &amp; Pollock, L. (2025). Selecting indicators to track progress towards the</w:t>
      </w:r>
      <w:r>
        <w:t xml:space="preserve"> </w:t>
      </w:r>
      <w:r>
        <w:t xml:space="preserve">Global Biodiversity Framework</w:t>
      </w:r>
      <w:r>
        <w:t xml:space="preserve">: A case study of</w:t>
      </w:r>
      <w:r>
        <w:t xml:space="preserve"> </w:t>
      </w:r>
      <w:r>
        <w:t xml:space="preserve">Quebec</w:t>
      </w:r>
      <w:r>
        <w:t xml:space="preserve">’s 2030</w:t>
      </w:r>
      <w:r>
        <w:t xml:space="preserve"> </w:t>
      </w:r>
      <w:r>
        <w:t xml:space="preserve">Nature Plan</w:t>
      </w:r>
      <w:r>
        <w:t xml:space="preserve">.</w:t>
      </w:r>
      <w:r>
        <w:t xml:space="preserve"> </w:t>
      </w:r>
      <w:r>
        <w:rPr>
          <w:i/>
          <w:iCs/>
        </w:rPr>
        <w:t xml:space="preserve">FACETS</w:t>
      </w:r>
      <w:r>
        <w:t xml:space="preserve">,</w:t>
      </w:r>
      <w:r>
        <w:t xml:space="preserve"> </w:t>
      </w:r>
      <w:r>
        <w:rPr>
          <w:i/>
          <w:iCs/>
        </w:rPr>
        <w:t xml:space="preserve">10</w:t>
      </w:r>
      <w:r>
        <w:t xml:space="preserve">, 1–13.</w:t>
      </w:r>
      <w:r>
        <w:t xml:space="preserve"> </w:t>
      </w:r>
      <w:hyperlink r:id="rId65">
        <w:r>
          <w:rPr>
            <w:rStyle w:val="Hyperlink"/>
          </w:rPr>
          <w:t xml:space="preserve">https://doi.org/10.1139/facets-2024-0357</w:t>
        </w:r>
      </w:hyperlink>
    </w:p>
    <w:bookmarkEnd w:id="66"/>
    <w:bookmarkStart w:id="67" w:name="ref-Hierro2005Land"/>
    <w:p>
      <w:pPr>
        <w:pStyle w:val="Bibliography"/>
      </w:pPr>
      <w:r>
        <w:t xml:space="preserve">Hierro, P. G. (2005).</w:t>
      </w:r>
      <w:r>
        <w:t xml:space="preserve"> </w:t>
      </w:r>
      <w:r>
        <w:rPr>
          <w:i/>
          <w:iCs/>
        </w:rPr>
        <w:t xml:space="preserve">The</w:t>
      </w:r>
      <w:r>
        <w:rPr>
          <w:i/>
          <w:iCs/>
        </w:rPr>
        <w:t xml:space="preserve"> </w:t>
      </w:r>
      <w:r>
        <w:rPr>
          <w:i/>
          <w:iCs/>
        </w:rPr>
        <w:t xml:space="preserve">Land Within</w:t>
      </w:r>
      <w:r>
        <w:rPr>
          <w:i/>
          <w:iCs/>
        </w:rPr>
        <w:t xml:space="preserve">:</w:t>
      </w:r>
      <w:r>
        <w:rPr>
          <w:i/>
          <w:iCs/>
        </w:rPr>
        <w:t xml:space="preserve"> </w:t>
      </w:r>
      <w:r>
        <w:rPr>
          <w:i/>
          <w:iCs/>
        </w:rPr>
        <w:t xml:space="preserve">Indigenous Territory</w:t>
      </w:r>
      <w:r>
        <w:rPr>
          <w:i/>
          <w:iCs/>
        </w:rPr>
        <w:t xml:space="preserve"> </w:t>
      </w:r>
      <w:r>
        <w:rPr>
          <w:i/>
          <w:iCs/>
        </w:rPr>
        <w:t xml:space="preserve">and the</w:t>
      </w:r>
      <w:r>
        <w:rPr>
          <w:i/>
          <w:iCs/>
        </w:rPr>
        <w:t xml:space="preserve"> </w:t>
      </w:r>
      <w:r>
        <w:rPr>
          <w:i/>
          <w:iCs/>
        </w:rPr>
        <w:t xml:space="preserve">Perception</w:t>
      </w:r>
      <w:r>
        <w:rPr>
          <w:i/>
          <w:iCs/>
        </w:rPr>
        <w:t xml:space="preserve"> </w:t>
      </w:r>
      <w:r>
        <w:rPr>
          <w:i/>
          <w:iCs/>
        </w:rPr>
        <w:t xml:space="preserve">of the</w:t>
      </w:r>
      <w:r>
        <w:rPr>
          <w:i/>
          <w:iCs/>
        </w:rPr>
        <w:t xml:space="preserve"> </w:t>
      </w:r>
      <w:r>
        <w:rPr>
          <w:i/>
          <w:iCs/>
        </w:rPr>
        <w:t xml:space="preserve">Environment</w:t>
      </w:r>
      <w:r>
        <w:t xml:space="preserve">. IWGIA.</w:t>
      </w:r>
    </w:p>
    <w:bookmarkEnd w:id="67"/>
    <w:bookmarkStart w:id="69" w:name="ref-Jackson2013Linking"/>
    <w:p>
      <w:pPr>
        <w:pStyle w:val="Bibliography"/>
      </w:pPr>
      <w:r>
        <w:t xml:space="preserve">Jackson, L. E., Daniel, J., McCorkle, B., Sears, A., &amp; Bush, K. F. (2013). Linking ecosystem services and human health: The</w:t>
      </w:r>
      <w:r>
        <w:t xml:space="preserve"> </w:t>
      </w:r>
      <w:r>
        <w:t xml:space="preserve">Eco-Health Relationship Browser</w:t>
      </w:r>
      <w:r>
        <w:t xml:space="preserve">.</w:t>
      </w:r>
      <w:r>
        <w:t xml:space="preserve"> </w:t>
      </w:r>
      <w:r>
        <w:rPr>
          <w:i/>
          <w:iCs/>
        </w:rPr>
        <w:t xml:space="preserve">International Journal of Public Health</w:t>
      </w:r>
      <w:r>
        <w:t xml:space="preserve">,</w:t>
      </w:r>
      <w:r>
        <w:t xml:space="preserve"> </w:t>
      </w:r>
      <w:r>
        <w:rPr>
          <w:i/>
          <w:iCs/>
        </w:rPr>
        <w:t xml:space="preserve">58</w:t>
      </w:r>
      <w:r>
        <w:t xml:space="preserve">(5), 747–755.</w:t>
      </w:r>
      <w:r>
        <w:t xml:space="preserve"> </w:t>
      </w:r>
      <w:hyperlink r:id="rId68">
        <w:r>
          <w:rPr>
            <w:rStyle w:val="Hyperlink"/>
          </w:rPr>
          <w:t xml:space="preserve">https://doi.org/10.1007/s00038-013-0482-1</w:t>
        </w:r>
      </w:hyperlink>
    </w:p>
    <w:bookmarkEnd w:id="69"/>
    <w:bookmarkStart w:id="70" w:name="ref-Jakobsson2012Sustainable"/>
    <w:p>
      <w:pPr>
        <w:pStyle w:val="Bibliography"/>
      </w:pPr>
      <w:r>
        <w:t xml:space="preserve">Jakobsson, C. (2012).</w:t>
      </w:r>
      <w:r>
        <w:t xml:space="preserve"> </w:t>
      </w:r>
      <w:r>
        <w:rPr>
          <w:i/>
          <w:iCs/>
        </w:rPr>
        <w:t xml:space="preserve">Sustainable</w:t>
      </w:r>
      <w:r>
        <w:rPr>
          <w:i/>
          <w:iCs/>
        </w:rPr>
        <w:t xml:space="preserve"> </w:t>
      </w:r>
      <w:r>
        <w:rPr>
          <w:i/>
          <w:iCs/>
        </w:rPr>
        <w:t xml:space="preserve">Agriculture</w:t>
      </w:r>
      <w:r>
        <w:t xml:space="preserve">. Baltic University Press.</w:t>
      </w:r>
    </w:p>
    <w:bookmarkEnd w:id="70"/>
    <w:bookmarkStart w:id="72" w:name="ref-Jones2011Why"/>
    <w:p>
      <w:pPr>
        <w:pStyle w:val="Bibliography"/>
      </w:pPr>
      <w:r>
        <w:t xml:space="preserve">Jones, J. P. G., Collen, B., Atkinson, G., Baxter, P. W. J., Bubb, P., Illian, J. B., Katzner, T. E., Keane, A., Loh, J., Mcdonald-Madden, E., Nicholson, E., Pereira, H. M., Possingham, H. P., Pullin, A. S., Rodrigues, A. S. L., Ruiz-Gutierrez, V., Sommerville, M., &amp; Milner-Gulland, E. J. (2011). The</w:t>
      </w:r>
      <w:r>
        <w:t xml:space="preserve"> </w:t>
      </w:r>
      <w:r>
        <w:t xml:space="preserve">Why</w:t>
      </w:r>
      <w:r>
        <w:t xml:space="preserve">,</w:t>
      </w:r>
      <w:r>
        <w:t xml:space="preserve"> </w:t>
      </w:r>
      <w:r>
        <w:t xml:space="preserve">What</w:t>
      </w:r>
      <w:r>
        <w:t xml:space="preserve">, and</w:t>
      </w:r>
      <w:r>
        <w:t xml:space="preserve"> </w:t>
      </w:r>
      <w:r>
        <w:t xml:space="preserve">How</w:t>
      </w:r>
      <w:r>
        <w:t xml:space="preserve"> </w:t>
      </w:r>
      <w:r>
        <w:t xml:space="preserve">of</w:t>
      </w:r>
      <w:r>
        <w:t xml:space="preserve"> </w:t>
      </w:r>
      <w:r>
        <w:t xml:space="preserve">Global Biodiversity Indicators Beyond</w:t>
      </w:r>
      <w:r>
        <w:t xml:space="preserve"> </w:t>
      </w:r>
      <w:r>
        <w:t xml:space="preserve">the 2010</w:t>
      </w:r>
      <w:r>
        <w:t xml:space="preserve"> </w:t>
      </w:r>
      <w:r>
        <w:t xml:space="preserve">Target</w:t>
      </w:r>
      <w:r>
        <w:t xml:space="preserve">.</w:t>
      </w:r>
      <w:r>
        <w:t xml:space="preserve"> </w:t>
      </w:r>
      <w:r>
        <w:rPr>
          <w:i/>
          <w:iCs/>
        </w:rPr>
        <w:t xml:space="preserve">Conservation Biology</w:t>
      </w:r>
      <w:r>
        <w:t xml:space="preserve">,</w:t>
      </w:r>
      <w:r>
        <w:t xml:space="preserve"> </w:t>
      </w:r>
      <w:r>
        <w:rPr>
          <w:i/>
          <w:iCs/>
        </w:rPr>
        <w:t xml:space="preserve">25</w:t>
      </w:r>
      <w:r>
        <w:t xml:space="preserve">(3), 450–457.</w:t>
      </w:r>
      <w:r>
        <w:t xml:space="preserve"> </w:t>
      </w:r>
      <w:hyperlink r:id="rId71">
        <w:r>
          <w:rPr>
            <w:rStyle w:val="Hyperlink"/>
          </w:rPr>
          <w:t xml:space="preserve">https://doi.org/10.1111/j.1523-1739.2010.01605.x</w:t>
        </w:r>
      </w:hyperlink>
    </w:p>
    <w:bookmarkEnd w:id="72"/>
    <w:bookmarkStart w:id="74" w:name="ref-Jones2008Global"/>
    <w:p>
      <w:pPr>
        <w:pStyle w:val="Bibliography"/>
      </w:pPr>
      <w:r>
        <w:t xml:space="preserve">Jones, K. E., Patel, N. G., Levy, M. A., Storeygard, A., Balk, D., Gittleman, J. L., &amp; Daszak, P. (2008). Global trends in emerging infectious diseases.</w:t>
      </w:r>
      <w:r>
        <w:t xml:space="preserve"> </w:t>
      </w:r>
      <w:r>
        <w:rPr>
          <w:i/>
          <w:iCs/>
        </w:rPr>
        <w:t xml:space="preserve">Nature</w:t>
      </w:r>
      <w:r>
        <w:t xml:space="preserve">,</w:t>
      </w:r>
      <w:r>
        <w:t xml:space="preserve"> </w:t>
      </w:r>
      <w:r>
        <w:rPr>
          <w:i/>
          <w:iCs/>
        </w:rPr>
        <w:t xml:space="preserve">451</w:t>
      </w:r>
      <w:r>
        <w:t xml:space="preserve">(7181), 990–U4.</w:t>
      </w:r>
      <w:r>
        <w:t xml:space="preserve"> </w:t>
      </w:r>
      <w:hyperlink r:id="rId73">
        <w:r>
          <w:rPr>
            <w:rStyle w:val="Hyperlink"/>
          </w:rPr>
          <w:t xml:space="preserve">https://doi.org/10.1038/nature06536</w:t>
        </w:r>
      </w:hyperlink>
    </w:p>
    <w:bookmarkEnd w:id="74"/>
    <w:bookmarkStart w:id="76"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75">
        <w:r>
          <w:rPr>
            <w:rStyle w:val="Hyperlink"/>
          </w:rPr>
          <w:t xml:space="preserve">https://doi.org/10.1016/j.scitotenv.2016.09.009</w:t>
        </w:r>
      </w:hyperlink>
    </w:p>
    <w:bookmarkEnd w:id="76"/>
    <w:bookmarkStart w:id="77" w:name="ref-Kirsop-Taylor2022Chapter"/>
    <w:p>
      <w:pPr>
        <w:pStyle w:val="Bibliography"/>
      </w:pPr>
      <w:r>
        <w:t xml:space="preserve">Kirsop-Taylor, N. (2022).</w:t>
      </w:r>
      <w:r>
        <w:t xml:space="preserve"> </w:t>
      </w:r>
      <w:r>
        <w:rPr>
          <w:i/>
          <w:iCs/>
        </w:rPr>
        <w:t xml:space="preserve">Chapter 4:</w:t>
      </w:r>
      <w:r>
        <w:rPr>
          <w:i/>
          <w:iCs/>
        </w:rPr>
        <w:t xml:space="preserve"> </w:t>
      </w:r>
      <w:r>
        <w:rPr>
          <w:i/>
          <w:iCs/>
        </w:rPr>
        <w:t xml:space="preserve">Biodiversity</w:t>
      </w:r>
      <w:r>
        <w:rPr>
          <w:i/>
          <w:iCs/>
        </w:rPr>
        <w:t xml:space="preserve"> </w:t>
      </w:r>
      <w:r>
        <w:rPr>
          <w:i/>
          <w:iCs/>
        </w:rPr>
        <w:t xml:space="preserve">and sustainable development governance</w:t>
      </w:r>
      <w:r>
        <w:t xml:space="preserve"> </w:t>
      </w:r>
      <w:r>
        <w:t xml:space="preserve">(Handbook on the Governance of Sustainable Development).</w:t>
      </w:r>
    </w:p>
    <w:bookmarkEnd w:id="77"/>
    <w:bookmarkStart w:id="78" w:name="ref-Lehtonen2015Chapter"/>
    <w:p>
      <w:pPr>
        <w:pStyle w:val="Bibliography"/>
      </w:pPr>
      <w:r>
        <w:t xml:space="preserve">Lehtonen, M. (2015).</w:t>
      </w:r>
      <w:r>
        <w:t xml:space="preserve"> </w:t>
      </w:r>
      <w:r>
        <w:rPr>
          <w:i/>
          <w:iCs/>
        </w:rPr>
        <w:t xml:space="preserve">Chapter 4:</w:t>
      </w:r>
      <w:r>
        <w:rPr>
          <w:i/>
          <w:iCs/>
        </w:rPr>
        <w:t xml:space="preserve"> </w:t>
      </w:r>
      <w:r>
        <w:rPr>
          <w:i/>
          <w:iCs/>
        </w:rPr>
        <w:t xml:space="preserve">Indicators</w:t>
      </w:r>
      <w:r>
        <w:rPr>
          <w:i/>
          <w:iCs/>
        </w:rPr>
        <w:t xml:space="preserve">: Tools for informing, monitoring or controlling?</w:t>
      </w:r>
      <w:r>
        <w:t xml:space="preserve"> </w:t>
      </w:r>
      <w:r>
        <w:t xml:space="preserve">(The Tools of Policy Formulation).</w:t>
      </w:r>
    </w:p>
    <w:bookmarkEnd w:id="78"/>
    <w:bookmarkStart w:id="80" w:name="ref-Lerner2015Concept"/>
    <w:p>
      <w:pPr>
        <w:pStyle w:val="Bibliography"/>
      </w:pPr>
      <w:r>
        <w:t xml:space="preserve">Lerner, H., &amp; Berg, C. (2015). The concept of health in</w:t>
      </w:r>
      <w:r>
        <w:t xml:space="preserve"> </w:t>
      </w:r>
      <w:r>
        <w:t xml:space="preserve">One Health</w:t>
      </w:r>
      <w:r>
        <w:t xml:space="preserve"> </w:t>
      </w:r>
      <w:r>
        <w:t xml:space="preserve">and some practical implications for research and education: What is</w:t>
      </w:r>
      <w:r>
        <w:t xml:space="preserve"> </w:t>
      </w:r>
      <w:r>
        <w:t xml:space="preserve">One Health</w:t>
      </w:r>
      <w:r>
        <w:t xml:space="preserve">?</w:t>
      </w:r>
      <w:r>
        <w:t xml:space="preserve"> </w:t>
      </w:r>
      <w:r>
        <w:rPr>
          <w:i/>
          <w:iCs/>
        </w:rPr>
        <w:t xml:space="preserve">Infection Ecology &amp; Epidemiology</w:t>
      </w:r>
      <w:r>
        <w:t xml:space="preserve">,</w:t>
      </w:r>
      <w:r>
        <w:t xml:space="preserve"> </w:t>
      </w:r>
      <w:r>
        <w:rPr>
          <w:i/>
          <w:iCs/>
        </w:rPr>
        <w:t xml:space="preserve">5</w:t>
      </w:r>
      <w:r>
        <w:t xml:space="preserve">(1), 25300.</w:t>
      </w:r>
      <w:r>
        <w:t xml:space="preserve"> </w:t>
      </w:r>
      <w:hyperlink r:id="rId79">
        <w:r>
          <w:rPr>
            <w:rStyle w:val="Hyperlink"/>
          </w:rPr>
          <w:t xml:space="preserve">https://doi.org/10.3402/iee.v5.25300</w:t>
        </w:r>
      </w:hyperlink>
    </w:p>
    <w:bookmarkEnd w:id="80"/>
    <w:bookmarkStart w:id="82"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81">
        <w:r>
          <w:rPr>
            <w:rStyle w:val="Hyperlink"/>
          </w:rPr>
          <w:t xml:space="preserve">https://doi.org/10.3389/fvets.2017.00163</w:t>
        </w:r>
      </w:hyperlink>
    </w:p>
    <w:bookmarkEnd w:id="82"/>
    <w:bookmarkStart w:id="84" w:name="ref-Mahmood2016Effects"/>
    <w:p>
      <w:pPr>
        <w:pStyle w:val="Bibliography"/>
      </w:pPr>
      <w:r>
        <w:t xml:space="preserve">Mahmood, I., Imadi, S. R., Shazadi, K., Gul, A., &amp; Hakeem, K. R. (2016). Effects of</w:t>
      </w:r>
      <w:r>
        <w:t xml:space="preserve"> </w:t>
      </w:r>
      <w:r>
        <w:t xml:space="preserve">Pesticides</w:t>
      </w:r>
      <w:r>
        <w:t xml:space="preserve"> </w:t>
      </w:r>
      <w:r>
        <w:t xml:space="preserve">on</w:t>
      </w:r>
      <w:r>
        <w:t xml:space="preserve"> </w:t>
      </w:r>
      <w:r>
        <w:t xml:space="preserve">Environment</w:t>
      </w:r>
      <w:r>
        <w:t xml:space="preserve">. In K. R. Hakeem, M. S. Akhtar, &amp; S. N. A. Abdullah (Eds.),</w:t>
      </w:r>
      <w:r>
        <w:t xml:space="preserve"> </w:t>
      </w:r>
      <w:r>
        <w:rPr>
          <w:i/>
          <w:iCs/>
        </w:rPr>
        <w:t xml:space="preserve">Plant,</w:t>
      </w:r>
      <w:r>
        <w:rPr>
          <w:i/>
          <w:iCs/>
        </w:rPr>
        <w:t xml:space="preserve"> </w:t>
      </w:r>
      <w:r>
        <w:rPr>
          <w:i/>
          <w:iCs/>
        </w:rPr>
        <w:t xml:space="preserve">Soil</w:t>
      </w:r>
      <w:r>
        <w:rPr>
          <w:i/>
          <w:iCs/>
        </w:rPr>
        <w:t xml:space="preserve"> </w:t>
      </w:r>
      <w:r>
        <w:rPr>
          <w:i/>
          <w:iCs/>
        </w:rPr>
        <w:t xml:space="preserve">and</w:t>
      </w:r>
      <w:r>
        <w:rPr>
          <w:i/>
          <w:iCs/>
        </w:rPr>
        <w:t xml:space="preserve"> </w:t>
      </w:r>
      <w:r>
        <w:rPr>
          <w:i/>
          <w:iCs/>
        </w:rPr>
        <w:t xml:space="preserve">Microbes</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Implications</w:t>
      </w:r>
      <w:r>
        <w:rPr>
          <w:i/>
          <w:iCs/>
        </w:rPr>
        <w:t xml:space="preserve"> </w:t>
      </w:r>
      <w:r>
        <w:rPr>
          <w:i/>
          <w:iCs/>
        </w:rPr>
        <w:t xml:space="preserve">in</w:t>
      </w:r>
      <w:r>
        <w:rPr>
          <w:i/>
          <w:iCs/>
        </w:rPr>
        <w:t xml:space="preserve"> </w:t>
      </w:r>
      <w:r>
        <w:rPr>
          <w:i/>
          <w:iCs/>
        </w:rPr>
        <w:t xml:space="preserve">Crop Science</w:t>
      </w:r>
      <w:r>
        <w:t xml:space="preserve"> </w:t>
      </w:r>
      <w:r>
        <w:t xml:space="preserve">(pp. 253–269). Springer International Publishing.</w:t>
      </w:r>
      <w:r>
        <w:t xml:space="preserve"> </w:t>
      </w:r>
      <w:hyperlink r:id="rId83">
        <w:r>
          <w:rPr>
            <w:rStyle w:val="Hyperlink"/>
          </w:rPr>
          <w:t xml:space="preserve">https://doi.org/10.1007/978-3-319-27455-3_13</w:t>
        </w:r>
      </w:hyperlink>
    </w:p>
    <w:bookmarkEnd w:id="84"/>
    <w:bookmarkStart w:id="86"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85">
        <w:r>
          <w:rPr>
            <w:rStyle w:val="Hyperlink"/>
          </w:rPr>
          <w:t xml:space="preserve">https://doi.org/10.1007/s00709-020-01579-w</w:t>
        </w:r>
      </w:hyperlink>
    </w:p>
    <w:bookmarkEnd w:id="86"/>
    <w:bookmarkStart w:id="88" w:name="ref-Nicholson2012Making"/>
    <w:p>
      <w:pPr>
        <w:pStyle w:val="Bibliography"/>
      </w:pPr>
      <w:r>
        <w:t xml:space="preserve">Nicholson, E., Collen, B., Barausse, A., Blanchard, J. L., Costelloe, B. T., Sullivan, K. M. E., Underwood, F. M., Burn, R. W., Fritz, S., Jones, J. P. G., McRae, L., Possingham, H. P., &amp; Milner-Gulland, E. J. (2012). Making</w:t>
      </w:r>
      <w:r>
        <w:t xml:space="preserve"> </w:t>
      </w:r>
      <w:r>
        <w:t xml:space="preserve">Robust Policy Decisions Using Global Biodiversity Indicators</w:t>
      </w:r>
      <w:r>
        <w:t xml:space="preserve">.</w:t>
      </w:r>
      <w:r>
        <w:t xml:space="preserve"> </w:t>
      </w:r>
      <w:r>
        <w:rPr>
          <w:i/>
          <w:iCs/>
        </w:rPr>
        <w:t xml:space="preserve">PLOS ONE</w:t>
      </w:r>
      <w:r>
        <w:t xml:space="preserve">,</w:t>
      </w:r>
      <w:r>
        <w:t xml:space="preserve"> </w:t>
      </w:r>
      <w:r>
        <w:rPr>
          <w:i/>
          <w:iCs/>
        </w:rPr>
        <w:t xml:space="preserve">7</w:t>
      </w:r>
      <w:r>
        <w:t xml:space="preserve">(7), e41128.</w:t>
      </w:r>
      <w:r>
        <w:t xml:space="preserve"> </w:t>
      </w:r>
      <w:hyperlink r:id="rId87">
        <w:r>
          <w:rPr>
            <w:rStyle w:val="Hyperlink"/>
          </w:rPr>
          <w:t xml:space="preserve">https://doi.org/10.1371/journal.pone.0041128</w:t>
        </w:r>
      </w:hyperlink>
    </w:p>
    <w:bookmarkEnd w:id="88"/>
    <w:bookmarkStart w:id="90" w:name="ref-PanelOHHLEP2022Onea"/>
    <w:p>
      <w:pPr>
        <w:pStyle w:val="Bibliography"/>
      </w:pPr>
      <w:r>
        <w:t xml:space="preserve">OHHLEP, Adisasmito, W. B., Almuhairi, S., Behravesh, C. B., Bilivogui, P., Bukachi, S. A., Casas, N., Becerra, N. C., Charron, D. F., Chaudhary, A., Zanella, J. R. C., Cunningham, A. A., Dar, O., Debnath, N., Dungu, B., Farag, E., Gao, G. F., Hayman, D. T. S., Khaitsa, M., … Zhou, L. (2022). One</w:t>
      </w:r>
      <w:r>
        <w:t xml:space="preserve"> </w:t>
      </w:r>
      <w:r>
        <w:t xml:space="preserve">Health</w:t>
      </w:r>
      <w:r>
        <w:t xml:space="preserve">:</w:t>
      </w:r>
      <w:r>
        <w:t xml:space="preserve"> </w:t>
      </w:r>
      <w:r>
        <w:t xml:space="preserve">A</w:t>
      </w:r>
      <w:r>
        <w:t xml:space="preserve"> </w:t>
      </w:r>
      <w:r>
        <w:t xml:space="preserve">new definition for a sustainable and healthy future.</w:t>
      </w:r>
      <w:r>
        <w:t xml:space="preserve"> </w:t>
      </w:r>
      <w:r>
        <w:rPr>
          <w:i/>
          <w:iCs/>
        </w:rPr>
        <w:t xml:space="preserve">PLOS Pathogens</w:t>
      </w:r>
      <w:r>
        <w:t xml:space="preserve">,</w:t>
      </w:r>
      <w:r>
        <w:t xml:space="preserve"> </w:t>
      </w:r>
      <w:r>
        <w:rPr>
          <w:i/>
          <w:iCs/>
        </w:rPr>
        <w:t xml:space="preserve">18</w:t>
      </w:r>
      <w:r>
        <w:t xml:space="preserve">(6), e1010537.</w:t>
      </w:r>
      <w:r>
        <w:t xml:space="preserve"> </w:t>
      </w:r>
      <w:hyperlink r:id="rId89">
        <w:r>
          <w:rPr>
            <w:rStyle w:val="Hyperlink"/>
          </w:rPr>
          <w:t xml:space="preserve">https://doi.org/10.1371/journal.ppat.1010537</w:t>
        </w:r>
      </w:hyperlink>
    </w:p>
    <w:bookmarkEnd w:id="90"/>
    <w:bookmarkStart w:id="92" w:name="ref-Poisot2025Biodiversity"/>
    <w:p>
      <w:pPr>
        <w:pStyle w:val="Bibliography"/>
      </w:pPr>
      <w:r>
        <w:t xml:space="preserve">Poisot, T., Becker, D. J., Catchen, M. D., Gibb, R., Shimabukuro, P. H. F., &amp; Carlson, C. J. (2025). Biodiversity science and biosurveillance are fellow travelers.</w:t>
      </w:r>
      <w:r>
        <w:t xml:space="preserve"> </w:t>
      </w:r>
      <w:r>
        <w:rPr>
          <w:i/>
          <w:iCs/>
        </w:rPr>
        <w:t xml:space="preserve">BioScience</w:t>
      </w:r>
      <w:r>
        <w:t xml:space="preserve">, biaf091.</w:t>
      </w:r>
      <w:r>
        <w:t xml:space="preserve"> </w:t>
      </w:r>
      <w:hyperlink r:id="rId91">
        <w:r>
          <w:rPr>
            <w:rStyle w:val="Hyperlink"/>
          </w:rPr>
          <w:t xml:space="preserve">https://doi.org/10.1093/biosci/biaf091</w:t>
        </w:r>
      </w:hyperlink>
    </w:p>
    <w:bookmarkEnd w:id="92"/>
    <w:bookmarkStart w:id="93" w:name="ref-Organization2022One"/>
    <w:p>
      <w:pPr>
        <w:pStyle w:val="Bibliography"/>
      </w:pPr>
      <w:r>
        <w:t xml:space="preserve">Quadripartite organizations. (2022).</w:t>
      </w:r>
      <w:r>
        <w:t xml:space="preserve"> </w:t>
      </w:r>
      <w:r>
        <w:rPr>
          <w:i/>
          <w:iCs/>
        </w:rPr>
        <w:t xml:space="preserve">One</w:t>
      </w:r>
      <w:r>
        <w:rPr>
          <w:i/>
          <w:iCs/>
        </w:rPr>
        <w:t xml:space="preserve"> </w:t>
      </w:r>
      <w:r>
        <w:rPr>
          <w:i/>
          <w:iCs/>
        </w:rPr>
        <w:t xml:space="preserve">Health Joint Plan</w:t>
      </w:r>
      <w:r>
        <w:rPr>
          <w:i/>
          <w:iCs/>
        </w:rPr>
        <w:t xml:space="preserve"> </w:t>
      </w:r>
      <w:r>
        <w:rPr>
          <w:i/>
          <w:iCs/>
        </w:rPr>
        <w:t xml:space="preserve">of</w:t>
      </w:r>
      <w:r>
        <w:rPr>
          <w:i/>
          <w:iCs/>
        </w:rPr>
        <w:t xml:space="preserve"> </w:t>
      </w:r>
      <w:r>
        <w:rPr>
          <w:i/>
          <w:iCs/>
        </w:rPr>
        <w:t xml:space="preserve">Action</w:t>
      </w:r>
      <w:r>
        <w:rPr>
          <w:i/>
          <w:iCs/>
        </w:rPr>
        <w:t xml:space="preserve"> </w:t>
      </w:r>
      <w:r>
        <w:rPr>
          <w:i/>
          <w:iCs/>
        </w:rPr>
        <w:t xml:space="preserve">(2022-2026): Working together for the health of humans, animals, plants and the environment</w:t>
      </w:r>
      <w:r>
        <w:t xml:space="preserve">. World Health Organization.</w:t>
      </w:r>
    </w:p>
    <w:bookmarkEnd w:id="93"/>
    <w:bookmarkStart w:id="95" w:name="ref-Rabinowitz2013Linksa"/>
    <w:p>
      <w:pPr>
        <w:pStyle w:val="Bibliography"/>
      </w:pPr>
      <w:r>
        <w:t xml:space="preserve">Rabinowitz, P., &amp; Conti, L. (2013). Links among human health, animal health, and ecosystem health.</w:t>
      </w:r>
      <w:r>
        <w:t xml:space="preserve"> </w:t>
      </w:r>
      <w:r>
        <w:rPr>
          <w:i/>
          <w:iCs/>
        </w:rPr>
        <w:t xml:space="preserve">Annual Review of Public Health</w:t>
      </w:r>
      <w:r>
        <w:t xml:space="preserve">,</w:t>
      </w:r>
      <w:r>
        <w:t xml:space="preserve"> </w:t>
      </w:r>
      <w:r>
        <w:rPr>
          <w:i/>
          <w:iCs/>
        </w:rPr>
        <w:t xml:space="preserve">34</w:t>
      </w:r>
      <w:r>
        <w:t xml:space="preserve">, 189–204.</w:t>
      </w:r>
      <w:r>
        <w:t xml:space="preserve"> </w:t>
      </w:r>
      <w:hyperlink r:id="rId94">
        <w:r>
          <w:rPr>
            <w:rStyle w:val="Hyperlink"/>
          </w:rPr>
          <w:t xml:space="preserve">https://doi.org/10.1146/annurev-publhealth-031912-114426</w:t>
        </w:r>
      </w:hyperlink>
    </w:p>
    <w:bookmarkEnd w:id="95"/>
    <w:bookmarkStart w:id="96" w:name="ref-Rapport1989What"/>
    <w:p>
      <w:pPr>
        <w:pStyle w:val="Bibliography"/>
      </w:pPr>
      <w:r>
        <w:t xml:space="preserve">Rapport, D. J. (1989). What</w:t>
      </w:r>
      <w:r>
        <w:t xml:space="preserve"> </w:t>
      </w:r>
      <w:r>
        <w:t xml:space="preserve">Constitutes Ecosystem Health</w:t>
      </w:r>
      <w:r>
        <w:t xml:space="preserve">?</w:t>
      </w:r>
      <w:r>
        <w:t xml:space="preserve"> </w:t>
      </w:r>
      <w:r>
        <w:rPr>
          <w:i/>
          <w:iCs/>
        </w:rPr>
        <w:t xml:space="preserve">Perspectives in Biology and Medicine</w:t>
      </w:r>
      <w:r>
        <w:t xml:space="preserve">,</w:t>
      </w:r>
      <w:r>
        <w:t xml:space="preserve"> </w:t>
      </w:r>
      <w:r>
        <w:rPr>
          <w:i/>
          <w:iCs/>
        </w:rPr>
        <w:t xml:space="preserve">33</w:t>
      </w:r>
      <w:r>
        <w:t xml:space="preserve">(1), 120–132.</w:t>
      </w:r>
    </w:p>
    <w:bookmarkEnd w:id="96"/>
    <w:bookmarkStart w:id="98" w:name="ref-Robinson2024Biodiversity"/>
    <w:p>
      <w:pPr>
        <w:pStyle w:val="Bibliography"/>
      </w:pPr>
      <w:r>
        <w:t xml:space="preserve">Robinson, J. M., Breed, A. C., Camargo, A., Redvers, N., &amp; Breed, M. F. (2024). Biodiversity and human health:</w:t>
      </w:r>
      <w:r>
        <w:t xml:space="preserve"> </w:t>
      </w:r>
      <w:r>
        <w:t xml:space="preserve">A</w:t>
      </w:r>
      <w:r>
        <w:t xml:space="preserve"> </w:t>
      </w:r>
      <w:r>
        <w:t xml:space="preserve">scoping review and examples of underrepresented linkages.</w:t>
      </w:r>
      <w:r>
        <w:t xml:space="preserve"> </w:t>
      </w:r>
      <w:r>
        <w:rPr>
          <w:i/>
          <w:iCs/>
        </w:rPr>
        <w:t xml:space="preserve">Environmental Research</w:t>
      </w:r>
      <w:r>
        <w:t xml:space="preserve">,</w:t>
      </w:r>
      <w:r>
        <w:t xml:space="preserve"> </w:t>
      </w:r>
      <w:r>
        <w:rPr>
          <w:i/>
          <w:iCs/>
        </w:rPr>
        <w:t xml:space="preserve">246</w:t>
      </w:r>
      <w:r>
        <w:t xml:space="preserve">, 118115.</w:t>
      </w:r>
      <w:r>
        <w:t xml:space="preserve"> </w:t>
      </w:r>
      <w:hyperlink r:id="rId97">
        <w:r>
          <w:rPr>
            <w:rStyle w:val="Hyperlink"/>
          </w:rPr>
          <w:t xml:space="preserve">https://doi.org/10.1016/j.envres.2024.118115</w:t>
        </w:r>
      </w:hyperlink>
    </w:p>
    <w:bookmarkEnd w:id="98"/>
    <w:bookmarkStart w:id="100"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99">
        <w:r>
          <w:rPr>
            <w:rStyle w:val="Hyperlink"/>
          </w:rPr>
          <w:t xml:space="preserve">https://doi.org/10.1007/BF01873258</w:t>
        </w:r>
      </w:hyperlink>
    </w:p>
    <w:bookmarkEnd w:id="100"/>
    <w:bookmarkStart w:id="102" w:name="ref-Srange2005Plant"/>
    <w:p>
      <w:pPr>
        <w:pStyle w:val="Bibliography"/>
      </w:pPr>
      <w:r>
        <w:t xml:space="preserve">Strange, R. N., &amp; Scott, P. R. (2005). Plant</w:t>
      </w:r>
      <w:r>
        <w:t xml:space="preserve"> </w:t>
      </w:r>
      <w:r>
        <w:t xml:space="preserve">Disease</w:t>
      </w:r>
      <w:r>
        <w:t xml:space="preserve">:</w:t>
      </w:r>
      <w:r>
        <w:t xml:space="preserve"> </w:t>
      </w:r>
      <w:r>
        <w:t xml:space="preserve">A Threat</w:t>
      </w:r>
      <w:r>
        <w:t xml:space="preserve"> </w:t>
      </w:r>
      <w:r>
        <w:t xml:space="preserve">to</w:t>
      </w:r>
      <w:r>
        <w:t xml:space="preserve"> </w:t>
      </w:r>
      <w:r>
        <w:t xml:space="preserve">Global Food Security</w:t>
      </w:r>
      <w:r>
        <w:t xml:space="preserve">.</w:t>
      </w:r>
      <w:r>
        <w:t xml:space="preserve"> </w:t>
      </w:r>
      <w:r>
        <w:rPr>
          <w:i/>
          <w:iCs/>
        </w:rPr>
        <w:t xml:space="preserve">Annual Review of Phytopathology</w:t>
      </w:r>
      <w:r>
        <w:t xml:space="preserve">,</w:t>
      </w:r>
      <w:r>
        <w:t xml:space="preserve"> </w:t>
      </w:r>
      <w:r>
        <w:rPr>
          <w:i/>
          <w:iCs/>
        </w:rPr>
        <w:t xml:space="preserve">43</w:t>
      </w:r>
      <w:r>
        <w:t xml:space="preserve">(Volume 43, 2005), 83–116.</w:t>
      </w:r>
      <w:r>
        <w:t xml:space="preserve"> </w:t>
      </w:r>
      <w:hyperlink r:id="rId101">
        <w:r>
          <w:rPr>
            <w:rStyle w:val="Hyperlink"/>
          </w:rPr>
          <w:t xml:space="preserve">https://doi.org/10.1146/annurev.phyto.43.113004.133839</w:t>
        </w:r>
      </w:hyperlink>
    </w:p>
    <w:bookmarkEnd w:id="102"/>
    <w:bookmarkStart w:id="103" w:name="ref-KMGBF"/>
    <w:p>
      <w:pPr>
        <w:pStyle w:val="Bibliography"/>
      </w:pPr>
      <w:r>
        <w:t xml:space="preserve">UNEP. (2022a).</w:t>
      </w:r>
      <w:r>
        <w:t xml:space="preserve"> </w:t>
      </w:r>
      <w:r>
        <w:rPr>
          <w:i/>
          <w:iCs/>
        </w:rPr>
        <w:t xml:space="preserve">Kunming-</w:t>
      </w:r>
      <w:r>
        <w:rPr>
          <w:i/>
          <w:iCs/>
        </w:rPr>
        <w:t xml:space="preserve">Montreal Global Biodiversity Framework</w:t>
      </w:r>
      <w:r>
        <w:t xml:space="preserve">. United Nations Environment Programme. Decision no. CBD/COP/DEC/15/4.</w:t>
      </w:r>
    </w:p>
    <w:bookmarkEnd w:id="103"/>
    <w:bookmarkStart w:id="104" w:name="ref-Mechanisms"/>
    <w:p>
      <w:pPr>
        <w:pStyle w:val="Bibliography"/>
      </w:pPr>
      <w:r>
        <w:t xml:space="preserve">UNEP. (2022b).</w:t>
      </w:r>
      <w:r>
        <w:t xml:space="preserve"> </w:t>
      </w:r>
      <w:r>
        <w:rPr>
          <w:i/>
          <w:iCs/>
        </w:rPr>
        <w:t xml:space="preserve">Mechanisms for planning, monitoring, reporting and review</w:t>
      </w:r>
      <w:r>
        <w:t xml:space="preserve">. United Nations Environment Programme. Decision no. CBD/COP/DEC/15/6.</w:t>
      </w:r>
    </w:p>
    <w:bookmarkEnd w:id="104"/>
    <w:bookmarkStart w:id="105" w:name="ref-Global"/>
    <w:p>
      <w:pPr>
        <w:pStyle w:val="Bibliography"/>
      </w:pPr>
      <w:r>
        <w:t xml:space="preserve">UNEP. (2024).</w:t>
      </w:r>
      <w:r>
        <w:t xml:space="preserve"> </w:t>
      </w:r>
      <w:r>
        <w:rPr>
          <w:i/>
          <w:iCs/>
        </w:rPr>
        <w:t xml:space="preserve">Global</w:t>
      </w:r>
      <w:r>
        <w:rPr>
          <w:i/>
          <w:iCs/>
        </w:rPr>
        <w:t xml:space="preserve"> </w:t>
      </w:r>
      <w:r>
        <w:rPr>
          <w:i/>
          <w:iCs/>
        </w:rPr>
        <w:t xml:space="preserve">Action Plan</w:t>
      </w:r>
      <w:r>
        <w:rPr>
          <w:i/>
          <w:iCs/>
        </w:rPr>
        <w:t xml:space="preserve"> </w:t>
      </w:r>
      <w:r>
        <w:rPr>
          <w:i/>
          <w:iCs/>
        </w:rPr>
        <w:t xml:space="preserve">on</w:t>
      </w:r>
      <w:r>
        <w:rPr>
          <w:i/>
          <w:iCs/>
        </w:rPr>
        <w:t xml:space="preserve"> </w:t>
      </w:r>
      <w:r>
        <w:rPr>
          <w:i/>
          <w:iCs/>
        </w:rPr>
        <w:t xml:space="preserve">Biodiversity</w:t>
      </w:r>
      <w:r>
        <w:rPr>
          <w:i/>
          <w:iCs/>
        </w:rPr>
        <w:t xml:space="preserve"> </w:t>
      </w:r>
      <w:r>
        <w:rPr>
          <w:i/>
          <w:iCs/>
        </w:rPr>
        <w:t xml:space="preserve">and</w:t>
      </w:r>
      <w:r>
        <w:rPr>
          <w:i/>
          <w:iCs/>
        </w:rPr>
        <w:t xml:space="preserve"> </w:t>
      </w:r>
      <w:r>
        <w:rPr>
          <w:i/>
          <w:iCs/>
        </w:rPr>
        <w:t xml:space="preserve">Health</w:t>
      </w:r>
      <w:r>
        <w:t xml:space="preserve">. United Nations Environment Programme. Decision no. CBD/COP/DEC/16/19.</w:t>
      </w:r>
    </w:p>
    <w:bookmarkEnd w:id="105"/>
    <w:bookmarkStart w:id="106" w:name="ref-Monitoring"/>
    <w:p>
      <w:pPr>
        <w:pStyle w:val="Bibliography"/>
      </w:pPr>
      <w:r>
        <w:t xml:space="preserve">UNEP.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106"/>
    <w:bookmarkStart w:id="107"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107"/>
    <w:bookmarkStart w:id="109"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108">
        <w:r>
          <w:rPr>
            <w:rStyle w:val="Hyperlink"/>
          </w:rPr>
          <w:t xml:space="preserve">https://doi.org/10.1111/nyas.13983</w:t>
        </w:r>
      </w:hyperlink>
    </w:p>
    <w:bookmarkEnd w:id="109"/>
    <w:bookmarkStart w:id="110"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110"/>
    <w:bookmarkStart w:id="111" w:name="ref-Who"/>
    <w:p>
      <w:pPr>
        <w:pStyle w:val="Bibliography"/>
      </w:pPr>
      <w:r>
        <w:t xml:space="preserve">WHO. (2025).</w:t>
      </w:r>
      <w:r>
        <w:t xml:space="preserve"> </w:t>
      </w:r>
      <w:r>
        <w:rPr>
          <w:i/>
          <w:iCs/>
        </w:rPr>
        <w:t xml:space="preserve">WHO Pandemic Agreement</w:t>
      </w:r>
      <w:r>
        <w:t xml:space="preserve">. Seventy-eighth World Health Assembly. WHA78.1.</w:t>
      </w:r>
    </w:p>
    <w:bookmarkEnd w:id="111"/>
    <w:bookmarkStart w:id="113" w:name="ref-Winkler2025Lancet"/>
    <w:p>
      <w:pPr>
        <w:pStyle w:val="Bibliography"/>
      </w:pPr>
      <w:r>
        <w:t xml:space="preserve">Winkler, A. S., Brux, C. M., Carabin, H., Neves, C. G. das, Häsler, B., Zinsstag, J., Fèvre, E. M., Okello, A., Laing, G., Harrison, W. E., Pöntinen, A. K., Huber, A., Ruckert, A., Natterson-Horowitz, B., Abela, B., Aenishaenslin, C., Heymann, D. L., Rødland, E. K., Berthe, F. C. J., … Amuasi, J. H. (2025). The</w:t>
      </w:r>
      <w:r>
        <w:t xml:space="preserve"> </w:t>
      </w:r>
      <w:r>
        <w:t xml:space="preserve">Lancet One Health Commission</w:t>
      </w:r>
      <w:r>
        <w:t xml:space="preserve">: Harnessing our interconnectedness for equitable, sustainable, and healthy socioecological systems.</w:t>
      </w:r>
      <w:r>
        <w:t xml:space="preserve"> </w:t>
      </w:r>
      <w:r>
        <w:rPr>
          <w:i/>
          <w:iCs/>
        </w:rPr>
        <w:t xml:space="preserve">The Lancet</w:t>
      </w:r>
      <w:r>
        <w:t xml:space="preserve">,</w:t>
      </w:r>
      <w:r>
        <w:t xml:space="preserve"> </w:t>
      </w:r>
      <w:r>
        <w:rPr>
          <w:i/>
          <w:iCs/>
        </w:rPr>
        <w:t xml:space="preserve">406</w:t>
      </w:r>
      <w:r>
        <w:t xml:space="preserve">(10502), 501–570.</w:t>
      </w:r>
      <w:r>
        <w:t xml:space="preserve"> </w:t>
      </w:r>
      <w:hyperlink r:id="rId112">
        <w:r>
          <w:rPr>
            <w:rStyle w:val="Hyperlink"/>
          </w:rPr>
          <w:t xml:space="preserve">https://doi.org/10.1016/S0140-6736(25)00627-0</w:t>
        </w:r>
      </w:hyperlink>
    </w:p>
    <w:bookmarkEnd w:id="113"/>
    <w:bookmarkStart w:id="115" w:name="ref-Zhang2022Global"/>
    <w:p>
      <w:pPr>
        <w:pStyle w:val="Bibliography"/>
      </w:pPr>
      <w:r>
        <w:t xml:space="preserve">Zhang, X.-X., Liu, J.-S., Han, L.-F., Xia, S., Li, S.-Z., Li, O. Y., Kassegne, K., Li, M., Yin, K., Hu, Q.-Q., Xiu, L.-S., Zhu, Y.-Z., Huang, L.-Y., Wang, X.-C., Zhang, Y., Zhao, H.-Q., Yin, J.-X., Jiang, T.-G., Li, Q., … Zhou, X.-N. (2022). Towards a global</w:t>
      </w:r>
      <w:r>
        <w:t xml:space="preserve"> </w:t>
      </w:r>
      <w:r>
        <w:t xml:space="preserve">One Health</w:t>
      </w:r>
      <w:r>
        <w:t xml:space="preserve"> </w:t>
      </w:r>
      <w:r>
        <w:t xml:space="preserve">index: A potential assessment tool for</w:t>
      </w:r>
      <w:r>
        <w:t xml:space="preserve"> </w:t>
      </w:r>
      <w:r>
        <w:t xml:space="preserve">One Health</w:t>
      </w:r>
      <w:r>
        <w:t xml:space="preserve"> </w:t>
      </w:r>
      <w:r>
        <w:t xml:space="preserve">performance.</w:t>
      </w:r>
      <w:r>
        <w:t xml:space="preserve"> </w:t>
      </w:r>
      <w:r>
        <w:rPr>
          <w:i/>
          <w:iCs/>
        </w:rPr>
        <w:t xml:space="preserve">Infectious Diseases of Poverty</w:t>
      </w:r>
      <w:r>
        <w:t xml:space="preserve">,</w:t>
      </w:r>
      <w:r>
        <w:t xml:space="preserve"> </w:t>
      </w:r>
      <w:r>
        <w:rPr>
          <w:i/>
          <w:iCs/>
        </w:rPr>
        <w:t xml:space="preserve">11</w:t>
      </w:r>
      <w:r>
        <w:t xml:space="preserve">(1), 57.</w:t>
      </w:r>
      <w:r>
        <w:t xml:space="preserve"> </w:t>
      </w:r>
      <w:hyperlink r:id="rId114">
        <w:r>
          <w:rPr>
            <w:rStyle w:val="Hyperlink"/>
          </w:rPr>
          <w:t xml:space="preserve">https://doi.org/10.1186/s40249-022-00979-9</w:t>
        </w:r>
      </w:hyperlink>
    </w:p>
    <w:bookmarkEnd w:id="115"/>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hyperlink" Id="rId83" Target="https://doi.org/10.1007/978-3-319-27455-3_13" TargetMode="External" /><Relationship Type="http://schemas.openxmlformats.org/officeDocument/2006/relationships/hyperlink" Id="rId99" Target="https://doi.org/10.1007/BF01873258" TargetMode="External" /><Relationship Type="http://schemas.openxmlformats.org/officeDocument/2006/relationships/hyperlink" Id="rId68" Target="https://doi.org/10.1007/s00038-013-0482-1" TargetMode="External" /><Relationship Type="http://schemas.openxmlformats.org/officeDocument/2006/relationships/hyperlink" Id="rId85" Target="https://doi.org/10.1007/s00709-020-01579-w" TargetMode="External" /><Relationship Type="http://schemas.openxmlformats.org/officeDocument/2006/relationships/hyperlink" Id="rId112"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7" Target="https://doi.org/10.1016/j.envres.2024.118115" TargetMode="External" /><Relationship Type="http://schemas.openxmlformats.org/officeDocument/2006/relationships/hyperlink" Id="rId51" Target="https://doi.org/10.1016/j.onehlt.2022.100373" TargetMode="External" /><Relationship Type="http://schemas.openxmlformats.org/officeDocument/2006/relationships/hyperlink" Id="rId75" Target="https://doi.org/10.1016/j.scitotenv.2016.09.009" TargetMode="External" /><Relationship Type="http://schemas.openxmlformats.org/officeDocument/2006/relationships/hyperlink" Id="rId49" Target="https://doi.org/10.1023/A:1009930313242" TargetMode="External" /><Relationship Type="http://schemas.openxmlformats.org/officeDocument/2006/relationships/hyperlink" Id="rId73" Target="https://doi.org/10.1038/nature06536" TargetMode="External" /><Relationship Type="http://schemas.openxmlformats.org/officeDocument/2006/relationships/hyperlink" Id="rId58" Target="https://doi.org/10.1038/nrg1729" TargetMode="External" /><Relationship Type="http://schemas.openxmlformats.org/officeDocument/2006/relationships/hyperlink" Id="rId41" Target="https://doi.org/10.1038/s41467-022-30339-y" TargetMode="External" /><Relationship Type="http://schemas.openxmlformats.org/officeDocument/2006/relationships/hyperlink" Id="rId35" Target="https://doi.org/10.1038/s41559-025-02718-3" TargetMode="External" /><Relationship Type="http://schemas.openxmlformats.org/officeDocument/2006/relationships/hyperlink" Id="rId43" Target="https://doi.org/10.1038/s44358-024-00005-w" TargetMode="External" /><Relationship Type="http://schemas.openxmlformats.org/officeDocument/2006/relationships/hyperlink" Id="rId91" Target="https://doi.org/10.1093/biosci/biaf091" TargetMode="External" /><Relationship Type="http://schemas.openxmlformats.org/officeDocument/2006/relationships/hyperlink" Id="rId45" Target="https://doi.org/10.1111/cobi.14192" TargetMode="External" /><Relationship Type="http://schemas.openxmlformats.org/officeDocument/2006/relationships/hyperlink" Id="rId56" Target="https://doi.org/10.1111/j.1365-3059.2011.02501.x" TargetMode="External" /><Relationship Type="http://schemas.openxmlformats.org/officeDocument/2006/relationships/hyperlink" Id="rId71" Target="https://doi.org/10.1111/j.1523-1739.2010.01605.x" TargetMode="External" /><Relationship Type="http://schemas.openxmlformats.org/officeDocument/2006/relationships/hyperlink" Id="rId108" Target="https://doi.org/10.1111/nyas.13983" TargetMode="External" /><Relationship Type="http://schemas.openxmlformats.org/officeDocument/2006/relationships/hyperlink" Id="rId54" Target="https://doi.org/10.1126/science.aap8826" TargetMode="External" /><Relationship Type="http://schemas.openxmlformats.org/officeDocument/2006/relationships/hyperlink" Id="rId62" Target="https://doi.org/10.1136/vr.g143" TargetMode="External" /><Relationship Type="http://schemas.openxmlformats.org/officeDocument/2006/relationships/hyperlink" Id="rId65" Target="https://doi.org/10.1139/facets-2024-0357" TargetMode="External" /><Relationship Type="http://schemas.openxmlformats.org/officeDocument/2006/relationships/hyperlink" Id="rId94" Target="https://doi.org/10.1146/annurev-publhealth-031912-114426" TargetMode="External" /><Relationship Type="http://schemas.openxmlformats.org/officeDocument/2006/relationships/hyperlink" Id="rId101" Target="https://doi.org/10.1146/annurev.phyto.43.113004.133839" TargetMode="External" /><Relationship Type="http://schemas.openxmlformats.org/officeDocument/2006/relationships/hyperlink" Id="rId114" Target="https://doi.org/10.1186/s40249-022-00979-9" TargetMode="External" /><Relationship Type="http://schemas.openxmlformats.org/officeDocument/2006/relationships/hyperlink" Id="rId87" Target="https://doi.org/10.1371/journal.pone.0041128" TargetMode="External" /><Relationship Type="http://schemas.openxmlformats.org/officeDocument/2006/relationships/hyperlink" Id="rId89" Target="https://doi.org/10.1371/journal.ppat.1010537" TargetMode="External" /><Relationship Type="http://schemas.openxmlformats.org/officeDocument/2006/relationships/hyperlink" Id="rId60" Target="https://doi.org/10.3389/fsufs.2020.00001" TargetMode="External" /><Relationship Type="http://schemas.openxmlformats.org/officeDocument/2006/relationships/hyperlink" Id="rId81" Target="https://doi.org/10.3389/fvets.2017.00163" TargetMode="External" /><Relationship Type="http://schemas.openxmlformats.org/officeDocument/2006/relationships/hyperlink" Id="rId47" Target="https://doi.org/10.3389/ijph.2026.1609612" TargetMode="External" /><Relationship Type="http://schemas.openxmlformats.org/officeDocument/2006/relationships/hyperlink" Id="rId79" Target="https://doi.org/10.3402/iee.v5.25300" TargetMode="External" /><Relationship Type="http://schemas.openxmlformats.org/officeDocument/2006/relationships/hyperlink" Id="rId37" Target="https://doi.org/10.4103/ijnpnd.ijnpnd_24_17"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7/978-3-319-27455-3_13" TargetMode="External" /><Relationship Type="http://schemas.openxmlformats.org/officeDocument/2006/relationships/hyperlink" Id="rId99" Target="https://doi.org/10.1007/BF01873258" TargetMode="External" /><Relationship Type="http://schemas.openxmlformats.org/officeDocument/2006/relationships/hyperlink" Id="rId68" Target="https://doi.org/10.1007/s00038-013-0482-1" TargetMode="External" /><Relationship Type="http://schemas.openxmlformats.org/officeDocument/2006/relationships/hyperlink" Id="rId85" Target="https://doi.org/10.1007/s00709-020-01579-w" TargetMode="External" /><Relationship Type="http://schemas.openxmlformats.org/officeDocument/2006/relationships/hyperlink" Id="rId112" Target="https://doi.org/10.1016/S0140-6736(25)00627-0" TargetMode="External" /><Relationship Type="http://schemas.openxmlformats.org/officeDocument/2006/relationships/hyperlink" Id="rId39" Target="https://doi.org/10.1016/S0140-6736(25)01453-9" TargetMode="External" /><Relationship Type="http://schemas.openxmlformats.org/officeDocument/2006/relationships/hyperlink" Id="rId97" Target="https://doi.org/10.1016/j.envres.2024.118115" TargetMode="External" /><Relationship Type="http://schemas.openxmlformats.org/officeDocument/2006/relationships/hyperlink" Id="rId51" Target="https://doi.org/10.1016/j.onehlt.2022.100373" TargetMode="External" /><Relationship Type="http://schemas.openxmlformats.org/officeDocument/2006/relationships/hyperlink" Id="rId75" Target="https://doi.org/10.1016/j.scitotenv.2016.09.009" TargetMode="External" /><Relationship Type="http://schemas.openxmlformats.org/officeDocument/2006/relationships/hyperlink" Id="rId49" Target="https://doi.org/10.1023/A:1009930313242" TargetMode="External" /><Relationship Type="http://schemas.openxmlformats.org/officeDocument/2006/relationships/hyperlink" Id="rId73" Target="https://doi.org/10.1038/nature06536" TargetMode="External" /><Relationship Type="http://schemas.openxmlformats.org/officeDocument/2006/relationships/hyperlink" Id="rId58" Target="https://doi.org/10.1038/nrg1729" TargetMode="External" /><Relationship Type="http://schemas.openxmlformats.org/officeDocument/2006/relationships/hyperlink" Id="rId41" Target="https://doi.org/10.1038/s41467-022-30339-y" TargetMode="External" /><Relationship Type="http://schemas.openxmlformats.org/officeDocument/2006/relationships/hyperlink" Id="rId35" Target="https://doi.org/10.1038/s41559-025-02718-3" TargetMode="External" /><Relationship Type="http://schemas.openxmlformats.org/officeDocument/2006/relationships/hyperlink" Id="rId43" Target="https://doi.org/10.1038/s44358-024-00005-w" TargetMode="External" /><Relationship Type="http://schemas.openxmlformats.org/officeDocument/2006/relationships/hyperlink" Id="rId91" Target="https://doi.org/10.1093/biosci/biaf091" TargetMode="External" /><Relationship Type="http://schemas.openxmlformats.org/officeDocument/2006/relationships/hyperlink" Id="rId45" Target="https://doi.org/10.1111/cobi.14192" TargetMode="External" /><Relationship Type="http://schemas.openxmlformats.org/officeDocument/2006/relationships/hyperlink" Id="rId56" Target="https://doi.org/10.1111/j.1365-3059.2011.02501.x" TargetMode="External" /><Relationship Type="http://schemas.openxmlformats.org/officeDocument/2006/relationships/hyperlink" Id="rId71" Target="https://doi.org/10.1111/j.1523-1739.2010.01605.x" TargetMode="External" /><Relationship Type="http://schemas.openxmlformats.org/officeDocument/2006/relationships/hyperlink" Id="rId108" Target="https://doi.org/10.1111/nyas.13983" TargetMode="External" /><Relationship Type="http://schemas.openxmlformats.org/officeDocument/2006/relationships/hyperlink" Id="rId54" Target="https://doi.org/10.1126/science.aap8826" TargetMode="External" /><Relationship Type="http://schemas.openxmlformats.org/officeDocument/2006/relationships/hyperlink" Id="rId62" Target="https://doi.org/10.1136/vr.g143" TargetMode="External" /><Relationship Type="http://schemas.openxmlformats.org/officeDocument/2006/relationships/hyperlink" Id="rId65" Target="https://doi.org/10.1139/facets-2024-0357" TargetMode="External" /><Relationship Type="http://schemas.openxmlformats.org/officeDocument/2006/relationships/hyperlink" Id="rId94" Target="https://doi.org/10.1146/annurev-publhealth-031912-114426" TargetMode="External" /><Relationship Type="http://schemas.openxmlformats.org/officeDocument/2006/relationships/hyperlink" Id="rId101" Target="https://doi.org/10.1146/annurev.phyto.43.113004.133839" TargetMode="External" /><Relationship Type="http://schemas.openxmlformats.org/officeDocument/2006/relationships/hyperlink" Id="rId114" Target="https://doi.org/10.1186/s40249-022-00979-9" TargetMode="External" /><Relationship Type="http://schemas.openxmlformats.org/officeDocument/2006/relationships/hyperlink" Id="rId87" Target="https://doi.org/10.1371/journal.pone.0041128" TargetMode="External" /><Relationship Type="http://schemas.openxmlformats.org/officeDocument/2006/relationships/hyperlink" Id="rId89" Target="https://doi.org/10.1371/journal.ppat.1010537" TargetMode="External" /><Relationship Type="http://schemas.openxmlformats.org/officeDocument/2006/relationships/hyperlink" Id="rId60" Target="https://doi.org/10.3389/fsufs.2020.00001" TargetMode="External" /><Relationship Type="http://schemas.openxmlformats.org/officeDocument/2006/relationships/hyperlink" Id="rId81" Target="https://doi.org/10.3389/fvets.2017.00163" TargetMode="External" /><Relationship Type="http://schemas.openxmlformats.org/officeDocument/2006/relationships/hyperlink" Id="rId47" Target="https://doi.org/10.3389/ijph.2026.1609612" TargetMode="External" /><Relationship Type="http://schemas.openxmlformats.org/officeDocument/2006/relationships/hyperlink" Id="rId79" Target="https://doi.org/10.3402/iee.v5.25300" TargetMode="External" /><Relationship Type="http://schemas.openxmlformats.org/officeDocument/2006/relationships/hyperlink" Id="rId37" Target="https://doi.org/10.4103/ijnpnd.ijnpnd_24_1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Global Biodiversity Framework supports global assessment of One Health actions</dc:title>
  <dc:creator>Francis Banville; Claire Burnel; Colin Carlson; Elodie Eiffener; Gabriel Munoz Acevedo; Andrea Paz; Timothée Poisot</dc:creator>
  <dc:language>en-CA</dc:language>
  <cp:keywords>biodiversity indicators, One Health Joint Plan of Action, Quadripartite organizations, human health, animal health, plant health, environmental health</cp:keywords>
  <dcterms:created xsi:type="dcterms:W3CDTF">2026-06-01T20:07:19Z</dcterms:created>
  <dcterms:modified xsi:type="dcterms:W3CDTF">2026-06-01T20:07:19Z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Recently developed by the Quadripartite organizations, the One Health Joint Plan of Action (2022-2026) supports countries in adopting the One Health approach through six action tracks. The tracks address multiple aspects of biodiversity, containing guiding actions on: One Health capacity-building (track 1), zoonotic diseases (tracks 2 and 3), food and agriculture (track 4), antimicrobial resistance (track 5), and environmental health (track 6). However, there are currently no indicators for monitoring the implementation, state and progress of these tracks. Our research examines the extent to which they can be assessed by the existing monitoring framework of the Kunming-Montreal Global Biodiversity Framework (KM-GBF) of the Convention on Biological Diversity (CBD). We evaluated (1) the link between each indicator of the KM-GBF monitoring framework and human, animal, plant, and environmental health, respectively, and (2) the usability of these indicators for monitoring the action tracks. We found that 75% of the KM-GBF indicators are associated with either human (56%), animal (53%), plant (51%), or environmental (63%) health, and that 91% of them can be used for monitoring at least one action track. Reusing existing indicators alleviates the costs associated with the development and measurement of new indicators, thus improving the efficiency of monitoring systems. Our work supports the idea that multilateral progress on the monitoring of biodiversity, through its indissociability from all facets of health, provides a way to retrospectively and prospectively measure progress on ambitious One Health actions.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2026-06-01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