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7"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25" name="Picture"/>
            <a:graphic>
              <a:graphicData uri="http://schemas.openxmlformats.org/drawingml/2006/picture">
                <pic:pic>
                  <pic:nvPicPr>
                    <pic:cNvPr descr="figures/link_health.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7"/>
    <w:bookmarkStart w:id="37"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all.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1"/>
        </w:numPr>
      </w:pPr>
      <w:r>
        <w:t xml:space="preserve">Table 1:</w:t>
      </w:r>
    </w:p>
    <w:p>
      <w:pPr>
        <w:pStyle w:val="Compact"/>
        <w:numPr>
          <w:ilvl w:val="1"/>
          <w:numId w:val="1032"/>
        </w:numPr>
      </w:pPr>
      <w:r>
        <w:t xml:space="preserve">Lines: All actions in the OH JPA</w:t>
      </w:r>
    </w:p>
    <w:p>
      <w:pPr>
        <w:pStyle w:val="Compact"/>
        <w:numPr>
          <w:ilvl w:val="1"/>
          <w:numId w:val="1032"/>
        </w:numPr>
      </w:pPr>
      <w:r>
        <w:t xml:space="preserve">Columns: Directly usable, usable after adaptation, not usable</w:t>
      </w:r>
    </w:p>
    <w:p>
      <w:pPr>
        <w:pStyle w:val="Compact"/>
        <w:numPr>
          <w:ilvl w:val="0"/>
          <w:numId w:val="1031"/>
        </w:numPr>
      </w:pPr>
      <w:r>
        <w:t xml:space="preserve">Many usable indicators are headline and binary indicators</w:t>
      </w:r>
    </w:p>
    <w:p>
      <w:pPr>
        <w:pStyle w:val="Compact"/>
        <w:numPr>
          <w:ilvl w:val="1"/>
          <w:numId w:val="1033"/>
        </w:numPr>
      </w:pPr>
      <w:r>
        <w:t xml:space="preserve">How many?</w:t>
      </w:r>
    </w:p>
    <w:p>
      <w:pPr>
        <w:pStyle w:val="Compact"/>
        <w:numPr>
          <w:ilvl w:val="1"/>
          <w:numId w:val="1033"/>
        </w:numPr>
      </w:pPr>
      <w:r>
        <w:t xml:space="preserve">Presentation of important gaps</w:t>
      </w:r>
    </w:p>
    <w:p>
      <w:pPr>
        <w:pStyle w:val="Compact"/>
        <w:numPr>
          <w:ilvl w:val="1"/>
          <w:numId w:val="1033"/>
        </w:numPr>
      </w:pPr>
      <w:r>
        <w:t xml:space="preserve">Description of Figure 3</w:t>
      </w:r>
    </w:p>
    <w:p>
      <w:pPr>
        <w:pStyle w:val="Compact"/>
        <w:numPr>
          <w:ilvl w:val="1"/>
          <w:numId w:val="1033"/>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32" name="Picture"/>
            <a:graphic>
              <a:graphicData uri="http://schemas.openxmlformats.org/drawingml/2006/picture">
                <pic:pic>
                  <pic:nvPicPr>
                    <pic:cNvPr descr="figures/usability_categories.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4"/>
        </w:numPr>
      </w:pPr>
      <w:r>
        <w:t xml:space="preserve">Usable indicators are in all categories of the Action Plan</w:t>
      </w:r>
    </w:p>
    <w:p>
      <w:pPr>
        <w:pStyle w:val="Compact"/>
        <w:numPr>
          <w:ilvl w:val="1"/>
          <w:numId w:val="1035"/>
        </w:numPr>
      </w:pPr>
      <w:r>
        <w:t xml:space="preserve">The KM-GBF addresses many dimensions of health</w:t>
      </w:r>
    </w:p>
    <w:p>
      <w:pPr>
        <w:pStyle w:val="Compact"/>
        <w:numPr>
          <w:ilvl w:val="1"/>
          <w:numId w:val="1035"/>
        </w:numPr>
      </w:pPr>
      <w:r>
        <w:t xml:space="preserve">Presentation of important gaps</w:t>
      </w:r>
    </w:p>
    <w:p>
      <w:pPr>
        <w:pStyle w:val="Compact"/>
        <w:numPr>
          <w:ilvl w:val="1"/>
          <w:numId w:val="1035"/>
        </w:numPr>
      </w:pPr>
      <w:r>
        <w:t xml:space="preserve">Description of important categories and their connection with health</w:t>
      </w:r>
    </w:p>
    <w:p>
      <w:pPr>
        <w:pStyle w:val="CaptionedFigure"/>
      </w:pPr>
      <w:r>
        <w:drawing>
          <wp:inline>
            <wp:extent cx="5334000" cy="4000500"/>
            <wp:effectExtent b="0" l="0" r="0" t="0"/>
            <wp:docPr descr="Figure caption." title="" id="35" name="Picture"/>
            <a:graphic>
              <a:graphicData uri="http://schemas.openxmlformats.org/drawingml/2006/picture">
                <pic:pic>
                  <pic:nvPicPr>
                    <pic:cNvPr descr="figures/usability_GAP.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37"/>
    <w:bookmarkStart w:id="38" w:name="conclusion"/>
    <w:p>
      <w:pPr>
        <w:pStyle w:val="Heading1"/>
      </w:pPr>
      <w:r>
        <w:t xml:space="preserve">Conclusion</w:t>
      </w:r>
    </w:p>
    <w:p>
      <w:pPr>
        <w:pStyle w:val="Compact"/>
        <w:numPr>
          <w:ilvl w:val="0"/>
          <w:numId w:val="1036"/>
        </w:numPr>
      </w:pPr>
      <w:r>
        <w:t xml:space="preserve">Monitoring Frameworks</w:t>
      </w:r>
    </w:p>
    <w:p>
      <w:pPr>
        <w:pStyle w:val="Compact"/>
        <w:numPr>
          <w:ilvl w:val="1"/>
          <w:numId w:val="1037"/>
        </w:numPr>
      </w:pPr>
      <w:r>
        <w:t xml:space="preserve">The monitoring framework of the OH JPA can be based on indicators of the KM-GBF</w:t>
      </w:r>
    </w:p>
    <w:p>
      <w:pPr>
        <w:pStyle w:val="Compact"/>
        <w:numPr>
          <w:ilvl w:val="1"/>
          <w:numId w:val="1037"/>
        </w:numPr>
      </w:pPr>
      <w:r>
        <w:t xml:space="preserve">Importance of reusing indicators to decrease workload on countries</w:t>
      </w:r>
    </w:p>
    <w:p>
      <w:pPr>
        <w:pStyle w:val="Compact"/>
        <w:numPr>
          <w:ilvl w:val="1"/>
          <w:numId w:val="1037"/>
        </w:numPr>
      </w:pPr>
      <w:r>
        <w:t xml:space="preserve">Importance of sharing data, methodologies, and expertise</w:t>
      </w:r>
    </w:p>
    <w:p>
      <w:pPr>
        <w:pStyle w:val="Compact"/>
        <w:numPr>
          <w:ilvl w:val="1"/>
          <w:numId w:val="1037"/>
        </w:numPr>
      </w:pPr>
      <w:r>
        <w:t xml:space="preserve">Sharing policy and governance practices</w:t>
      </w:r>
    </w:p>
    <w:p>
      <w:pPr>
        <w:pStyle w:val="Compact"/>
        <w:numPr>
          <w:ilvl w:val="0"/>
          <w:numId w:val="1036"/>
        </w:numPr>
      </w:pPr>
      <w:r>
        <w:t xml:space="preserve">Gaps in indicators</w:t>
      </w:r>
    </w:p>
    <w:p>
      <w:pPr>
        <w:pStyle w:val="Compact"/>
        <w:numPr>
          <w:ilvl w:val="1"/>
          <w:numId w:val="1038"/>
        </w:numPr>
      </w:pPr>
      <w:r>
        <w:t xml:space="preserve">Indicators</w:t>
      </w:r>
    </w:p>
    <w:p>
      <w:pPr>
        <w:pStyle w:val="Compact"/>
        <w:numPr>
          <w:ilvl w:val="0"/>
          <w:numId w:val="1036"/>
        </w:numPr>
      </w:pPr>
      <w:r>
        <w:t xml:space="preserve">Other indicators could be identified in other monitoring frameworks (e.g. SDG)</w:t>
      </w:r>
    </w:p>
    <w:p>
      <w:pPr>
        <w:pStyle w:val="Compact"/>
        <w:numPr>
          <w:ilvl w:val="1"/>
          <w:numId w:val="1039"/>
        </w:numPr>
      </w:pPr>
      <w:r>
        <w:t xml:space="preserve">New indicators can be developed after identifying gaps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2025-12-19T20:17:15Z</dcterms:created>
  <dcterms:modified xsi:type="dcterms:W3CDTF">2025-12-19T20:17:15Z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