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Monitoring biodiversity for human, animal, and environmental health</w:t>
      </w:r>
    </w:p>
    <w:p>
      <w:pPr>
        <w:pStyle w:val="Author"/>
      </w:pPr>
      <w:r>
        <w:t xml:space="preserve">Francis Banville</w:t>
      </w:r>
    </w:p>
    <w:p>
      <w:pPr>
        <w:pStyle w:val="Author"/>
      </w:pPr>
      <w:r>
        <w:t xml:space="preserve">Colin Carlson</w:t>
      </w:r>
    </w:p>
    <w:p>
      <w:pPr>
        <w:pStyle w:val="Author"/>
      </w:pPr>
      <w:r>
        <w:t xml:space="preserve">Andrea Paz Velez</w:t>
      </w:r>
    </w:p>
    <w:p>
      <w:pPr>
        <w:pStyle w:val="Author"/>
      </w:pPr>
      <w:r>
        <w:t xml:space="preserve">Timothée Poisot</w:t>
      </w:r>
    </w:p>
    <w:p>
      <w:pPr>
        <w:pStyle w:val="Date"/>
      </w:pPr>
      <w:r>
        <w:t xml:space="preserve">2025-07-23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..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Test10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Test11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biodiversity for human, animal, and environmental health</dc:title>
  <dc:creator>Francis Banville; Colin Carlson; Andrea Paz Velez; Timothée Poisot</dc:creator>
  <cp:keywords>biodiversity indicators, One Health</cp:keywords>
  <dcterms:created xsi:type="dcterms:W3CDTF">2025-07-23T13:58:50Z</dcterms:created>
  <dcterms:modified xsi:type="dcterms:W3CDTF">2025-07-23T13:58:50Z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..</vt:lpwstr>
  </property>
  <property fmtid="{D5CDD505-2E9C-101B-9397-08002B2CF9AE}" pid="3" name="affiliations">
    <vt:lpwstr/>
  </property>
  <property fmtid="{D5CDD505-2E9C-101B-9397-08002B2CF9AE}" pid="4" name="author-summary">
    <vt:lpwstr>..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review">
    <vt:lpwstr/>
  </property>
  <property fmtid="{D5CDD505-2E9C-101B-9397-08002B2CF9AE}" pid="21" name="published-title">
    <vt:lpwstr>Date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