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4.png" ContentType="image/png"/>
  <Override PartName="/word/media/rId1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2026-03-19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9"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9"/>
    <w:bookmarkStart w:id="12"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10"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10"/>
    <w:bookmarkStart w:id="11"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11"/>
    <w:bookmarkEnd w:id="12"/>
    <w:bookmarkStart w:id="16"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Number of KM-GBF indicators linked with human, animal, plant, and environmental health. Each indicator was classified as being either directly connected (blue), indirectly connected (green), potentially connected (orange), or not connected (red) to each of the Health dimensions."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Number of KM-GBF indicators linked with human, animal, plant, and environmental health.</w:t>
      </w:r>
      <w:r>
        <w:t xml:space="preserve"> </w:t>
      </w:r>
      <w:r>
        <w:t xml:space="preserve">Each indicator was classified as being either directly connected (blue), indirectly connected (green), potentially connected (orange), or not connected (red) to each of the Health dimensions.</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16"/>
    <w:bookmarkStart w:id="27"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Number of KM-GBF indicators that can be used to monitor at least one action in each of the OH JPA action tracks. 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 title="" id="18" name="Picture"/>
            <a:graphic>
              <a:graphicData uri="http://schemas.openxmlformats.org/drawingml/2006/picture">
                <pic:pic>
                  <pic:nvPicPr>
                    <pic:cNvPr descr="figures/usability_all.png" id="19" name="Picture"/>
                    <pic:cNvPicPr>
                      <a:picLocks noChangeArrowheads="1" noChangeAspect="1"/>
                    </pic:cNvPicPr>
                  </pic:nvPicPr>
                  <pic:blipFill>
                    <a:blip r:embed="rId1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Number of KM-GBF indicators that can be used to monitor at least one action in each of the OH JPA action tracks.</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tbl>
      <w:tblPr>
        <w:tblStyle w:val="Table"/>
        <w:tblW w:type="pct" w:w="5000"/>
        <w:tblLayout w:type="fixed"/>
        <w:tblLook w:firstRow="0" w:lastRow="0" w:firstColumn="0" w:lastColumn="0" w:noHBand="0" w:noVBand="0" w:val="0000"/>
      </w:tblPr>
      <w:tblGrid>
        <w:gridCol w:w="7920"/>
      </w:tblGrid>
      <w:tr>
        <w:tc>
          <w:tcPr/>
          <w:bookmarkStart w:id="20" w:name="tbl-letters"/>
          <w:p>
            <w:pPr>
              <w:jc w:val="center"/>
            </w:pPr>
            <w:pPr>
              <w:jc w:val="left"/>
              <w:spacing w:before="200"/>
              <w:pStyle w:val="ImageCaption"/>
            </w:pPr>
            <w:r>
              <w:t xml:space="preserve">Table 1:</w:t>
            </w:r>
            <w:r>
              <w:t xml:space="preserve"> </w:t>
            </w:r>
            <w:r>
              <w:rPr>
                <w:b/>
                <w:bCs/>
              </w:rPr>
              <w:t xml:space="preserve">Number of KM-GBF indicators that can be used directly and after adaptation to monitor each action of the OH JPA.</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w:t>
            </w:r>
          </w:p>
          <w:tbl>
            <w:tblPr>
              <w:tblStyle w:val="Table"/>
              <w:tblW w:type="pct" w:w="5000"/>
              <w:tblLayout w:type="fixed"/>
              <w:tblLook w:firstRow="1" w:lastRow="0" w:firstColumn="0" w:lastColumn="0" w:noHBand="0" w:noVBand="0" w:val="0020"/>
            </w:tblPr>
            <w:tblGrid>
              <w:gridCol w:w="5365"/>
              <w:gridCol w:w="766"/>
              <w:gridCol w:w="894"/>
              <w:gridCol w:w="894"/>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0"/>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Proportion of KM-GBF indicators that can be used to monitor at least one action in each of the OH JPA action tracks, partitioned by the different groups of indicators. 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 title="" id="22" name="Picture"/>
            <a:graphic>
              <a:graphicData uri="http://schemas.openxmlformats.org/drawingml/2006/picture">
                <pic:pic>
                  <pic:nvPicPr>
                    <pic:cNvPr descr="figures/usability_categories.png" id="23" name="Picture"/>
                    <pic:cNvPicPr>
                      <a:picLocks noChangeArrowheads="1" noChangeAspect="1"/>
                    </pic:cNvPicPr>
                  </pic:nvPicPr>
                  <pic:blipFill>
                    <a:blip r:embed="rId2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Proportion of KM-GBF indicators that can be used to monitor at least one action in each of the OH JPA action tracks,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267200"/>
            <wp:effectExtent b="0" l="0" r="0" t="0"/>
            <wp:docPr descr="Proportion of KM-GBF indicators that can be used to monitor at least one action in each of the OH JPA action tracks, partitioned by the different thematic categories of the Global Action Plan on Biodiversity and Health. The number of indicators whose target is in each thematic category is indicated in parentheses. The opaque bars represent directly usable indicators, whereas the transparent bars represent those usable after adaptation. The gray bars designate the indicators that can monitor at least one action in the whole plan. Indicators that monitor KM-GBF goals A, B, C, and D are not assigned to any thematic category." title="" id="25" name="Picture"/>
            <a:graphic>
              <a:graphicData uri="http://schemas.openxmlformats.org/drawingml/2006/picture">
                <pic:pic>
                  <pic:nvPicPr>
                    <pic:cNvPr descr="figures/usability_GAP.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rPr>
          <w:b/>
          <w:bCs/>
        </w:rPr>
        <w:t xml:space="preserve">Proportion of KM-GBF indicators that can be used to monitor at least one action in each of the OH JPA action tracks, partitioned by the different thematic categories of the Global Action Plan on Biodiversity and Health.</w:t>
      </w:r>
      <w:r>
        <w:t xml:space="preserve"> </w:t>
      </w:r>
      <w:r>
        <w:t xml:space="preserve">The number of indicators whose target is in each thematic category is indicated in parentheses. The opaque bars represent directly usable indicators, whereas the transparent bars represent those usable after adaptation. The gray bars designate the indicators that can monitor at least one action in the whole plan. Indicators that monitor KM-GBF goals A, B, C, and D are not assigned to any thematic category.</w:t>
      </w:r>
    </w:p>
    <w:bookmarkEnd w:id="27"/>
    <w:bookmarkStart w:id="31"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p>
      <w:pPr>
        <w:pStyle w:val="FirstParagraph"/>
      </w:pPr>
      <w:r>
        <w:t xml:space="preserve">Stephens et al. (2016)</w:t>
      </w:r>
    </w:p>
    <w:p>
      <w:pPr>
        <w:pStyle w:val="BodyText"/>
      </w:pPr>
      <w:r>
        <w:t xml:space="preserve">Blabla</w:t>
      </w:r>
      <w:r>
        <w:t xml:space="preserve"> </w:t>
      </w:r>
      <w:r>
        <w:t xml:space="preserve">(allo, Stephens et al., 2016)</w:t>
      </w:r>
    </w:p>
    <w:bookmarkStart w:id="30" w:name="refs"/>
    <w:bookmarkStart w:id="29" w:name="ref-Stephens2016Macroecology"/>
    <w:p>
      <w:pPr>
        <w:pStyle w:val="Bibliography"/>
      </w:pPr>
      <w:r>
        <w:t xml:space="preserve">Stephens, P. R., Altizer, S., Smith, K. F., Alonso Aguirre, A., Brown, J. H., Budischak, S. A., Byers, J. E., Dallas, T. A., Jonathan Davies, T., Drake, J. M., Ezenwa, V. O., Farrell, M. J., Gittleman, J. L., Han, B. A., Huang, S., Hutchinson, R. A., Johnson, P., Nunn, C. L., Onstad, D., … Poulin, R. (2016). The macroecology of infectious diseases: A new perspective on global-scale drivers of pathogen distributions and impacts.</w:t>
      </w:r>
      <w:r>
        <w:t xml:space="preserve"> </w:t>
      </w:r>
      <w:r>
        <w:rPr>
          <w:i/>
          <w:iCs/>
        </w:rPr>
        <w:t xml:space="preserve">Ecology Letters</w:t>
      </w:r>
      <w:r>
        <w:t xml:space="preserve">,</w:t>
      </w:r>
      <w:r>
        <w:t xml:space="preserve"> </w:t>
      </w:r>
      <w:r>
        <w:rPr>
          <w:i/>
          <w:iCs/>
        </w:rPr>
        <w:t xml:space="preserve">19</w:t>
      </w:r>
      <w:r>
        <w:t xml:space="preserve">(9), 1159–1171.</w:t>
      </w:r>
      <w:r>
        <w:t xml:space="preserve"> </w:t>
      </w:r>
      <w:hyperlink r:id="rId28">
        <w:r>
          <w:rPr>
            <w:rStyle w:val="Hyperlink"/>
          </w:rPr>
          <w:t xml:space="preserve">https://doi.org/10.1111/ele.12644</w:t>
        </w:r>
      </w:hyperlink>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hyperlink" Id="rId28" Target="https://doi.org/10.1111/ele.12644"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111/ele.126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2026-03-19T19:25:34Z</dcterms:created>
  <dcterms:modified xsi:type="dcterms:W3CDTF">2026-03-19T19:25:34Z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2026-03-19</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