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2026-04-01</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91% of indicators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FirstParagraph"/>
      </w:pPr>
      <w:r>
        <w:t xml:space="preserve">There are multiple pathways through which human health depends on biodiversity</w:t>
      </w:r>
      <w:r>
        <w:t xml:space="preserve"> </w:t>
      </w:r>
      <w:r>
        <w:t xml:space="preserve">(Robinson et al., 2024)</w:t>
      </w:r>
      <w:r>
        <w:t xml:space="preserve">. On one hand, nature’s contributions to people provide important ecosystem services, such as shelter and food, that are vital to human health</w:t>
      </w:r>
      <w:r>
        <w:t xml:space="preserve"> </w:t>
      </w:r>
      <w:r>
        <w:t xml:space="preserve">(</w:t>
      </w:r>
      <w:r>
        <w:t xml:space="preserve">Diaz et al.</w:t>
      </w:r>
      <w:r>
        <w:t xml:space="preserve">, 2018)</w:t>
      </w:r>
      <w:r>
        <w:t xml:space="preserve">. On the other hand, infectious diseases originating in wildlife can be a major threat to public health</w:t>
      </w:r>
      <w:r>
        <w:t xml:space="preserve"> </w:t>
      </w:r>
      <w:r>
        <w:t xml:space="preserve">(Jones et al., 2008)</w:t>
      </w:r>
      <w:r>
        <w:t xml:space="preserve">. The health of animals, plants, and the wider environment greatly impacts the capacity of ecosystems to provide services and prevent disease emergence</w:t>
      </w:r>
      <w:r>
        <w:t xml:space="preserve"> </w:t>
      </w:r>
      <w:r>
        <w:t xml:space="preserve">(Rabinowitz &amp; Conti, 2013)</w:t>
      </w:r>
      <w:r>
        <w:t xml:space="preserve">. Moreover, the relationship between biodiversity and Health becomes far more important when we consider that they are both affected by the same threats</w:t>
      </w:r>
      <w:r>
        <w:t xml:space="preserve"> </w:t>
      </w:r>
      <w:r>
        <w:t xml:space="preserve">(e.g., climate and land use change, Carlson et al., 2025)</w:t>
      </w:r>
      <w:r>
        <w:t xml:space="preserve">, supported by the same actions that mitigate these threats, and monitored by the same set of tools</w:t>
      </w:r>
      <w:r>
        <w:t xml:space="preserve"> </w:t>
      </w:r>
      <w:r>
        <w:t xml:space="preserve">(Poisot et al., 2025)</w:t>
      </w:r>
      <w:r>
        <w:t xml:space="preserve">. The One Health approach recognizes these interconnections between human, animal, plant, and environmental health and provides a set of principes for achieving a healthier planet by fostering collaboration across disciplines.</w:t>
      </w:r>
    </w:p>
    <w:p>
      <w:pPr>
        <w:pStyle w:val="BodyText"/>
      </w:pPr>
      <w:r>
        <w:t xml:space="preserve">The One Health Joint Plan of Action (OH JPA) is an action-oriented framework aimed at advancing One Health principles in the horizon of 2026. Developed by the Quadripartite organizations, which is a strategic One Health partnership between the Food and Agriculture Organization of the United Nations (FAO), the United Nations Environment Programme (UNEP), the World Organisation for Animal Health (WOAH), and the World Health Organization (WHO), the OH JPA contains 19 actions that address important challenges at the interface between human, animal, plant, and environmental health. These actions form six action tracks that collectively seek to strengthen health systems and food safety capacities while preventing zoonotic diseases, antimicrobial resistance, and environmental degradation. However, while this plan does a good job at promoting capacity-building across many dimensions of One Health, there are currently no indicators that would help us monitor its implementation. As we enter the final year of the plan, the need to evaluate the progress made since its adoption in 2022 grows acute, especially as this evaluation can inform the development of the next version of the plan.</w:t>
      </w:r>
    </w:p>
    <w:p>
      <w:pPr>
        <w:pStyle w:val="BodyText"/>
      </w:pPr>
      <w:r>
        <w:t xml:space="preserve">In 2022, in their fifteenth conference, the Parties to the Convention of Biological Diversity (CBD) adopted the Kunming-Montreal Global Biodiversity Framework (KM-GBF) to alt and reverse biodiversity loss by 2030. To achieve this, the KM-GBF contains 4 general goals and 23 specific targets, ranging from the restoration of degraded ecosystems to the integration of biodiversity in decision-making. The KM-GBF Monitoring Framework includes 204 indicators that countries can use to monitor these goals and targets</w:t>
      </w:r>
      <w:r>
        <w:t xml:space="preserve"> </w:t>
      </w:r>
      <w:r>
        <w:t xml:space="preserve">(UNEP-WCMC, 2025)</w:t>
      </w:r>
      <w:r>
        <w:t xml:space="preserve">. These indicators are classified in four groups: headline (high-level), binary (yes/no questions), component (technical), and complementary (supporting) indicators. Two of these groups (headline and binary indicators) are mandatory, i.e. countries have the legal obligation to include them in their national reports. Measuring these indicators requires significant resources and expertise, which should therefore be well allocated.</w:t>
      </w:r>
    </w:p>
    <w:p>
      <w:pPr>
        <w:pStyle w:val="BodyText"/>
      </w:pPr>
      <w:r>
        <w:t xml:space="preserve">More recently, the Parties to the CBD also adopted the Global Action Plan on Biodiversity and Health (GAP-BH), which formally recognizes the links between biodiversity and Health</w:t>
      </w:r>
      <w:r>
        <w:t xml:space="preserve"> </w:t>
      </w:r>
      <w:r>
        <w:t xml:space="preserve">(UNEP, 2024)</w:t>
      </w:r>
      <w:r>
        <w:t xml:space="preserve">. The GAP-BH groups the targets of the KM-GBF into 14 thematic categories, ranging from Access and benefit-sharing to Knowledge and engagement of people. Each thematic category has its own relevance to Health. For example, the targets that fall under the Mainstreaming category contribute to</w:t>
      </w:r>
      <w:r>
        <w:t xml:space="preserve"> </w:t>
      </w:r>
      <w:r>
        <w:t xml:space="preserve">“the consideration of biodiversity and health interlinkages in decision-making across all sectors [which] can improve awareness of the benefits of biodiversity to foster more equitable health systems.”</w:t>
      </w:r>
      <w:r>
        <w:t xml:space="preserve"> </w:t>
      </w:r>
      <w:r>
        <w:t xml:space="preserve">Because of the high relevance of KM-GBF targets to Health, we hypothesized that the indicators of these targets will also be of relevance to Health.</w:t>
      </w:r>
    </w:p>
    <w:p>
      <w:pPr>
        <w:pStyle w:val="BodyText"/>
      </w:pPr>
      <w:r>
        <w:t xml:space="preserve">This study aims to identify the indicators of the KM-GBF Monitoring Framework that are of relevance to One Health. First, we assessed the link between each of these indicators and human, animal, plant, and environmental health. We found that 75% of indicators are directly or indirectly connected to at least one of the four pillars of One Health. This result reinforces the need for collaboration between biologists, who are experts of these indicators, and health professionals, who need information at the intersection of biodiversity and Health. Second, we evaluated the usability of the KM-GBF indicators for monitoring the specific actions of the OH JPA. We found that 91% of indicators can be used, either directly or after adaptation, to monitor actions in at least one action track. Reusing indicators can greatly reduce the workload of countries and their need to develop and monitor new indicators at the intersection of human, animal, plant, and environmental health. Together, these two results highlight the need for data sharing and knowledge transfer practices between the CBD Secretariat and the Quadripartite organizations.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required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2026)</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group of indicator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link-between-indicators-and-health"/>
    <w:p>
      <w:pPr>
        <w:pStyle w:val="Heading2"/>
      </w:pPr>
      <w:r>
        <w:t xml:space="preserve">Link between indicators and Health</w:t>
      </w:r>
    </w:p>
    <w:p>
      <w:pPr>
        <w:pStyle w:val="FirstParagraph"/>
      </w:pPr>
      <w:r>
        <w:t xml:space="preserve">We found that 75% of KM-GBF indicators are either directly or indirectly connected to human, animal, plant, or environmental health, with approximately 55% of indicators being directly connected to Health. This indicates that monitoring the state, benefits, and pressure of biodiversity and our responses to biodiversity loss gives us a lot of information on One Health.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slightly higher for environmental health (41% of indicators) compared to human (27%), animal (26%), and plant (28%) health. However, this difference shrinks after adding indirectly connected indicators (63% for environmental health compared to 56%, 53%, and 51% respectively for human, animal, and plant health). This suggests that the four pillars of One Health can all be meaningfully informed by biodiversity monitoring.</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amounts of indicators would monitor the four pillars of One Health. This indicates that there are virtually no biases in the amount of information that can be reused to monitor human, animal, plant, and environmental health. In other words, we monitor all core components of One Health when we monitor biodiversity.</w:t>
      </w:r>
    </w:p>
    <w:bookmarkEnd w:id="17"/>
    <w:bookmarkStart w:id="31" w:name="Xe0174d29bd397db265675cd2e1acc67451b4773"/>
    <w:p>
      <w:pPr>
        <w:pStyle w:val="Heading2"/>
      </w:pPr>
      <w:r>
        <w:t xml:space="preserve">Usability of indicators for monitoring the OH JPA</w:t>
      </w:r>
    </w:p>
    <w:p>
      <w:pPr>
        <w:pStyle w:val="FirstParagraph"/>
      </w:pPr>
      <w:r>
        <w:t xml:space="preserve">The vast majority of KM-GBF indicators (91%) can be used either directly or after adaptation to monitor actions in the OH JPA,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restaure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reduce the workload of countries by reducing the need to develop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within the sixth action track, where only 12 indicators were associated to action 6.4 whereas 108 indicators were associated to action 6.1 This result shows that there is substantial information available for some of the actions, but it also further highlights the need to identify or develop new indicators for specific actions of the plan, even within the action tracks that can be monitored by numerous indicators.</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hyperlink w:anchor="fig-use-cat">
        <w:r>
          <w:rPr>
            <w:rStyle w:val="Hyperlink"/>
          </w:rPr>
          <w:t xml:space="preserve">Figure 3</w:t>
        </w:r>
      </w:hyperlink>
      <w:r>
        <w:t xml:space="preserve"> </w:t>
      </w:r>
      <w:r>
        <w:t xml:space="preserve">shows the proportion of indicators that can be used to monitor each action track, for each group of indicators in the KM-GBF Monitoring Framework.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groups of indicators that are mandatory, i.e. that Parties have the legal obligation to report on. The high proportion of headline and binary indicators is encouraging, because it indicates that the information most likely to figure in National Biodiversity Strategies and Action Plans (NBSAPs) will be reusable for evaluating the implementation of the OH JPA. On the other hand, the high reusability of component and complementary indicators, which are currently optional, should be seen as an additional incitative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In</w:t>
      </w:r>
      <w:r>
        <w:t xml:space="preserve"> </w:t>
      </w:r>
      <w:hyperlink w:anchor="fig-use-GAP">
        <w:r>
          <w:rPr>
            <w:rStyle w:val="Hyperlink"/>
          </w:rPr>
          <w:t xml:space="preserve">Figure 4</w:t>
        </w:r>
      </w:hyperlink>
      <w:r>
        <w:t xml:space="preserve">, we present the usability of indicators for each thematic category of the GAP-BH. In every category, at least 89% of indicators can be used, either directly or after adaptation, for monitoring at least one action track, excepting in the Knowledge and engagement of people category, which only has 52% of usable indicators. This suggests that every sector of the KM-GBF Monitoring Framework, from Nature’s contribution to people to Species management, is relevant for One Health, even though there are wide variations in the action track most relevant for each category. This figure also shows that all indicators that can directly monitor the fifth action track on antimicrobial resistance are in the Access and benefit-sharing and Biosafety and biotechnology 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KM-GBF indicators that can be used to monitor at least one action in each of the OH JPA action tracks, partitioned by the different thematic categories of the GAP-BH.</w:t>
            </w:r>
            <w:r>
              <w:t xml:space="preserve"> </w:t>
            </w:r>
            <w:r>
              <w:t xml:space="preserve">The number of indicators in each thematic category is indicated in parentheses. The thematic category of an indicator was assigned based on the thematic category of its target. Indicators that monitor KM-GBF goals A, B, C, and D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Reusing existing indicators can greatly reduce the workload of countries that are part of different multilateral environmental agreements with overlapping objectives. Instead of developing new indicators, our study shows that countries can reuse many indicators from the KM-GBF Monitoring Framework to monitor One Health actions. Our evaluation suggests that most of these indicators are linked to Health and can be used to monitor the specific actions of the OH JPA. Biologists, who develop and measure these indicators, can thus meaningfully contribute to One Health efforts by sharing their data, methodologies, and expertise with the health sector. However, additional work is needed to identify or develop new indicators for the action tracks where few indicators were found to be usable. These gaps could be filled by finding existing indicators at the intersection of human, animal, plant, and environmental health in other multilateral environmental agreements (e.g. the indicators of the Sustainable Development Goals). Nevertheless, the high reusability of most KM-GBF indicators for monitoring One Health actions underlines the need for close collaboration between the CBD Secretariat and the Quadripartite organizations, especially as we enter the last year of the One Health Joint Plan of Action.</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territory of the Saint Lawrence Iroquoian, Anishinabewaki, Mohawk, Huron-Wendat and Omàmiwininiwak nations. FB and TP were supported by the Wellcome Trust. A special thanks to the GEO BON One Health working group and Claire Burnel for their useful feedback on the manuscript.</w:t>
      </w:r>
    </w:p>
    <w:bookmarkEnd w:id="34"/>
    <w:bookmarkStart w:id="70" w:name="references"/>
    <w:p>
      <w:pPr>
        <w:pStyle w:val="Heading1"/>
      </w:pPr>
      <w:r>
        <w:t xml:space="preserve">References</w:t>
      </w:r>
    </w:p>
    <w:bookmarkStart w:id="69" w:name="refs"/>
    <w:bookmarkStart w:id="36" w:name="ref-Butchart2026Extent"/>
    <w:p>
      <w:pPr>
        <w:pStyle w:val="Bibliography"/>
      </w:pPr>
      <w:r>
        <w:t xml:space="preserve">Butchart, S. H. M., Crowe, O., Scott, T., Plumptre, A. J., Eldred, M., McKee, E., Waliczky, Z., Hasani, I. A., Azpiroz, A. B., Baisero, D., Barasa, F., Beresford, A. E., Bezeng, B. S., Boyd, C., Brooks, T. M., Buchanan, G., Bunting, G., Capellan, S., Cox, N., … Upgren, A. (2026). Extent, characteristics and policy applications of</w:t>
      </w:r>
      <w:r>
        <w:t xml:space="preserve"> </w:t>
      </w:r>
      <w:r>
        <w:t xml:space="preserve">Key Biodiversity Areas</w:t>
      </w:r>
      <w:r>
        <w:t xml:space="preserve">.</w:t>
      </w:r>
      <w:r>
        <w:t xml:space="preserve"> </w:t>
      </w:r>
      <w:r>
        <w:rPr>
          <w:i/>
          <w:iCs/>
        </w:rPr>
        <w:t xml:space="preserve">Biological Reviews of the Cambridge Philosophical Society</w:t>
      </w:r>
      <w:r>
        <w:t xml:space="preserve">.</w:t>
      </w:r>
      <w:r>
        <w:t xml:space="preserve"> </w:t>
      </w:r>
      <w:hyperlink r:id="rId35">
        <w:r>
          <w:rPr>
            <w:rStyle w:val="Hyperlink"/>
          </w:rPr>
          <w:t xml:space="preserve">https://doi.org/10.1002/brv.70144</w:t>
        </w:r>
      </w:hyperlink>
    </w:p>
    <w:bookmarkEnd w:id="36"/>
    <w:bookmarkStart w:id="38"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37">
        <w:r>
          <w:rPr>
            <w:rStyle w:val="Hyperlink"/>
          </w:rPr>
          <w:t xml:space="preserve">https://doi.org/10.1038/s44358-024-00005-w</w:t>
        </w:r>
      </w:hyperlink>
    </w:p>
    <w:bookmarkEnd w:id="38"/>
    <w:bookmarkStart w:id="39"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9"/>
    <w:bookmarkStart w:id="41"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40">
        <w:r>
          <w:rPr>
            <w:rStyle w:val="Hyperlink"/>
          </w:rPr>
          <w:t xml:space="preserve">https://doi.org/10.1126/science.aap8826</w:t>
        </w:r>
      </w:hyperlink>
    </w:p>
    <w:bookmarkEnd w:id="41"/>
    <w:bookmarkStart w:id="43"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42">
        <w:r>
          <w:rPr>
            <w:rStyle w:val="Hyperlink"/>
          </w:rPr>
          <w:t xml:space="preserve">https://doi.org/10.1111/j.1365-3059.2011.02501.x</w:t>
        </w:r>
      </w:hyperlink>
    </w:p>
    <w:bookmarkEnd w:id="43"/>
    <w:bookmarkStart w:id="45"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44">
        <w:r>
          <w:rPr>
            <w:rStyle w:val="Hyperlink"/>
          </w:rPr>
          <w:t xml:space="preserve">https://doi.org/10.1038/nrg1729</w:t>
        </w:r>
      </w:hyperlink>
    </w:p>
    <w:bookmarkEnd w:id="45"/>
    <w:bookmarkStart w:id="47"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46">
        <w:r>
          <w:rPr>
            <w:rStyle w:val="Hyperlink"/>
          </w:rPr>
          <w:t xml:space="preserve">https://doi.org/10.1136/vr.g143</w:t>
        </w:r>
      </w:hyperlink>
    </w:p>
    <w:bookmarkEnd w:id="47"/>
    <w:bookmarkStart w:id="49"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48">
        <w:r>
          <w:rPr>
            <w:rStyle w:val="Hyperlink"/>
          </w:rPr>
          <w:t xml:space="preserve">https://doi.org/10.1038/nature06536</w:t>
        </w:r>
      </w:hyperlink>
    </w:p>
    <w:bookmarkEnd w:id="49"/>
    <w:bookmarkStart w:id="51"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50">
        <w:r>
          <w:rPr>
            <w:rStyle w:val="Hyperlink"/>
          </w:rPr>
          <w:t xml:space="preserve">https://doi.org/10.1016/j.scitotenv.2016.09.009</w:t>
        </w:r>
      </w:hyperlink>
    </w:p>
    <w:bookmarkEnd w:id="51"/>
    <w:bookmarkStart w:id="53"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52">
        <w:r>
          <w:rPr>
            <w:rStyle w:val="Hyperlink"/>
          </w:rPr>
          <w:t xml:space="preserve">https://doi.org/10.3389/fvets.2017.00163</w:t>
        </w:r>
      </w:hyperlink>
    </w:p>
    <w:bookmarkEnd w:id="53"/>
    <w:bookmarkStart w:id="55"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54">
        <w:r>
          <w:rPr>
            <w:rStyle w:val="Hyperlink"/>
          </w:rPr>
          <w:t xml:space="preserve">https://doi.org/10.1007/s00709-020-01579-w</w:t>
        </w:r>
      </w:hyperlink>
    </w:p>
    <w:bookmarkEnd w:id="55"/>
    <w:bookmarkStart w:id="57"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56">
        <w:r>
          <w:rPr>
            <w:rStyle w:val="Hyperlink"/>
          </w:rPr>
          <w:t xml:space="preserve">https://doi.org/10.1093/biosci/biaf091</w:t>
        </w:r>
      </w:hyperlink>
    </w:p>
    <w:bookmarkEnd w:id="57"/>
    <w:bookmarkStart w:id="59"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58">
        <w:r>
          <w:rPr>
            <w:rStyle w:val="Hyperlink"/>
          </w:rPr>
          <w:t xml:space="preserve">https://doi.org/10.1146/annurev-publhealth-031912-114426</w:t>
        </w:r>
      </w:hyperlink>
    </w:p>
    <w:bookmarkEnd w:id="59"/>
    <w:bookmarkStart w:id="61"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60">
        <w:r>
          <w:rPr>
            <w:rStyle w:val="Hyperlink"/>
          </w:rPr>
          <w:t xml:space="preserve">https://doi.org/10.1016/j.envres.2024.118115</w:t>
        </w:r>
      </w:hyperlink>
    </w:p>
    <w:bookmarkEnd w:id="61"/>
    <w:bookmarkStart w:id="63"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62">
        <w:r>
          <w:rPr>
            <w:rStyle w:val="Hyperlink"/>
          </w:rPr>
          <w:t xml:space="preserve">https://doi.org/10.1007/BF01873258</w:t>
        </w:r>
      </w:hyperlink>
    </w:p>
    <w:bookmarkEnd w:id="63"/>
    <w:bookmarkStart w:id="64"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https://www.cbd.int/health/GAP.shtml.</w:t>
      </w:r>
    </w:p>
    <w:bookmarkEnd w:id="64"/>
    <w:bookmarkStart w:id="65"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65"/>
    <w:bookmarkStart w:id="67"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66">
        <w:r>
          <w:rPr>
            <w:rStyle w:val="Hyperlink"/>
          </w:rPr>
          <w:t xml:space="preserve">https://doi.org/10.1111/nyas.13983</w:t>
        </w:r>
      </w:hyperlink>
    </w:p>
    <w:bookmarkEnd w:id="67"/>
    <w:bookmarkStart w:id="68"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35" Target="https://doi.org/10.1002/brv.70144" TargetMode="External" /><Relationship Type="http://schemas.openxmlformats.org/officeDocument/2006/relationships/hyperlink" Id="rId62"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60"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56" Target="https://doi.org/10.1093/biosci/biaf091" TargetMode="External" /><Relationship Type="http://schemas.openxmlformats.org/officeDocument/2006/relationships/hyperlink" Id="rId42" Target="https://doi.org/10.1111/j.1365-3059.2011.02501.x" TargetMode="External" /><Relationship Type="http://schemas.openxmlformats.org/officeDocument/2006/relationships/hyperlink" Id="rId66"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8" Target="https://doi.org/10.1146/annurev-publhealth-031912-114426" TargetMode="External" /><Relationship Type="http://schemas.openxmlformats.org/officeDocument/2006/relationships/hyperlink" Id="rId52"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02/brv.70144" TargetMode="External" /><Relationship Type="http://schemas.openxmlformats.org/officeDocument/2006/relationships/hyperlink" Id="rId62" Target="https://doi.org/10.1007/BF01873258" TargetMode="External" /><Relationship Type="http://schemas.openxmlformats.org/officeDocument/2006/relationships/hyperlink" Id="rId54" Target="https://doi.org/10.1007/s00709-020-01579-w" TargetMode="External" /><Relationship Type="http://schemas.openxmlformats.org/officeDocument/2006/relationships/hyperlink" Id="rId60" Target="https://doi.org/10.1016/j.envres.2024.118115" TargetMode="External" /><Relationship Type="http://schemas.openxmlformats.org/officeDocument/2006/relationships/hyperlink" Id="rId50" Target="https://doi.org/10.1016/j.scitotenv.2016.09.009" TargetMode="External" /><Relationship Type="http://schemas.openxmlformats.org/officeDocument/2006/relationships/hyperlink" Id="rId48" Target="https://doi.org/10.1038/nature06536" TargetMode="External" /><Relationship Type="http://schemas.openxmlformats.org/officeDocument/2006/relationships/hyperlink" Id="rId44" Target="https://doi.org/10.1038/nrg1729" TargetMode="External" /><Relationship Type="http://schemas.openxmlformats.org/officeDocument/2006/relationships/hyperlink" Id="rId37" Target="https://doi.org/10.1038/s44358-024-00005-w" TargetMode="External" /><Relationship Type="http://schemas.openxmlformats.org/officeDocument/2006/relationships/hyperlink" Id="rId56" Target="https://doi.org/10.1093/biosci/biaf091" TargetMode="External" /><Relationship Type="http://schemas.openxmlformats.org/officeDocument/2006/relationships/hyperlink" Id="rId42" Target="https://doi.org/10.1111/j.1365-3059.2011.02501.x" TargetMode="External" /><Relationship Type="http://schemas.openxmlformats.org/officeDocument/2006/relationships/hyperlink" Id="rId66" Target="https://doi.org/10.1111/nyas.13983" TargetMode="External" /><Relationship Type="http://schemas.openxmlformats.org/officeDocument/2006/relationships/hyperlink" Id="rId40" Target="https://doi.org/10.1126/science.aap8826" TargetMode="External" /><Relationship Type="http://schemas.openxmlformats.org/officeDocument/2006/relationships/hyperlink" Id="rId46" Target="https://doi.org/10.1136/vr.g143" TargetMode="External" /><Relationship Type="http://schemas.openxmlformats.org/officeDocument/2006/relationships/hyperlink" Id="rId58" Target="https://doi.org/10.1146/annurev-publhealth-031912-114426" TargetMode="External" /><Relationship Type="http://schemas.openxmlformats.org/officeDocument/2006/relationships/hyperlink" Id="rId52"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2026-04-01T15:57:29Z</dcterms:created>
  <dcterms:modified xsi:type="dcterms:W3CDTF">2026-04-01T15:57:29Z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the United Nations Environment Programme, the World Organisation for Animal Health, and the World Health Organization,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91% of indicators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2026-04-01</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