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2A8BB8"/>
          <w:sz w:val="36"/>
        </w:rPr>
        <w:t>LEARNING COACH AI</w:t>
      </w:r>
    </w:p>
    <w:p>
      <w:pPr>
        <w:spacing w:after="140"/>
        <w:pBdr>
          <w:bottom w:val="single" w:sz="22" w:color="153B5B"/>
        </w:pBdr>
      </w:pPr>
    </w:p>
    <w:p>
      <w:pPr>
        <w:jc w:val="center"/>
      </w:pPr>
      <w:r>
        <w:rPr>
          <w:b/>
          <w:color w:val="153B5B"/>
          <w:sz w:val="68"/>
        </w:rPr>
        <w:t>MASTER BOOK</w:t>
      </w:r>
    </w:p>
    <w:p>
      <w:pPr>
        <w:jc w:val="center"/>
      </w:pPr>
      <w:r>
        <w:rPr>
          <w:b/>
          <w:color w:val="1F5F8B"/>
          <w:sz w:val="48"/>
        </w:rPr>
        <w:t>VOLUME 5</w:t>
      </w:r>
    </w:p>
    <w:p>
      <w:pPr>
        <w:jc w:val="center"/>
      </w:pPr>
      <w:r>
        <w:rPr>
          <w:color w:val="1F2933"/>
          <w:sz w:val="30"/>
        </w:rPr>
        <w:t>Déploiement, DevOps, Tests, Sécurité,</w:t>
        <w:br/>
        <w:t>Exploitation, Gouvernance et Roadmap</w:t>
      </w:r>
    </w:p>
    <w:p>
      <w:pPr>
        <w:spacing w:before="5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2448"/>
            <w:shd w:fill="153B5B"/>
          </w:tcPr>
          <w:p>
            <w:r>
              <w:rPr>
                <w:b/>
                <w:color w:val="FFFFFF"/>
                <w:sz w:val="17"/>
              </w:rPr>
              <w:t>Métadonnée</w:t>
            </w:r>
          </w:p>
        </w:tc>
        <w:tc>
          <w:tcPr>
            <w:tcW w:type="dxa" w:w="6624"/>
            <w:shd w:fill="153B5B"/>
          </w:tcPr>
          <w:p>
            <w:r>
              <w:rPr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Projet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Learning Coach AI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Référence</w:t>
            </w:r>
          </w:p>
        </w:tc>
        <w:tc>
          <w:tcPr>
            <w:tcW w:type="dxa" w:w="662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LCAI-MASTER-V5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Version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1.0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Date</w:t>
            </w:r>
          </w:p>
        </w:tc>
        <w:tc>
          <w:tcPr>
            <w:tcW w:type="dxa" w:w="662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29 juillet 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Statut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Référence d’industrialisation et d’exploitation</w:t>
            </w:r>
          </w:p>
        </w:tc>
      </w:tr>
    </w:tbl>
    <w:p>
      <w:pPr>
        <w:spacing w:after="0"/>
      </w:pPr>
    </w:p>
    <w:p>
      <w:pPr>
        <w:spacing w:before="600"/>
        <w:jc w:val="center"/>
      </w:pPr>
      <w:r>
        <w:rPr>
          <w:i/>
          <w:color w:val="5D6872"/>
        </w:rPr>
        <w:t>Dernier volume de la collection Master Book</w:t>
      </w:r>
    </w:p>
    <w:p>
      <w:r>
        <w:br w:type="page"/>
      </w:r>
    </w:p>
    <w:p>
      <w:pPr>
        <w:pStyle w:val="Heading1"/>
      </w:pPr>
      <w:r>
        <w:t>0. Objet, statut et articulation de la collection</w:t>
      </w:r>
    </w:p>
    <w:p>
      <w:pPr>
        <w:pStyle w:val="Lead"/>
      </w:pPr>
      <w:r>
        <w:t>Ce volume clôt la série en définissant les conditions permettant de transformer le produit en service exploitable, sécurisé, gouverné et durable.</w:t>
      </w:r>
    </w:p>
    <w:p>
      <w:pPr>
        <w:spacing w:after="140"/>
        <w:pBdr>
          <w:bottom w:val="single" w:sz="8" w:color="2A8BB8"/>
        </w:pBdr>
      </w:pPr>
    </w:p>
    <w:p>
      <w:r>
        <w:t>Il complète le Volume 1 consacré à l’architecture produit et logicielle, le Volume 2 consacré aux données et à DuckDB, le Volume 3 consacré aux moteurs pédagogiques, et le Volume 4 consacré à l’intelligence artificielle. Les règles ci-dessous portent sur l’exploitation cible ; elles doivent être confrontées au code, à la base active et aux contraintes d’hébergement avant mise en production.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FF6E5"/>
            <w:tcBorders>
              <w:top w:val="single" w:sz="8" w:color="B7791F"/>
              <w:bottom w:val="single" w:sz="8" w:color="B7791F"/>
              <w:left w:val="single" w:sz="8" w:color="B7791F"/>
              <w:right w:val="single" w:sz="8" w:color="B7791F"/>
            </w:tcBorders>
          </w:tcPr>
          <w:p>
            <w:r>
              <w:rPr>
                <w:b/>
                <w:color w:val="B7791F"/>
              </w:rPr>
              <w:t>Principe directeur</w:t>
            </w:r>
          </w:p>
          <w:p>
            <w:pPr>
              <w:pStyle w:val="Callout"/>
            </w:pPr>
            <w:r>
              <w:t>Aucune mise en production n’est complète sans stratégie de retour arrière, sauvegarde testée, surveillance active, responsabilités nommées et critères d’acceptation mesurables.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1440"/>
            <w:shd w:fill="153B5B"/>
          </w:tcPr>
          <w:p>
            <w:r>
              <w:rPr>
                <w:b/>
                <w:color w:val="FFFFFF"/>
                <w:sz w:val="16"/>
              </w:rPr>
              <w:t>Volume</w:t>
            </w:r>
          </w:p>
        </w:tc>
        <w:tc>
          <w:tcPr>
            <w:tcW w:type="dxa" w:w="7632"/>
            <w:shd w:fill="153B5B"/>
          </w:tcPr>
          <w:p>
            <w:r>
              <w:rPr>
                <w:b/>
                <w:color w:val="FFFFFF"/>
                <w:sz w:val="16"/>
              </w:rPr>
              <w:t>Responsabilité dominante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Produit, domaines, architecture logicielle et interfaces</w:t>
            </w:r>
          </w:p>
        </w:tc>
      </w:tr>
      <w:tr>
        <w:tc>
          <w:tcPr>
            <w:tcW w:type="dxa" w:w="144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763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Données, DuckDB, repositories, migrations et intégrité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Curriculum, contenus, apprentissage, recommandation et qualité</w:t>
            </w:r>
          </w:p>
        </w:tc>
      </w:tr>
      <w:tr>
        <w:tc>
          <w:tcPr>
            <w:tcW w:type="dxa" w:w="144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763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Professeur IA, LLM, RAG, mémoire, sécurité IA et analytics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Déploiement, CI/CD, tests, sécurité, exploitation, gouvernance et évolution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Sommaire opérationnel</w:t>
      </w:r>
    </w:p>
    <w:p>
      <w:pPr>
        <w:spacing w:after="140"/>
        <w:pBdr>
          <w:bottom w:val="single" w:sz="8" w:color="2A8BB8"/>
        </w:pBdr>
      </w:pPr>
    </w:p>
    <w:p>
      <w:pPr>
        <w:spacing w:after="60"/>
      </w:pPr>
      <w:r>
        <w:t>1. Principes d’industrialisation</w:t>
      </w:r>
    </w:p>
    <w:p>
      <w:pPr>
        <w:spacing w:after="60"/>
      </w:pPr>
      <w:r>
        <w:t>2. Environnements et configuration</w:t>
      </w:r>
    </w:p>
    <w:p>
      <w:pPr>
        <w:spacing w:after="60"/>
      </w:pPr>
      <w:r>
        <w:t>3. Architecture de déploiement</w:t>
      </w:r>
    </w:p>
    <w:p>
      <w:pPr>
        <w:spacing w:after="60"/>
      </w:pPr>
      <w:r>
        <w:t>4. Installation Windows et Ubuntu</w:t>
      </w:r>
    </w:p>
    <w:p>
      <w:pPr>
        <w:spacing w:after="60"/>
      </w:pPr>
      <w:r>
        <w:t>5. Conteneurisation et packaging</w:t>
      </w:r>
    </w:p>
    <w:p>
      <w:pPr>
        <w:spacing w:after="60"/>
      </w:pPr>
      <w:r>
        <w:t>6. Stratégie Git et gestion des versions</w:t>
      </w:r>
    </w:p>
    <w:p>
      <w:pPr>
        <w:spacing w:after="60"/>
      </w:pPr>
      <w:r>
        <w:t>7. CI/CD et quality gates</w:t>
      </w:r>
    </w:p>
    <w:p>
      <w:pPr>
        <w:spacing w:after="60"/>
      </w:pPr>
      <w:r>
        <w:t>8. Stratégie de tests globale</w:t>
      </w:r>
    </w:p>
    <w:p>
      <w:pPr>
        <w:spacing w:after="60"/>
      </w:pPr>
      <w:r>
        <w:t>9. Performance et capacité</w:t>
      </w:r>
    </w:p>
    <w:p>
      <w:pPr>
        <w:spacing w:after="60"/>
      </w:pPr>
      <w:r>
        <w:t>10. Sécurité applicative</w:t>
      </w:r>
    </w:p>
    <w:p>
      <w:pPr>
        <w:spacing w:after="60"/>
      </w:pPr>
      <w:r>
        <w:t>11. Protection des mineurs et RGPD</w:t>
      </w:r>
    </w:p>
    <w:p>
      <w:pPr>
        <w:spacing w:after="60"/>
      </w:pPr>
      <w:r>
        <w:t>12. Sauvegarde, restauration et continuité</w:t>
      </w:r>
    </w:p>
    <w:p>
      <w:pPr>
        <w:spacing w:after="60"/>
      </w:pPr>
      <w:r>
        <w:t>13. Observabilité et monitoring</w:t>
      </w:r>
    </w:p>
    <w:p>
      <w:pPr>
        <w:spacing w:after="60"/>
      </w:pPr>
      <w:r>
        <w:t>14. Exploitation et gestion des incidents</w:t>
      </w:r>
    </w:p>
    <w:p>
      <w:pPr>
        <w:spacing w:after="60"/>
      </w:pPr>
      <w:r>
        <w:t>15. Administration fonctionnelle</w:t>
      </w:r>
    </w:p>
    <w:p>
      <w:pPr>
        <w:spacing w:after="60"/>
      </w:pPr>
      <w:r>
        <w:t>16. Gouvernance technique et produit</w:t>
      </w:r>
    </w:p>
    <w:p>
      <w:pPr>
        <w:spacing w:after="60"/>
      </w:pPr>
      <w:r>
        <w:t>17. Gestion de la dette technique</w:t>
      </w:r>
    </w:p>
    <w:p>
      <w:pPr>
        <w:spacing w:after="60"/>
      </w:pPr>
      <w:r>
        <w:t>18. FinOps et gestion des coûts</w:t>
      </w:r>
    </w:p>
    <w:p>
      <w:pPr>
        <w:spacing w:after="60"/>
      </w:pPr>
      <w:r>
        <w:t>19. Roadmap produit et plateforme</w:t>
      </w:r>
    </w:p>
    <w:p>
      <w:pPr>
        <w:spacing w:after="60"/>
      </w:pPr>
      <w:r>
        <w:t>20. Règles d’implémentation Cursor</w:t>
      </w:r>
    </w:p>
    <w:p>
      <w:pPr>
        <w:spacing w:after="60"/>
      </w:pPr>
      <w:r>
        <w:t>21. Definition of Done production</w:t>
      </w:r>
    </w:p>
    <w:p>
      <w:pPr>
        <w:spacing w:after="60"/>
      </w:pPr>
      <w:r>
        <w:t>22. Annexes et index général</w:t>
      </w:r>
    </w:p>
    <w:p>
      <w:r>
        <w:br w:type="page"/>
      </w:r>
    </w:p>
    <w:p>
      <w:pPr>
        <w:pStyle w:val="Heading1"/>
      </w:pPr>
      <w:r>
        <w:t>1. Principes d’industrialisation</w:t>
      </w:r>
    </w:p>
    <w:p>
      <w:pPr>
        <w:spacing w:after="140"/>
        <w:pBdr>
          <w:bottom w:val="single" w:sz="8" w:color="2A8BB8"/>
        </w:pBdr>
      </w:pPr>
    </w:p>
    <w:p>
      <w:pPr>
        <w:pStyle w:val="ListBullet"/>
        <w:spacing w:after="40"/>
      </w:pPr>
      <w:r>
        <w:t>Reproductibilité : un environnement doit pouvoir être recréé à partir du dépôt et de paramètres documentés.</w:t>
      </w:r>
    </w:p>
    <w:p>
      <w:pPr>
        <w:pStyle w:val="ListBullet"/>
        <w:spacing w:after="40"/>
      </w:pPr>
      <w:r>
        <w:t>Immutabilité : un artefact publié n’est jamais modifié ; une nouvelle version est produite.</w:t>
      </w:r>
    </w:p>
    <w:p>
      <w:pPr>
        <w:pStyle w:val="ListBullet"/>
        <w:spacing w:after="40"/>
      </w:pPr>
      <w:r>
        <w:t>Séparation : code, configuration, secrets et données suivent des cycles distincts.</w:t>
      </w:r>
    </w:p>
    <w:p>
      <w:pPr>
        <w:pStyle w:val="ListBullet"/>
        <w:spacing w:after="40"/>
      </w:pPr>
      <w:r>
        <w:t>Automatisation : les contrôles répétables appartiennent au pipeline.</w:t>
      </w:r>
    </w:p>
    <w:p>
      <w:pPr>
        <w:pStyle w:val="ListBullet"/>
        <w:spacing w:after="40"/>
      </w:pPr>
      <w:r>
        <w:t>Réversibilité : chaque changement risqué possède un plan de rollback.</w:t>
      </w:r>
    </w:p>
    <w:p>
      <w:pPr>
        <w:pStyle w:val="ListBullet"/>
        <w:spacing w:after="40"/>
      </w:pPr>
      <w:r>
        <w:t>Observabilité : toute dégradation importante doit devenir visible avant le signalement utilisateur.</w:t>
      </w:r>
    </w:p>
    <w:p>
      <w:pPr>
        <w:pStyle w:val="ListBullet"/>
        <w:spacing w:after="40"/>
      </w:pPr>
      <w:r>
        <w:t>Responsabilité : chaque étape possède un propriétaire et une autorité de validation.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3F5F7"/>
            <w:tcBorders>
              <w:top w:val="single" w:sz="4" w:color="D7DDE3"/>
              <w:bottom w:val="single" w:sz="4" w:color="D7DDE3"/>
              <w:left w:val="single" w:sz="4" w:color="D7DDE3"/>
              <w:right w:val="single" w:sz="4" w:color="D7DDE3"/>
            </w:tcBorders>
          </w:tcPr>
          <w:p>
            <w:pPr>
              <w:pStyle w:val="CodeBlock"/>
            </w:pPr>
            <w:r>
              <w:t>Source → Build → Tests → Package → Deploy TEST → Acceptance → Deploy PROD → Observe → Rollback if needed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AF7F0"/>
            <w:tcBorders>
              <w:top w:val="single" w:sz="8" w:color="2F855A"/>
              <w:bottom w:val="single" w:sz="8" w:color="2F855A"/>
              <w:left w:val="single" w:sz="8" w:color="2F855A"/>
              <w:right w:val="single" w:sz="8" w:color="2F855A"/>
            </w:tcBorders>
          </w:tcPr>
          <w:p>
            <w:r>
              <w:rPr>
                <w:b/>
                <w:color w:val="2F855A"/>
              </w:rPr>
              <w:t>Choix pragmatique</w:t>
            </w:r>
          </w:p>
          <w:p>
            <w:pPr>
              <w:pStyle w:val="Callout"/>
            </w:pPr>
            <w:r>
              <w:t>Le projet peut rester un monolithe modulaire Streamlit/Python/DuckDB tant que les frontières internes sont respectées. L’industrialisation ne nécessite pas de microservices prématurés.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Environnements et configuration</w:t>
      </w:r>
    </w:p>
    <w:p>
      <w:pPr>
        <w:spacing w:after="140"/>
        <w:pBdr>
          <w:bottom w:val="single" w:sz="8" w:color="2A8BB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1584"/>
            <w:shd w:fill="153B5B"/>
          </w:tcPr>
          <w:p>
            <w:r>
              <w:rPr>
                <w:b/>
                <w:color w:val="FFFFFF"/>
                <w:sz w:val="16"/>
              </w:rPr>
              <w:t>Environnement</w:t>
            </w:r>
          </w:p>
        </w:tc>
        <w:tc>
          <w:tcPr>
            <w:tcW w:type="dxa" w:w="3312"/>
            <w:shd w:fill="153B5B"/>
          </w:tcPr>
          <w:p>
            <w:r>
              <w:rPr>
                <w:b/>
                <w:color w:val="FFFFFF"/>
                <w:sz w:val="16"/>
              </w:rPr>
              <w:t>Finalité</w:t>
            </w:r>
          </w:p>
        </w:tc>
        <w:tc>
          <w:tcPr>
            <w:tcW w:type="dxa" w:w="3024"/>
            <w:shd w:fill="153B5B"/>
          </w:tcPr>
          <w:p>
            <w:r>
              <w:rPr>
                <w:b/>
                <w:color w:val="FFFFFF"/>
                <w:sz w:val="16"/>
              </w:rPr>
              <w:t>Données</w:t>
            </w:r>
          </w:p>
        </w:tc>
        <w:tc>
          <w:tcPr>
            <w:tcW w:type="dxa" w:w="1872"/>
            <w:shd w:fill="153B5B"/>
          </w:tcPr>
          <w:p>
            <w:r>
              <w:rPr>
                <w:b/>
                <w:color w:val="FFFFFF"/>
                <w:sz w:val="16"/>
              </w:rPr>
              <w:t>Accès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LOCAL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Développement individuel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Jeu synthétique ou copie anonymisée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Développeur</w:t>
            </w:r>
          </w:p>
        </w:tc>
      </w:tr>
      <w:tr>
        <w:tc>
          <w:tcPr>
            <w:tcW w:type="dxa" w:w="158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TEST</w:t>
            </w:r>
          </w:p>
        </w:tc>
        <w:tc>
          <w:tcPr>
            <w:tcW w:type="dxa" w:w="331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Intégration automatique</w:t>
            </w:r>
          </w:p>
        </w:tc>
        <w:tc>
          <w:tcPr>
            <w:tcW w:type="dxa" w:w="302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Jeu de référence reproductible</w:t>
            </w:r>
          </w:p>
        </w:tc>
        <w:tc>
          <w:tcPr>
            <w:tcW w:type="dxa" w:w="187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Équipe technique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PREPROD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Recette proche production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Données anonymisées ou dédiées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QA/PO</w:t>
            </w:r>
          </w:p>
        </w:tc>
      </w:tr>
      <w:tr>
        <w:tc>
          <w:tcPr>
            <w:tcW w:type="dxa" w:w="158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PROD</w:t>
            </w:r>
          </w:p>
        </w:tc>
        <w:tc>
          <w:tcPr>
            <w:tcW w:type="dxa" w:w="331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Service réel</w:t>
            </w:r>
          </w:p>
        </w:tc>
        <w:tc>
          <w:tcPr>
            <w:tcW w:type="dxa" w:w="302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Données utilisateurs</w:t>
            </w:r>
          </w:p>
        </w:tc>
        <w:tc>
          <w:tcPr>
            <w:tcW w:type="dxa" w:w="187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Accès restreint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Même code entre environnements ; seules les configurations changent.</w:t>
      </w:r>
    </w:p>
    <w:p>
      <w:pPr>
        <w:pStyle w:val="ListBullet"/>
        <w:spacing w:after="40"/>
      </w:pPr>
      <w:r>
        <w:t>Aucun secret dans Git, les fichiers de rapport ou les captures.</w:t>
      </w:r>
    </w:p>
    <w:p>
      <w:pPr>
        <w:pStyle w:val="ListBullet"/>
        <w:spacing w:after="40"/>
      </w:pPr>
      <w:r>
        <w:t>Le chemin de base DuckDB est explicite et journalisé au démarrage.</w:t>
      </w:r>
    </w:p>
    <w:p>
      <w:pPr>
        <w:pStyle w:val="ListBullet"/>
        <w:spacing w:after="40"/>
      </w:pPr>
      <w:r>
        <w:t>Les feature flags sont versionnés et disposent d’une valeur par défaut sûre.</w:t>
      </w:r>
    </w:p>
    <w:p>
      <w:pPr>
        <w:pStyle w:val="ListBullet"/>
        <w:spacing w:after="40"/>
      </w:pPr>
      <w:r>
        <w:t>Les valeurs obligatoires manquantes provoquent un arrêt clair, pas un comportement implicite.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3F5F7"/>
            <w:tcBorders>
              <w:top w:val="single" w:sz="4" w:color="D7DDE3"/>
              <w:bottom w:val="single" w:sz="4" w:color="D7DDE3"/>
              <w:left w:val="single" w:sz="4" w:color="D7DDE3"/>
              <w:right w:val="single" w:sz="4" w:color="D7DDE3"/>
            </w:tcBorders>
          </w:tcPr>
          <w:p>
            <w:pPr>
              <w:pStyle w:val="CodeBlock"/>
            </w:pPr>
            <w:r>
              <w:t>APP_ENV=local|test|preprod|prod</w:t>
              <w:br/>
              <w:t>DATABASE_PATH=/secure/path/learning_coach_v2.duckdb</w:t>
              <w:br/>
              <w:t>LOG_LEVEL=INFO</w:t>
              <w:br/>
              <w:t>LLM_PROVIDER=openai</w:t>
              <w:br/>
              <w:t>FEATURE_AI_TUTOR=true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Architecture de déploiement</w:t>
      </w:r>
    </w:p>
    <w:p>
      <w:pPr>
        <w:spacing w:after="140"/>
        <w:pBdr>
          <w:bottom w:val="single" w:sz="8" w:color="2A8BB8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3F5F7"/>
            <w:tcBorders>
              <w:top w:val="single" w:sz="4" w:color="D7DDE3"/>
              <w:bottom w:val="single" w:sz="4" w:color="D7DDE3"/>
              <w:left w:val="single" w:sz="4" w:color="D7DDE3"/>
              <w:right w:val="single" w:sz="4" w:color="D7DDE3"/>
            </w:tcBorders>
          </w:tcPr>
          <w:p>
            <w:pPr>
              <w:pStyle w:val="CodeBlock"/>
            </w:pPr>
            <w:r>
              <w:t>Reverse Proxy / TLS</w:t>
              <w:br/>
              <w:t xml:space="preserve">        ↓</w:t>
              <w:br/>
              <w:t>Streamlit Application</w:t>
              <w:br/>
              <w:t xml:space="preserve">        ↓</w:t>
              <w:br/>
              <w:t>Domain &amp; Application Services</w:t>
              <w:br/>
              <w:t xml:space="preserve">        ↓</w:t>
              <w:br/>
              <w:t>DuckDB + File Storage + LLM Providers</w:t>
              <w:br/>
              <w:t xml:space="preserve">        ↓</w:t>
              <w:br/>
              <w:t>Backups + Logs + Metrics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0"/>
        <w:gridCol w:w="3370"/>
        <w:gridCol w:w="3370"/>
      </w:tblGrid>
      <w:tr>
        <w:tc>
          <w:tcPr>
            <w:tcW w:type="dxa" w:w="2160"/>
            <w:shd w:fill="153B5B"/>
          </w:tcPr>
          <w:p>
            <w:r>
              <w:rPr>
                <w:b/>
                <w:color w:val="FFFFFF"/>
                <w:sz w:val="16"/>
              </w:rPr>
              <w:t>Composant</w:t>
            </w:r>
          </w:p>
        </w:tc>
        <w:tc>
          <w:tcPr>
            <w:tcW w:type="dxa" w:w="3744"/>
            <w:shd w:fill="153B5B"/>
          </w:tcPr>
          <w:p>
            <w:r>
              <w:rPr>
                <w:b/>
                <w:color w:val="FFFFFF"/>
                <w:sz w:val="16"/>
              </w:rPr>
              <w:t>Responsabilité</w:t>
            </w:r>
          </w:p>
        </w:tc>
        <w:tc>
          <w:tcPr>
            <w:tcW w:type="dxa" w:w="3744"/>
            <w:shd w:fill="153B5B"/>
          </w:tcPr>
          <w:p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Reverse proxy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TLS, routage, en-têtes, limites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Aucune clé applicative</w:t>
            </w:r>
          </w:p>
        </w:tc>
      </w:tr>
      <w:tr>
        <w:tc>
          <w:tcPr>
            <w:tcW w:type="dxa" w:w="216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Application</w:t>
            </w:r>
          </w:p>
        </w:tc>
        <w:tc>
          <w:tcPr>
            <w:tcW w:type="dxa" w:w="37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UI et orchestration</w:t>
            </w:r>
          </w:p>
        </w:tc>
        <w:tc>
          <w:tcPr>
            <w:tcW w:type="dxa" w:w="37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Stateless autant que possible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DuckDB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Persistance transactionnelle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Un writer coordonné</w:t>
            </w:r>
          </w:p>
        </w:tc>
      </w:tr>
      <w:tr>
        <w:tc>
          <w:tcPr>
            <w:tcW w:type="dxa" w:w="216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Stockage fichiers</w:t>
            </w:r>
          </w:p>
        </w:tc>
        <w:tc>
          <w:tcPr>
            <w:tcW w:type="dxa" w:w="37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Exports, ressources, sauvegardes</w:t>
            </w:r>
          </w:p>
        </w:tc>
        <w:tc>
          <w:tcPr>
            <w:tcW w:type="dxa" w:w="37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Permissions minimales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LLM providers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Fonctions IA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Gateway, quotas, redaction</w:t>
            </w:r>
          </w:p>
        </w:tc>
      </w:tr>
      <w:tr>
        <w:tc>
          <w:tcPr>
            <w:tcW w:type="dxa" w:w="216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Scheduler</w:t>
            </w:r>
          </w:p>
        </w:tc>
        <w:tc>
          <w:tcPr>
            <w:tcW w:type="dxa" w:w="37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Tâches planifiées</w:t>
            </w:r>
          </w:p>
        </w:tc>
        <w:tc>
          <w:tcPr>
            <w:tcW w:type="dxa" w:w="37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Idempotence et journalisation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FF6E5"/>
            <w:tcBorders>
              <w:top w:val="single" w:sz="8" w:color="B7791F"/>
              <w:bottom w:val="single" w:sz="8" w:color="B7791F"/>
              <w:left w:val="single" w:sz="8" w:color="B7791F"/>
              <w:right w:val="single" w:sz="8" w:color="B7791F"/>
            </w:tcBorders>
          </w:tcPr>
          <w:p>
            <w:r>
              <w:rPr>
                <w:b/>
                <w:color w:val="B7791F"/>
              </w:rPr>
              <w:t>DuckDB en production</w:t>
            </w:r>
          </w:p>
          <w:p>
            <w:pPr>
              <w:pStyle w:val="Callout"/>
            </w:pPr>
            <w:r>
              <w:t>DuckDB convient à un déploiement mono-instance ou à faible concurrence en écriture. Une montée vers plusieurs instances actives doit déclencher une décision d’architecture sur la persistance.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Installation Windows et Ubuntu</w:t>
      </w:r>
    </w:p>
    <w:p>
      <w:pPr>
        <w:spacing w:after="140"/>
        <w:pBdr>
          <w:bottom w:val="single" w:sz="8" w:color="2A8BB8"/>
        </w:pBdr>
      </w:pPr>
    </w:p>
    <w:p>
      <w:pPr>
        <w:pStyle w:val="Heading2"/>
      </w:pPr>
      <w:r>
        <w:t>4.1 Procédure commune</w:t>
      </w:r>
    </w:p>
    <w:p>
      <w:pPr>
        <w:pStyle w:val="ListNumber"/>
        <w:spacing w:after="40"/>
      </w:pPr>
      <w:r>
        <w:t>Installer une version Python supportée par le projet.</w:t>
      </w:r>
    </w:p>
    <w:p>
      <w:pPr>
        <w:pStyle w:val="ListNumber"/>
        <w:spacing w:after="40"/>
      </w:pPr>
      <w:r>
        <w:t>Cloner le dépôt et sélectionner la version/tag.</w:t>
      </w:r>
    </w:p>
    <w:p>
      <w:pPr>
        <w:pStyle w:val="ListNumber"/>
        <w:spacing w:after="40"/>
      </w:pPr>
      <w:r>
        <w:t>Créer un environnement virtuel isolé.</w:t>
      </w:r>
    </w:p>
    <w:p>
      <w:pPr>
        <w:pStyle w:val="ListNumber"/>
        <w:spacing w:after="40"/>
      </w:pPr>
      <w:r>
        <w:t>Installer les dépendances verrouillées.</w:t>
      </w:r>
    </w:p>
    <w:p>
      <w:pPr>
        <w:pStyle w:val="ListNumber"/>
        <w:spacing w:after="40"/>
      </w:pPr>
      <w:r>
        <w:t>Configurer les variables et secrets.</w:t>
      </w:r>
    </w:p>
    <w:p>
      <w:pPr>
        <w:pStyle w:val="ListNumber"/>
        <w:spacing w:after="40"/>
      </w:pPr>
      <w:r>
        <w:t>Créer ou restaurer la base V2.</w:t>
      </w:r>
    </w:p>
    <w:p>
      <w:pPr>
        <w:pStyle w:val="ListNumber"/>
        <w:spacing w:after="40"/>
      </w:pPr>
      <w:r>
        <w:t>Appliquer les migrations.</w:t>
      </w:r>
    </w:p>
    <w:p>
      <w:pPr>
        <w:pStyle w:val="ListNumber"/>
        <w:spacing w:after="40"/>
      </w:pPr>
      <w:r>
        <w:t>Exécuter les tests de santé.</w:t>
      </w:r>
    </w:p>
    <w:p>
      <w:pPr>
        <w:pStyle w:val="ListNumber"/>
        <w:spacing w:after="40"/>
      </w:pPr>
      <w:r>
        <w:t>Démarrer Streamlit et réaliser la recette.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3F5F7"/>
            <w:tcBorders>
              <w:top w:val="single" w:sz="4" w:color="D7DDE3"/>
              <w:bottom w:val="single" w:sz="4" w:color="D7DDE3"/>
              <w:left w:val="single" w:sz="4" w:color="D7DDE3"/>
              <w:right w:val="single" w:sz="4" w:color="D7DDE3"/>
            </w:tcBorders>
          </w:tcPr>
          <w:p>
            <w:pPr>
              <w:pStyle w:val="CodeBlock"/>
            </w:pPr>
            <w:r>
              <w:t>python -m venv .venv</w:t>
              <w:br/>
              <w:t># Windows: .venv\Scripts\activate</w:t>
              <w:br/>
              <w:t># Ubuntu: source .venv/bin/activate</w:t>
              <w:br/>
              <w:t>python -m pip install --upgrade pip</w:t>
              <w:br/>
              <w:t>pip install -r requirements.lock</w:t>
              <w:br/>
              <w:t>streamlit run app.py</w:t>
            </w:r>
          </w:p>
        </w:tc>
      </w:tr>
    </w:tbl>
    <w:p>
      <w:pPr>
        <w:spacing w:after="0"/>
      </w:pPr>
    </w:p>
    <w:p>
      <w:pPr>
        <w:pStyle w:val="Heading2"/>
      </w:pPr>
      <w:r>
        <w:t>4.2 Ubuntu service</w:t>
      </w:r>
    </w:p>
    <w:p>
      <w:pPr>
        <w:pStyle w:val="ListBullet"/>
        <w:spacing w:after="40"/>
      </w:pPr>
      <w:r>
        <w:t>Utilisateur système dédié, sans shell privilégié.</w:t>
      </w:r>
    </w:p>
    <w:p>
      <w:pPr>
        <w:pStyle w:val="ListBullet"/>
        <w:spacing w:after="40"/>
      </w:pPr>
      <w:r>
        <w:t>Répertoire applicatif distinct des données.</w:t>
      </w:r>
    </w:p>
    <w:p>
      <w:pPr>
        <w:pStyle w:val="ListBullet"/>
        <w:spacing w:after="40"/>
      </w:pPr>
      <w:r>
        <w:t>Service systemd avec restart contrôlé.</w:t>
      </w:r>
    </w:p>
    <w:p>
      <w:pPr>
        <w:pStyle w:val="ListBullet"/>
        <w:spacing w:after="40"/>
      </w:pPr>
      <w:r>
        <w:t>Journalisation centralisée ou journald.</w:t>
      </w:r>
    </w:p>
    <w:p>
      <w:pPr>
        <w:pStyle w:val="ListBullet"/>
        <w:spacing w:after="40"/>
      </w:pPr>
      <w:r>
        <w:t>Reverse proxy Nginx/Caddy avec certificat TLS.</w:t>
      </w:r>
    </w:p>
    <w:p>
      <w:r>
        <w:br w:type="page"/>
      </w:r>
    </w:p>
    <w:p>
      <w:pPr>
        <w:pStyle w:val="Heading1"/>
      </w:pPr>
      <w:r>
        <w:t>5. Conteneurisation et packaging</w:t>
      </w:r>
    </w:p>
    <w:p>
      <w:pPr>
        <w:spacing w:after="140"/>
        <w:pBdr>
          <w:bottom w:val="single" w:sz="8" w:color="2A8BB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0"/>
        <w:gridCol w:w="3370"/>
        <w:gridCol w:w="3370"/>
      </w:tblGrid>
      <w:tr>
        <w:tc>
          <w:tcPr>
            <w:tcW w:type="dxa" w:w="2304"/>
            <w:shd w:fill="153B5B"/>
          </w:tcPr>
          <w:p>
            <w:r>
              <w:rPr>
                <w:b/>
                <w:color w:val="FFFFFF"/>
                <w:sz w:val="16"/>
              </w:rPr>
              <w:t>Artefact</w:t>
            </w:r>
          </w:p>
        </w:tc>
        <w:tc>
          <w:tcPr>
            <w:tcW w:type="dxa" w:w="3888"/>
            <w:shd w:fill="153B5B"/>
          </w:tcPr>
          <w:p>
            <w:r>
              <w:rPr>
                <w:b/>
                <w:color w:val="FFFFFF"/>
                <w:sz w:val="16"/>
              </w:rPr>
              <w:t>Contenu</w:t>
            </w:r>
          </w:p>
        </w:tc>
        <w:tc>
          <w:tcPr>
            <w:tcW w:type="dxa" w:w="3456"/>
            <w:shd w:fill="153B5B"/>
          </w:tcPr>
          <w:p>
            <w:r>
              <w:rPr>
                <w:b/>
                <w:color w:val="FFFFFF"/>
                <w:sz w:val="16"/>
              </w:rPr>
              <w:t>Exclusion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Image applicative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Code, dépendances, assets statiques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Secrets et base PROD</w:t>
            </w:r>
          </w:p>
        </w:tc>
      </w:tr>
      <w:tr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Volume données</w:t>
            </w:r>
          </w:p>
        </w:tc>
        <w:tc>
          <w:tcPr>
            <w:tcW w:type="dxa" w:w="388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DuckDB, fichiers nécessaires</w:t>
            </w:r>
          </w:p>
        </w:tc>
        <w:tc>
          <w:tcPr>
            <w:tcW w:type="dxa" w:w="34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Code source mutable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Bundle release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Manifest, migrations, changelog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Données utilisateur</w:t>
            </w:r>
          </w:p>
        </w:tc>
      </w:tr>
      <w:tr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SBOM</w:t>
            </w:r>
          </w:p>
        </w:tc>
        <w:tc>
          <w:tcPr>
            <w:tcW w:type="dxa" w:w="388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Dépendances et licences</w:t>
            </w:r>
          </w:p>
        </w:tc>
        <w:tc>
          <w:tcPr>
            <w:tcW w:type="dxa" w:w="34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Secrets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3F5F7"/>
            <w:tcBorders>
              <w:top w:val="single" w:sz="4" w:color="D7DDE3"/>
              <w:bottom w:val="single" w:sz="4" w:color="D7DDE3"/>
              <w:left w:val="single" w:sz="4" w:color="D7DDE3"/>
              <w:right w:val="single" w:sz="4" w:color="D7DDE3"/>
            </w:tcBorders>
          </w:tcPr>
          <w:p>
            <w:pPr>
              <w:pStyle w:val="CodeBlock"/>
            </w:pPr>
            <w:r>
              <w:t>docker build -t learning-coach-ai:1.0.0 .</w:t>
              <w:br/>
              <w:t>docker compose --env-file .env.prod up -d</w:t>
              <w:br/>
              <w:t>docker compose logs -f app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Image minimale, utilisateur non root, healthcheck et versions figées.</w:t>
      </w:r>
    </w:p>
    <w:p>
      <w:pPr>
        <w:pStyle w:val="ListBullet"/>
        <w:spacing w:after="40"/>
      </w:pPr>
      <w:r>
        <w:t>Aucun téléchargement de dépendance au démarrage en production.</w:t>
      </w:r>
    </w:p>
    <w:p>
      <w:pPr>
        <w:pStyle w:val="ListBullet"/>
        <w:spacing w:after="40"/>
      </w:pPr>
      <w:r>
        <w:t>Le tag latest ne constitue jamais une preuve de version.</w:t>
      </w:r>
    </w:p>
    <w:p>
      <w:pPr>
        <w:pStyle w:val="ListBullet"/>
        <w:spacing w:after="40"/>
      </w:pPr>
      <w:r>
        <w:t>Le manifeste de release associe commit, image, migrations et configuration.</w:t>
      </w:r>
    </w:p>
    <w:p>
      <w:r>
        <w:br w:type="page"/>
      </w:r>
    </w:p>
    <w:p>
      <w:pPr>
        <w:pStyle w:val="Heading1"/>
      </w:pPr>
      <w:r>
        <w:t>6. Stratégie Git et gestion des versions</w:t>
      </w:r>
    </w:p>
    <w:p>
      <w:pPr>
        <w:spacing w:after="140"/>
        <w:pBdr>
          <w:bottom w:val="single" w:sz="8" w:color="2A8BB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2592"/>
            <w:shd w:fill="153B5B"/>
          </w:tcPr>
          <w:p>
            <w:r>
              <w:rPr>
                <w:b/>
                <w:color w:val="FFFFFF"/>
                <w:sz w:val="16"/>
              </w:rPr>
              <w:t>Branche</w:t>
            </w:r>
          </w:p>
        </w:tc>
        <w:tc>
          <w:tcPr>
            <w:tcW w:type="dxa" w:w="7056"/>
            <w:shd w:fill="153B5B"/>
          </w:tcPr>
          <w:p>
            <w:r>
              <w:rPr>
                <w:b/>
                <w:color w:val="FFFFFF"/>
                <w:sz w:val="16"/>
              </w:rPr>
              <w:t>Usage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main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État publiable et protégé</w:t>
            </w:r>
          </w:p>
        </w:tc>
      </w:tr>
      <w:tr>
        <w:tc>
          <w:tcPr>
            <w:tcW w:type="dxa" w:w="259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develop</w:t>
            </w:r>
          </w:p>
        </w:tc>
        <w:tc>
          <w:tcPr>
            <w:tcW w:type="dxa" w:w="70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Intégration de la prochaine version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feature/LCAI-xxxx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Développement isolé</w:t>
            </w:r>
          </w:p>
        </w:tc>
      </w:tr>
      <w:tr>
        <w:tc>
          <w:tcPr>
            <w:tcW w:type="dxa" w:w="259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release/x.y.z</w:t>
            </w:r>
          </w:p>
        </w:tc>
        <w:tc>
          <w:tcPr>
            <w:tcW w:type="dxa" w:w="70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Stabilisation optionnelle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hotfix/x.y.z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Correction urgente depuis production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Un ticket LCAI par objectif cohérent.</w:t>
      </w:r>
    </w:p>
    <w:p>
      <w:pPr>
        <w:pStyle w:val="ListBullet"/>
        <w:spacing w:after="40"/>
      </w:pPr>
      <w:r>
        <w:t>Commits atomiques et message explicite.</w:t>
      </w:r>
    </w:p>
    <w:p>
      <w:pPr>
        <w:pStyle w:val="ListBullet"/>
        <w:spacing w:after="40"/>
      </w:pPr>
      <w:r>
        <w:t>Pull Request avec contexte, impacts, tests et migration.</w:t>
      </w:r>
    </w:p>
    <w:p>
      <w:pPr>
        <w:pStyle w:val="ListBullet"/>
        <w:spacing w:after="40"/>
      </w:pPr>
      <w:r>
        <w:t>Revue obligatoire pour sécurité, données et IA.</w:t>
      </w:r>
    </w:p>
    <w:p>
      <w:pPr>
        <w:pStyle w:val="ListBullet"/>
        <w:spacing w:after="40"/>
      </w:pPr>
      <w:r>
        <w:t>Tags de version annotés.</w:t>
      </w:r>
    </w:p>
    <w:p>
      <w:pPr>
        <w:pStyle w:val="ListBullet"/>
        <w:spacing w:after="40"/>
      </w:pPr>
      <w:r>
        <w:t>Le commit/push reste soumis à la validation explicite de Francis lorsqu’elle est demandée.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3F5F7"/>
            <w:tcBorders>
              <w:top w:val="single" w:sz="4" w:color="D7DDE3"/>
              <w:bottom w:val="single" w:sz="4" w:color="D7DDE3"/>
              <w:left w:val="single" w:sz="4" w:color="D7DDE3"/>
              <w:right w:val="single" w:sz="4" w:color="D7DDE3"/>
            </w:tcBorders>
          </w:tcPr>
          <w:p>
            <w:pPr>
              <w:pStyle w:val="CodeBlock"/>
            </w:pPr>
            <w:r>
              <w:t>feat(content): add coverage eligibility report [LCAI-0018]</w:t>
              <w:br/>
              <w:t>fix(auth): prevent duplicate reset forms [LCAI-xxxx]</w:t>
              <w:br/>
              <w:t>chore(release): prepare 1.0.0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CI/CD et quality gates</w:t>
      </w:r>
    </w:p>
    <w:p>
      <w:pPr>
        <w:spacing w:after="140"/>
        <w:pBdr>
          <w:bottom w:val="single" w:sz="8" w:color="2A8BB8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3F5F7"/>
            <w:tcBorders>
              <w:top w:val="single" w:sz="4" w:color="D7DDE3"/>
              <w:bottom w:val="single" w:sz="4" w:color="D7DDE3"/>
              <w:left w:val="single" w:sz="4" w:color="D7DDE3"/>
              <w:right w:val="single" w:sz="4" w:color="D7DDE3"/>
            </w:tcBorders>
          </w:tcPr>
          <w:p>
            <w:pPr>
              <w:pStyle w:val="CodeBlock"/>
            </w:pPr>
            <w:r>
              <w:t>Checkout → Dependency audit → Ruff → Mypy → Pytest → Data tests → Build → Security scan → Package → Deploy TEST → Smoke tests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2448"/>
            <w:shd w:fill="153B5B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7200"/>
            <w:shd w:fill="153B5B"/>
          </w:tcPr>
          <w:p>
            <w:r>
              <w:rPr>
                <w:b/>
                <w:color w:val="FFFFFF"/>
                <w:sz w:val="16"/>
              </w:rPr>
              <w:t>Échec bloquant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Format/Lint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Erreur Ruff ou imports incohérents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Typing</w:t>
            </w:r>
          </w:p>
        </w:tc>
        <w:tc>
          <w:tcPr>
            <w:tcW w:type="dxa" w:w="72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Erreur Mypy sur périmètre défini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Tests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Régression ou test non déterministe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Migrations</w:t>
            </w:r>
          </w:p>
        </w:tc>
        <w:tc>
          <w:tcPr>
            <w:tcW w:type="dxa" w:w="72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Migration non idempotente ou destructive non approuvée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Security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Secret détecté, vulnérabilité critique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Data quality</w:t>
            </w:r>
          </w:p>
        </w:tc>
        <w:tc>
          <w:tcPr>
            <w:tcW w:type="dxa" w:w="72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Couverture ou intégrité sous le seuil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AI regression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Golden dataset sous le seuil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Packaging</w:t>
            </w:r>
          </w:p>
        </w:tc>
        <w:tc>
          <w:tcPr>
            <w:tcW w:type="dxa" w:w="72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Artefact non reproductible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AF3F8"/>
            <w:tcBorders>
              <w:top w:val="single" w:sz="8" w:color="1F5F8B"/>
              <w:bottom w:val="single" w:sz="8" w:color="1F5F8B"/>
              <w:left w:val="single" w:sz="8" w:color="1F5F8B"/>
              <w:right w:val="single" w:sz="8" w:color="1F5F8B"/>
            </w:tcBorders>
          </w:tcPr>
          <w:p>
            <w:r>
              <w:rPr>
                <w:b/>
                <w:color w:val="1F5F8B"/>
              </w:rPr>
              <w:t>Promotion en production</w:t>
            </w:r>
          </w:p>
          <w:p>
            <w:pPr>
              <w:pStyle w:val="Callout"/>
            </w:pPr>
            <w:r>
              <w:t>Le déploiement PROD doit être une promotion d’un artefact déjà testé, jamais une reconstruction différente.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Stratégie de tests globale</w:t>
      </w:r>
    </w:p>
    <w:p>
      <w:pPr>
        <w:spacing w:after="140"/>
        <w:pBdr>
          <w:bottom w:val="single" w:sz="8" w:color="2A8BB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2304"/>
            <w:shd w:fill="153B5B"/>
          </w:tcPr>
          <w:p>
            <w:r>
              <w:rPr>
                <w:b/>
                <w:color w:val="FFFFFF"/>
                <w:sz w:val="16"/>
              </w:rPr>
              <w:t>Niveau</w:t>
            </w:r>
          </w:p>
        </w:tc>
        <w:tc>
          <w:tcPr>
            <w:tcW w:type="dxa" w:w="7344"/>
            <w:shd w:fill="153B5B"/>
          </w:tcPr>
          <w:p>
            <w:r>
              <w:rPr>
                <w:b/>
                <w:color w:val="FFFFFF"/>
                <w:sz w:val="16"/>
              </w:rPr>
              <w:t>Exemples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Unitaires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Règles métier, scoring, validation, routing</w:t>
            </w:r>
          </w:p>
        </w:tc>
      </w:tr>
      <w:tr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Repositories</w:t>
            </w:r>
          </w:p>
        </w:tc>
        <w:tc>
          <w:tcPr>
            <w:tcW w:type="dxa" w:w="73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SQL DuckDB, transactions, filtres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Intégration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Services + base temporaire</w:t>
            </w:r>
          </w:p>
        </w:tc>
      </w:tr>
      <w:tr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Contract</w:t>
            </w:r>
          </w:p>
        </w:tc>
        <w:tc>
          <w:tcPr>
            <w:tcW w:type="dxa" w:w="73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DTO, fournisseurs LLM, importeurs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E2E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Parent crée un devoir, élève le réalise</w:t>
            </w:r>
          </w:p>
        </w:tc>
      </w:tr>
      <w:tr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Data quality</w:t>
            </w:r>
          </w:p>
        </w:tc>
        <w:tc>
          <w:tcPr>
            <w:tcW w:type="dxa" w:w="73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Contraintes, orphelins, couverture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IA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Golden prompts, grounding, safety</w:t>
            </w:r>
          </w:p>
        </w:tc>
      </w:tr>
      <w:tr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Performance</w:t>
            </w:r>
          </w:p>
        </w:tc>
        <w:tc>
          <w:tcPr>
            <w:tcW w:type="dxa" w:w="73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Temps de réponse et mémoire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Recovery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Sauvegarde et restauration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Chaque bug corrigé produit un test de non-régression.</w:t>
      </w:r>
    </w:p>
    <w:p>
      <w:pPr>
        <w:pStyle w:val="ListBullet"/>
        <w:spacing w:after="40"/>
      </w:pPr>
      <w:r>
        <w:t>Les tests utilisent une base temporaire ou fixture ; jamais la PROD.</w:t>
      </w:r>
    </w:p>
    <w:p>
      <w:pPr>
        <w:pStyle w:val="ListBullet"/>
        <w:spacing w:after="40"/>
      </w:pPr>
      <w:r>
        <w:t>Les dates, modèles et seeds sont stabilisés.</w:t>
      </w:r>
    </w:p>
    <w:p>
      <w:pPr>
        <w:pStyle w:val="ListBullet"/>
        <w:spacing w:after="40"/>
      </w:pPr>
      <w:r>
        <w:t>Les tests lents sont identifiés mais exécutés avant release.</w:t>
      </w:r>
    </w:p>
    <w:p>
      <w:pPr>
        <w:pStyle w:val="ListBullet"/>
        <w:spacing w:after="40"/>
      </w:pPr>
      <w:r>
        <w:t>Les tests E2E couvrent les parcours essentiels et les erreurs attendues.</w:t>
      </w:r>
    </w:p>
    <w:p>
      <w:r>
        <w:br w:type="page"/>
      </w:r>
    </w:p>
    <w:p>
      <w:pPr>
        <w:pStyle w:val="Heading1"/>
      </w:pPr>
      <w:r>
        <w:t>9. Performance et capacité</w:t>
      </w:r>
    </w:p>
    <w:p>
      <w:pPr>
        <w:spacing w:after="140"/>
        <w:pBdr>
          <w:bottom w:val="single" w:sz="8" w:color="2A8BB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0"/>
        <w:gridCol w:w="3370"/>
        <w:gridCol w:w="3370"/>
      </w:tblGrid>
      <w:tr>
        <w:tc>
          <w:tcPr>
            <w:tcW w:type="dxa" w:w="2448"/>
            <w:shd w:fill="153B5B"/>
          </w:tcPr>
          <w:p>
            <w:r>
              <w:rPr>
                <w:b/>
                <w:color w:val="FFFFFF"/>
                <w:sz w:val="16"/>
              </w:rPr>
              <w:t>Indicateur</w:t>
            </w:r>
          </w:p>
        </w:tc>
        <w:tc>
          <w:tcPr>
            <w:tcW w:type="dxa" w:w="3456"/>
            <w:shd w:fill="153B5B"/>
          </w:tcPr>
          <w:p>
            <w:r>
              <w:rPr>
                <w:b/>
                <w:color w:val="FFFFFF"/>
                <w:sz w:val="16"/>
              </w:rPr>
              <w:t>Objectif initial</w:t>
            </w:r>
          </w:p>
        </w:tc>
        <w:tc>
          <w:tcPr>
            <w:tcW w:type="dxa" w:w="3744"/>
            <w:shd w:fill="153B5B"/>
          </w:tcPr>
          <w:p>
            <w:r>
              <w:rPr>
                <w:b/>
                <w:color w:val="FFFFFF"/>
                <w:sz w:val="16"/>
              </w:rPr>
              <w:t>Mesure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Démarrage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Compatible avec usage local/serveur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Temps de boot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Navigation</w:t>
            </w:r>
          </w:p>
        </w:tc>
        <w:tc>
          <w:tcPr>
            <w:tcW w:type="dxa" w:w="34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Réponse interactive</w:t>
            </w:r>
          </w:p>
        </w:tc>
        <w:tc>
          <w:tcPr>
            <w:tcW w:type="dxa" w:w="37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P50/P95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Requête DuckDB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Sans scan inutile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profil SQL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Génération devoir</w:t>
            </w:r>
          </w:p>
        </w:tc>
        <w:tc>
          <w:tcPr>
            <w:tcW w:type="dxa" w:w="34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Résultat ou alternative</w:t>
            </w:r>
          </w:p>
        </w:tc>
        <w:tc>
          <w:tcPr>
            <w:tcW w:type="dxa" w:w="37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durée + pool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Appel LLM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Streaming ou retour contrôlé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latence/token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Mémoire</w:t>
            </w:r>
          </w:p>
        </w:tc>
        <w:tc>
          <w:tcPr>
            <w:tcW w:type="dxa" w:w="34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Stable sur session longue</w:t>
            </w:r>
          </w:p>
        </w:tc>
        <w:tc>
          <w:tcPr>
            <w:tcW w:type="dxa" w:w="37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RSS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Taille base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Croissance maîtrisée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volume/jour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Profiler avant d’optimiser.</w:t>
      </w:r>
    </w:p>
    <w:p>
      <w:pPr>
        <w:pStyle w:val="ListBullet"/>
        <w:spacing w:after="40"/>
      </w:pPr>
      <w:r>
        <w:t>Indexer selon les requêtes réellement observées.</w:t>
      </w:r>
    </w:p>
    <w:p>
      <w:pPr>
        <w:pStyle w:val="ListBullet"/>
        <w:spacing w:after="40"/>
      </w:pPr>
      <w:r>
        <w:t>Limiter les recalculs Streamlit et utiliser le cache avec clés explicites.</w:t>
      </w:r>
    </w:p>
    <w:p>
      <w:pPr>
        <w:pStyle w:val="ListBullet"/>
        <w:spacing w:after="40"/>
      </w:pPr>
      <w:r>
        <w:t>Paginer les tableaux volumineux.</w:t>
      </w:r>
    </w:p>
    <w:p>
      <w:pPr>
        <w:pStyle w:val="ListBullet"/>
        <w:spacing w:after="40"/>
      </w:pPr>
      <w:r>
        <w:t>Compresser les contextes LLM et définir des budgets de tokens.</w:t>
      </w:r>
    </w:p>
    <w:p>
      <w:pPr>
        <w:pStyle w:val="ListBullet"/>
        <w:spacing w:after="40"/>
      </w:pPr>
      <w:r>
        <w:t>Prévoir un test de charge correspondant au mode de déploiement.</w:t>
      </w:r>
    </w:p>
    <w:p>
      <w:r>
        <w:br w:type="page"/>
      </w:r>
    </w:p>
    <w:p>
      <w:pPr>
        <w:pStyle w:val="Heading1"/>
      </w:pPr>
      <w:r>
        <w:t>10. Sécurité applicative</w:t>
      </w:r>
    </w:p>
    <w:p>
      <w:pPr>
        <w:spacing w:after="140"/>
        <w:pBdr>
          <w:bottom w:val="single" w:sz="8" w:color="2A8BB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2448"/>
            <w:shd w:fill="153B5B"/>
          </w:tcPr>
          <w:p>
            <w:r>
              <w:rPr>
                <w:b/>
                <w:color w:val="FFFFFF"/>
                <w:sz w:val="16"/>
              </w:rPr>
              <w:t>Domaine</w:t>
            </w:r>
          </w:p>
        </w:tc>
        <w:tc>
          <w:tcPr>
            <w:tcW w:type="dxa" w:w="7200"/>
            <w:shd w:fill="153B5B"/>
          </w:tcPr>
          <w:p>
            <w:r>
              <w:rPr>
                <w:b/>
                <w:color w:val="FFFFFF"/>
                <w:sz w:val="16"/>
              </w:rPr>
              <w:t>Exigence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Authentification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Mots de passe hachés, reset à usage unique, durée limitée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Autorisation</w:t>
            </w:r>
          </w:p>
        </w:tc>
        <w:tc>
          <w:tcPr>
            <w:tcW w:type="dxa" w:w="72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RBAC Parent/Élève/Admin ; contrôle côté service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Session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Expiration, rotation, invalidation et protection CSRF selon architecture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Entrées</w:t>
            </w:r>
          </w:p>
        </w:tc>
        <w:tc>
          <w:tcPr>
            <w:tcW w:type="dxa" w:w="72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Validation stricte, taille maximale, types autorisés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Fichiers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Nom aléatoire, antivirus si nécessaire, hors webroot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Secrets</w:t>
            </w:r>
          </w:p>
        </w:tc>
        <w:tc>
          <w:tcPr>
            <w:tcW w:type="dxa" w:w="72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Vault ou variables protégées, rotation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Dépendances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Versions verrouillées et scan régulier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Logs</w:t>
            </w:r>
          </w:p>
        </w:tc>
        <w:tc>
          <w:tcPr>
            <w:tcW w:type="dxa" w:w="72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Pas de secret ni donnée sensible inutile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Headers/TLS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HTTPS obligatoire et en-têtes adaptés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SQL</w:t>
            </w:r>
          </w:p>
        </w:tc>
        <w:tc>
          <w:tcPr>
            <w:tcW w:type="dxa" w:w="72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Paramétrage, aucune concaténation non maîtrisée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CECEC"/>
            <w:tcBorders>
              <w:top w:val="single" w:sz="8" w:color="B83232"/>
              <w:bottom w:val="single" w:sz="8" w:color="B83232"/>
              <w:left w:val="single" w:sz="8" w:color="B83232"/>
              <w:right w:val="single" w:sz="8" w:color="B83232"/>
            </w:tcBorders>
          </w:tcPr>
          <w:p>
            <w:r>
              <w:rPr>
                <w:b/>
                <w:color w:val="B83232"/>
              </w:rPr>
              <w:t>Contrôle d’accès</w:t>
            </w:r>
          </w:p>
          <w:p>
            <w:pPr>
              <w:pStyle w:val="Callout"/>
            </w:pPr>
            <w:r>
              <w:t>Masquer un bouton ne constitue pas une autorisation. Chaque use case vérifie l’identité, le rôle et la relation parent-enfant côté service.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Protection des mineurs et RGPD</w:t>
      </w:r>
    </w:p>
    <w:p>
      <w:pPr>
        <w:spacing w:after="140"/>
        <w:pBdr>
          <w:bottom w:val="single" w:sz="8" w:color="2A8BB8"/>
        </w:pBdr>
      </w:pPr>
    </w:p>
    <w:p>
      <w:pPr>
        <w:pStyle w:val="ListBullet"/>
        <w:spacing w:after="40"/>
      </w:pPr>
      <w:r>
        <w:t>Minimisation des données : ne collecter que ce qui est nécessaire à l’apprentissage.</w:t>
      </w:r>
    </w:p>
    <w:p>
      <w:pPr>
        <w:pStyle w:val="ListBullet"/>
        <w:spacing w:after="40"/>
      </w:pPr>
      <w:r>
        <w:t>Information compréhensible pour le parent et adaptée à l’enfant.</w:t>
      </w:r>
    </w:p>
    <w:p>
      <w:pPr>
        <w:pStyle w:val="ListBullet"/>
        <w:spacing w:after="40"/>
      </w:pPr>
      <w:r>
        <w:t>Durées de conservation définies par catégorie.</w:t>
      </w:r>
    </w:p>
    <w:p>
      <w:pPr>
        <w:pStyle w:val="ListBullet"/>
        <w:spacing w:after="40"/>
      </w:pPr>
      <w:r>
        <w:t>Droits d’accès, rectification, export et suppression orchestrés.</w:t>
      </w:r>
    </w:p>
    <w:p>
      <w:pPr>
        <w:pStyle w:val="ListBullet"/>
        <w:spacing w:after="40"/>
      </w:pPr>
      <w:r>
        <w:t>Séparation entre données d’identité, progression et logs techniques lorsque possible.</w:t>
      </w:r>
    </w:p>
    <w:p>
      <w:pPr>
        <w:pStyle w:val="ListBullet"/>
        <w:spacing w:after="40"/>
      </w:pPr>
      <w:r>
        <w:t>Aucun profilage sensible ou diagnostic médical implicite.</w:t>
      </w:r>
    </w:p>
    <w:p>
      <w:pPr>
        <w:pStyle w:val="ListBullet"/>
        <w:spacing w:after="40"/>
      </w:pPr>
      <w:r>
        <w:t>Les réponses IA évitent la manipulation, la dépendance et les échanges inappropriés.</w:t>
      </w:r>
    </w:p>
    <w:p>
      <w:pPr>
        <w:pStyle w:val="ListBullet"/>
        <w:spacing w:after="40"/>
      </w:pPr>
      <w:r>
        <w:t>Les traitements externes LLM sont documentés et limités.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2592"/>
            <w:shd w:fill="153B5B"/>
          </w:tcPr>
          <w:p>
            <w:r>
              <w:rPr>
                <w:b/>
                <w:color w:val="FFFFFF"/>
                <w:sz w:val="16"/>
              </w:rPr>
              <w:t>Donnée</w:t>
            </w:r>
          </w:p>
        </w:tc>
        <w:tc>
          <w:tcPr>
            <w:tcW w:type="dxa" w:w="7056"/>
            <w:shd w:fill="153B5B"/>
          </w:tcPr>
          <w:p>
            <w:r>
              <w:rPr>
                <w:b/>
                <w:color w:val="FFFFFF"/>
                <w:sz w:val="16"/>
              </w:rPr>
              <w:t>Exemple de conservation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Compte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Tant que le service est actif + délai légal</w:t>
            </w:r>
          </w:p>
        </w:tc>
      </w:tr>
      <w:tr>
        <w:tc>
          <w:tcPr>
            <w:tcW w:type="dxa" w:w="259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Progression</w:t>
            </w:r>
          </w:p>
        </w:tc>
        <w:tc>
          <w:tcPr>
            <w:tcW w:type="dxa" w:w="70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Durée utile et paramétrable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Conversations IA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Durée courte ou opt-in explicite</w:t>
            </w:r>
          </w:p>
        </w:tc>
      </w:tr>
      <w:tr>
        <w:tc>
          <w:tcPr>
            <w:tcW w:type="dxa" w:w="259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Logs sécurité</w:t>
            </w:r>
          </w:p>
        </w:tc>
        <w:tc>
          <w:tcPr>
            <w:tcW w:type="dxa" w:w="70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Durée proportionnée à l’investigation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Sauvegardes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Cycle défini avec expiration</w:t>
            </w:r>
          </w:p>
        </w:tc>
      </w:tr>
      <w:tr>
        <w:tc>
          <w:tcPr>
            <w:tcW w:type="dxa" w:w="259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Exports</w:t>
            </w:r>
          </w:p>
        </w:tc>
        <w:tc>
          <w:tcPr>
            <w:tcW w:type="dxa" w:w="70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Suppression automatique après téléchargement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FF6E5"/>
            <w:tcBorders>
              <w:top w:val="single" w:sz="8" w:color="B7791F"/>
              <w:bottom w:val="single" w:sz="8" w:color="B7791F"/>
              <w:left w:val="single" w:sz="8" w:color="B7791F"/>
              <w:right w:val="single" w:sz="8" w:color="B7791F"/>
            </w:tcBorders>
          </w:tcPr>
          <w:p>
            <w:r>
              <w:rPr>
                <w:b/>
                <w:color w:val="B7791F"/>
              </w:rPr>
              <w:t>Validation juridique</w:t>
            </w:r>
          </w:p>
          <w:p>
            <w:pPr>
              <w:pStyle w:val="Callout"/>
            </w:pPr>
            <w:r>
              <w:t>Les durées exactes, bases légales et clauses fournisseurs doivent être validées dans le contexte réel de commercialisation.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Sauvegarde, restauration et continuité</w:t>
      </w:r>
    </w:p>
    <w:p>
      <w:pPr>
        <w:spacing w:after="140"/>
        <w:pBdr>
          <w:bottom w:val="single" w:sz="8" w:color="2A8BB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2448"/>
            <w:shd w:fill="153B5B"/>
          </w:tcPr>
          <w:p>
            <w:r>
              <w:rPr>
                <w:b/>
                <w:color w:val="FFFFFF"/>
                <w:sz w:val="16"/>
              </w:rPr>
              <w:t>Objet</w:t>
            </w:r>
          </w:p>
        </w:tc>
        <w:tc>
          <w:tcPr>
            <w:tcW w:type="dxa" w:w="2304"/>
            <w:shd w:fill="153B5B"/>
          </w:tcPr>
          <w:p>
            <w:r>
              <w:rPr>
                <w:b/>
                <w:color w:val="FFFFFF"/>
                <w:sz w:val="16"/>
              </w:rPr>
              <w:t>Fréquence indicative</w:t>
            </w:r>
          </w:p>
        </w:tc>
        <w:tc>
          <w:tcPr>
            <w:tcW w:type="dxa" w:w="2304"/>
            <w:shd w:fill="153B5B"/>
          </w:tcPr>
          <w:p>
            <w:r>
              <w:rPr>
                <w:b/>
                <w:color w:val="FFFFFF"/>
                <w:sz w:val="16"/>
              </w:rPr>
              <w:t>Rétention</w:t>
            </w:r>
          </w:p>
        </w:tc>
        <w:tc>
          <w:tcPr>
            <w:tcW w:type="dxa" w:w="2448"/>
            <w:shd w:fill="153B5B"/>
          </w:tcPr>
          <w:p>
            <w:r>
              <w:rPr>
                <w:b/>
                <w:color w:val="FFFFFF"/>
                <w:sz w:val="16"/>
              </w:rPr>
              <w:t>Test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DuckDB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Quotidienne + avant migration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Rotation définie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Restauration mensuelle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Configuration</w:t>
            </w:r>
          </w:p>
        </w:tc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À chaque release</w:t>
            </w:r>
          </w:p>
        </w:tc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Historique Git</w:t>
            </w:r>
          </w:p>
        </w:tc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Validation pipeline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Fichiers utilisateurs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Selon criticité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Cycle aligné RGPD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Échantillon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Secrets</w:t>
            </w:r>
          </w:p>
        </w:tc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Sauvegarde sécurisée</w:t>
            </w:r>
          </w:p>
        </w:tc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Selon coffre</w:t>
            </w:r>
          </w:p>
        </w:tc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Procédure de récupération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Rapports critiques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À chaque campagne/release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Selon gouvernance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Contrôle hash</w:t>
            </w:r>
          </w:p>
        </w:tc>
      </w:tr>
    </w:tbl>
    <w:p>
      <w:pPr>
        <w:spacing w:after="0"/>
      </w:pPr>
    </w:p>
    <w:p>
      <w:pPr>
        <w:pStyle w:val="ListNumber"/>
        <w:spacing w:after="40"/>
      </w:pPr>
      <w:r>
        <w:t>Placer l’application en mode maintenance si nécessaire.</w:t>
      </w:r>
    </w:p>
    <w:p>
      <w:pPr>
        <w:pStyle w:val="ListNumber"/>
        <w:spacing w:after="40"/>
      </w:pPr>
      <w:r>
        <w:t>Vérifier l’intégrité de la source de sauvegarde.</w:t>
      </w:r>
    </w:p>
    <w:p>
      <w:pPr>
        <w:pStyle w:val="ListNumber"/>
        <w:spacing w:after="40"/>
      </w:pPr>
      <w:r>
        <w:t>Restaurer dans un emplacement isolé.</w:t>
      </w:r>
    </w:p>
    <w:p>
      <w:pPr>
        <w:pStyle w:val="ListNumber"/>
        <w:spacing w:after="40"/>
      </w:pPr>
      <w:r>
        <w:t>Exécuter migrations uniquement si prévues.</w:t>
      </w:r>
    </w:p>
    <w:p>
      <w:pPr>
        <w:pStyle w:val="ListNumber"/>
        <w:spacing w:after="40"/>
      </w:pPr>
      <w:r>
        <w:t>Lancer contrôles d’intégrité et smoke tests.</w:t>
      </w:r>
    </w:p>
    <w:p>
      <w:pPr>
        <w:pStyle w:val="ListNumber"/>
        <w:spacing w:after="40"/>
      </w:pPr>
      <w:r>
        <w:t>Basculer le service.</w:t>
      </w:r>
    </w:p>
    <w:p>
      <w:pPr>
        <w:pStyle w:val="ListNumber"/>
        <w:spacing w:after="40"/>
      </w:pPr>
      <w:r>
        <w:t>Documenter RPO, RTO, durée réelle et écarts.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CECEC"/>
            <w:tcBorders>
              <w:top w:val="single" w:sz="8" w:color="B83232"/>
              <w:bottom w:val="single" w:sz="8" w:color="B83232"/>
              <w:left w:val="single" w:sz="8" w:color="B83232"/>
              <w:right w:val="single" w:sz="8" w:color="B83232"/>
            </w:tcBorders>
          </w:tcPr>
          <w:p>
            <w:r>
              <w:rPr>
                <w:b/>
                <w:color w:val="B83232"/>
              </w:rPr>
              <w:t>Sauvegarde testée</w:t>
            </w:r>
          </w:p>
          <w:p>
            <w:pPr>
              <w:pStyle w:val="Callout"/>
            </w:pPr>
            <w:r>
              <w:t>Une sauvegarde jamais restaurée est une hypothèse, pas une protection.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Observabilité et monitoring</w:t>
      </w:r>
    </w:p>
    <w:p>
      <w:pPr>
        <w:spacing w:after="140"/>
        <w:pBdr>
          <w:bottom w:val="single" w:sz="8" w:color="2A8BB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2304"/>
            <w:shd w:fill="153B5B"/>
          </w:tcPr>
          <w:p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7344"/>
            <w:shd w:fill="153B5B"/>
          </w:tcPr>
          <w:p>
            <w:r>
              <w:rPr>
                <w:b/>
                <w:color w:val="FFFFFF"/>
                <w:sz w:val="16"/>
              </w:rPr>
              <w:t>Exemples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Santé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process, base accessible, fournisseur IA</w:t>
            </w:r>
          </w:p>
        </w:tc>
      </w:tr>
      <w:tr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Disponibilité</w:t>
            </w:r>
          </w:p>
        </w:tc>
        <w:tc>
          <w:tcPr>
            <w:tcW w:type="dxa" w:w="73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succès des parcours clés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Performance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latence P50/P95/P99, mémoire</w:t>
            </w:r>
          </w:p>
        </w:tc>
      </w:tr>
      <w:tr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Erreurs</w:t>
            </w:r>
          </w:p>
        </w:tc>
        <w:tc>
          <w:tcPr>
            <w:tcW w:type="dxa" w:w="73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exceptions par use case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Sécurité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échecs login, resets, accès refusés</w:t>
            </w:r>
          </w:p>
        </w:tc>
      </w:tr>
      <w:tr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Données</w:t>
            </w:r>
          </w:p>
        </w:tc>
        <w:tc>
          <w:tcPr>
            <w:tcW w:type="dxa" w:w="73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échec migration, intégrité, taille base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Pédagogie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devoirs vides évités, couverture</w:t>
            </w:r>
          </w:p>
        </w:tc>
      </w:tr>
      <w:tr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IA</w:t>
            </w:r>
          </w:p>
        </w:tc>
        <w:tc>
          <w:tcPr>
            <w:tcW w:type="dxa" w:w="73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latence, tokens, coûts, refus, grounding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3F5F7"/>
            <w:tcBorders>
              <w:top w:val="single" w:sz="4" w:color="D7DDE3"/>
              <w:bottom w:val="single" w:sz="4" w:color="D7DDE3"/>
              <w:left w:val="single" w:sz="4" w:color="D7DDE3"/>
              <w:right w:val="single" w:sz="4" w:color="D7DDE3"/>
            </w:tcBorders>
          </w:tcPr>
          <w:p>
            <w:pPr>
              <w:pStyle w:val="CodeBlock"/>
            </w:pPr>
            <w:r>
              <w:t>timestamp | level | environment | release | trace_id | user_technical_id | use_case | duration_ms | outcome | error_code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Un trace_id relie UI, service, repository et appel LLM.</w:t>
      </w:r>
    </w:p>
    <w:p>
      <w:pPr>
        <w:pStyle w:val="ListBullet"/>
        <w:spacing w:after="40"/>
      </w:pPr>
      <w:r>
        <w:t>Les tableaux de bord distinguent erreurs techniques et indisponibilités de contenu.</w:t>
      </w:r>
    </w:p>
    <w:p>
      <w:pPr>
        <w:pStyle w:val="ListBullet"/>
        <w:spacing w:after="40"/>
      </w:pPr>
      <w:r>
        <w:t>Les alertes doivent être actionnables et posséder un runbook.</w:t>
      </w:r>
    </w:p>
    <w:p>
      <w:pPr>
        <w:pStyle w:val="ListBullet"/>
        <w:spacing w:after="40"/>
      </w:pPr>
      <w:r>
        <w:t>Les métriques utilisateurs sont agrégées et minimisées.</w:t>
      </w:r>
    </w:p>
    <w:p>
      <w:r>
        <w:br w:type="page"/>
      </w:r>
    </w:p>
    <w:p>
      <w:pPr>
        <w:pStyle w:val="Heading1"/>
      </w:pPr>
      <w:r>
        <w:t>14. Exploitation et gestion des incidents</w:t>
      </w:r>
    </w:p>
    <w:p>
      <w:pPr>
        <w:spacing w:after="140"/>
        <w:pBdr>
          <w:bottom w:val="single" w:sz="8" w:color="2A8BB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0"/>
        <w:gridCol w:w="3370"/>
        <w:gridCol w:w="3370"/>
      </w:tblGrid>
      <w:tr>
        <w:tc>
          <w:tcPr>
            <w:tcW w:type="dxa" w:w="1440"/>
            <w:shd w:fill="153B5B"/>
          </w:tcPr>
          <w:p>
            <w:r>
              <w:rPr>
                <w:b/>
                <w:color w:val="FFFFFF"/>
                <w:sz w:val="16"/>
              </w:rPr>
              <w:t>Sévérité</w:t>
            </w:r>
          </w:p>
        </w:tc>
        <w:tc>
          <w:tcPr>
            <w:tcW w:type="dxa" w:w="4608"/>
            <w:shd w:fill="153B5B"/>
          </w:tcPr>
          <w:p>
            <w:r>
              <w:rPr>
                <w:b/>
                <w:color w:val="FFFFFF"/>
                <w:sz w:val="16"/>
              </w:rPr>
              <w:t>Définition</w:t>
            </w:r>
          </w:p>
        </w:tc>
        <w:tc>
          <w:tcPr>
            <w:tcW w:type="dxa" w:w="3600"/>
            <w:shd w:fill="153B5B"/>
          </w:tcPr>
          <w:p>
            <w:r>
              <w:rPr>
                <w:b/>
                <w:color w:val="FFFFFF"/>
                <w:sz w:val="16"/>
              </w:rPr>
              <w:t>Réponse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SEV1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Service indisponible ou risque majeur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Action immédiate, communication, rollback</w:t>
            </w:r>
          </w:p>
        </w:tc>
      </w:tr>
      <w:tr>
        <w:tc>
          <w:tcPr>
            <w:tcW w:type="dxa" w:w="144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SEV2</w:t>
            </w:r>
          </w:p>
        </w:tc>
        <w:tc>
          <w:tcPr>
            <w:tcW w:type="dxa" w:w="460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Fonction essentielle fortement dégradée</w:t>
            </w:r>
          </w:p>
        </w:tc>
        <w:tc>
          <w:tcPr>
            <w:tcW w:type="dxa" w:w="36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Priorité haute, contournement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SEV3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Défaut limité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Correction planifiée</w:t>
            </w:r>
          </w:p>
        </w:tc>
      </w:tr>
      <w:tr>
        <w:tc>
          <w:tcPr>
            <w:tcW w:type="dxa" w:w="144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SEV4</w:t>
            </w:r>
          </w:p>
        </w:tc>
        <w:tc>
          <w:tcPr>
            <w:tcW w:type="dxa" w:w="460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Amélioration ou anomalie cosmétique</w:t>
            </w:r>
          </w:p>
        </w:tc>
        <w:tc>
          <w:tcPr>
            <w:tcW w:type="dxa" w:w="36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Backlog</w:t>
            </w:r>
          </w:p>
        </w:tc>
      </w:tr>
    </w:tbl>
    <w:p>
      <w:pPr>
        <w:spacing w:after="0"/>
      </w:pPr>
    </w:p>
    <w:p>
      <w:pPr>
        <w:pStyle w:val="ListNumber"/>
        <w:spacing w:after="40"/>
      </w:pPr>
      <w:r>
        <w:t>Détecter et qualifier.</w:t>
      </w:r>
    </w:p>
    <w:p>
      <w:pPr>
        <w:pStyle w:val="ListNumber"/>
        <w:spacing w:after="40"/>
      </w:pPr>
      <w:r>
        <w:t>Limiter l’impact.</w:t>
      </w:r>
    </w:p>
    <w:p>
      <w:pPr>
        <w:pStyle w:val="ListNumber"/>
        <w:spacing w:after="40"/>
      </w:pPr>
      <w:r>
        <w:t>Conserver les preuves et la chronologie.</w:t>
      </w:r>
    </w:p>
    <w:p>
      <w:pPr>
        <w:pStyle w:val="ListNumber"/>
        <w:spacing w:after="40"/>
      </w:pPr>
      <w:r>
        <w:t>Communiquer sans spéculation.</w:t>
      </w:r>
    </w:p>
    <w:p>
      <w:pPr>
        <w:pStyle w:val="ListNumber"/>
        <w:spacing w:after="40"/>
      </w:pPr>
      <w:r>
        <w:t>Corriger ou rollbacker.</w:t>
      </w:r>
    </w:p>
    <w:p>
      <w:pPr>
        <w:pStyle w:val="ListNumber"/>
        <w:spacing w:after="40"/>
      </w:pPr>
      <w:r>
        <w:t>Vérifier le retour à la normale.</w:t>
      </w:r>
    </w:p>
    <w:p>
      <w:pPr>
        <w:pStyle w:val="ListNumber"/>
        <w:spacing w:after="40"/>
      </w:pPr>
      <w:r>
        <w:t>Réaliser un post-mortem sans recherche de culpabilité.</w:t>
      </w:r>
    </w:p>
    <w:p>
      <w:pPr>
        <w:pStyle w:val="ListNumber"/>
        <w:spacing w:after="40"/>
      </w:pPr>
      <w:r>
        <w:t>Créer les actions et tests de prévention.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3F5F7"/>
            <w:tcBorders>
              <w:top w:val="single" w:sz="4" w:color="D7DDE3"/>
              <w:bottom w:val="single" w:sz="4" w:color="D7DDE3"/>
              <w:left w:val="single" w:sz="4" w:color="D7DDE3"/>
              <w:right w:val="single" w:sz="4" w:color="D7DDE3"/>
            </w:tcBorders>
          </w:tcPr>
          <w:p>
            <w:pPr>
              <w:pStyle w:val="CodeBlock"/>
            </w:pPr>
            <w:r>
              <w:t>INCIDENT ID | début | détection | impact | release | cause | mitigation | résolution | actions | propriétaires | échéances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Administration fonctionnelle</w:t>
      </w:r>
    </w:p>
    <w:p>
      <w:pPr>
        <w:spacing w:after="140"/>
        <w:pBdr>
          <w:bottom w:val="single" w:sz="8" w:color="2A8BB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2592"/>
            <w:shd w:fill="153B5B"/>
          </w:tcPr>
          <w:p>
            <w:r>
              <w:rPr>
                <w:b/>
                <w:color w:val="FFFFFF"/>
                <w:sz w:val="16"/>
              </w:rPr>
              <w:t>Fonction</w:t>
            </w:r>
          </w:p>
        </w:tc>
        <w:tc>
          <w:tcPr>
            <w:tcW w:type="dxa" w:w="7056"/>
            <w:shd w:fill="153B5B"/>
          </w:tcPr>
          <w:p>
            <w:r>
              <w:rPr>
                <w:b/>
                <w:color w:val="FFFFFF"/>
                <w:sz w:val="16"/>
              </w:rPr>
              <w:t>Contrôles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Création utilisateur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rôle, consentement, lien familial</w:t>
            </w:r>
          </w:p>
        </w:tc>
      </w:tr>
      <w:tr>
        <w:tc>
          <w:tcPr>
            <w:tcW w:type="dxa" w:w="259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Import élèves</w:t>
            </w:r>
          </w:p>
        </w:tc>
        <w:tc>
          <w:tcPr>
            <w:tcW w:type="dxa" w:w="70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dry-run, doublons, rapport, rollback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Gestion curriculum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version, validation, audit</w:t>
            </w:r>
          </w:p>
        </w:tc>
      </w:tr>
      <w:tr>
        <w:tc>
          <w:tcPr>
            <w:tcW w:type="dxa" w:w="259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Gestion contenus</w:t>
            </w:r>
          </w:p>
        </w:tc>
        <w:tc>
          <w:tcPr>
            <w:tcW w:type="dxa" w:w="70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Draft/Review/Approved/Archived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Campagnes IA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quotas, provenance, gates</w:t>
            </w:r>
          </w:p>
        </w:tc>
      </w:tr>
      <w:tr>
        <w:tc>
          <w:tcPr>
            <w:tcW w:type="dxa" w:w="259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Feature flags</w:t>
            </w:r>
          </w:p>
        </w:tc>
        <w:tc>
          <w:tcPr>
            <w:tcW w:type="dxa" w:w="70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portée, propriétaire, expiration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Exports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autorisation, traçabilité, expiration</w:t>
            </w:r>
          </w:p>
        </w:tc>
      </w:tr>
      <w:tr>
        <w:tc>
          <w:tcPr>
            <w:tcW w:type="dxa" w:w="259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Suppression</w:t>
            </w:r>
          </w:p>
        </w:tc>
        <w:tc>
          <w:tcPr>
            <w:tcW w:type="dxa" w:w="70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impacts, confirmation, audit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Les actions irréversibles exigent confirmation renforcée.</w:t>
      </w:r>
    </w:p>
    <w:p>
      <w:pPr>
        <w:pStyle w:val="ListBullet"/>
        <w:spacing w:after="40"/>
      </w:pPr>
      <w:r>
        <w:t>L’administration utilise les mêmes services métier que l’application.</w:t>
      </w:r>
    </w:p>
    <w:p>
      <w:pPr>
        <w:pStyle w:val="ListBullet"/>
        <w:spacing w:after="40"/>
      </w:pPr>
      <w:r>
        <w:t>Les imports massifs disposent d’un dry-run et d’un identifiant de lot.</w:t>
      </w:r>
    </w:p>
    <w:p>
      <w:pPr>
        <w:pStyle w:val="ListBullet"/>
        <w:spacing w:after="40"/>
      </w:pPr>
      <w:r>
        <w:t>Les écrans d’administration affichent la version et l’environnement.</w:t>
      </w:r>
    </w:p>
    <w:p>
      <w:r>
        <w:br w:type="page"/>
      </w:r>
    </w:p>
    <w:p>
      <w:pPr>
        <w:pStyle w:val="Heading1"/>
      </w:pPr>
      <w:r>
        <w:t>16. Gouvernance technique et produit</w:t>
      </w:r>
    </w:p>
    <w:p>
      <w:pPr>
        <w:spacing w:after="140"/>
        <w:pBdr>
          <w:bottom w:val="single" w:sz="8" w:color="2A8BB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2592"/>
            <w:shd w:fill="153B5B"/>
          </w:tcPr>
          <w:p>
            <w:r>
              <w:rPr>
                <w:b/>
                <w:color w:val="FFFFFF"/>
                <w:sz w:val="16"/>
              </w:rPr>
              <w:t>Instance</w:t>
            </w:r>
          </w:p>
        </w:tc>
        <w:tc>
          <w:tcPr>
            <w:tcW w:type="dxa" w:w="7056"/>
            <w:shd w:fill="153B5B"/>
          </w:tcPr>
          <w:p>
            <w:r>
              <w:rPr>
                <w:b/>
                <w:color w:val="FFFFFF"/>
                <w:sz w:val="16"/>
              </w:rPr>
              <w:t>Mission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Comité produit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priorités, valeur et promesse utilisateur</w:t>
            </w:r>
          </w:p>
        </w:tc>
      </w:tr>
      <w:tr>
        <w:tc>
          <w:tcPr>
            <w:tcW w:type="dxa" w:w="259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Architecture</w:t>
            </w:r>
          </w:p>
        </w:tc>
        <w:tc>
          <w:tcPr>
            <w:tcW w:type="dxa" w:w="70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frontières, ADR, dette et décisions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Qualité pédagogique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curriculum, contenus et critères</w:t>
            </w:r>
          </w:p>
        </w:tc>
      </w:tr>
      <w:tr>
        <w:tc>
          <w:tcPr>
            <w:tcW w:type="dxa" w:w="259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Sécurité/RGPD</w:t>
            </w:r>
          </w:p>
        </w:tc>
        <w:tc>
          <w:tcPr>
            <w:tcW w:type="dxa" w:w="70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risques, droits, fournisseurs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Release board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go/no-go et rollback</w:t>
            </w:r>
          </w:p>
        </w:tc>
      </w:tr>
      <w:tr>
        <w:tc>
          <w:tcPr>
            <w:tcW w:type="dxa" w:w="259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Exploitation</w:t>
            </w:r>
          </w:p>
        </w:tc>
        <w:tc>
          <w:tcPr>
            <w:tcW w:type="dxa" w:w="70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SLO, incidents, capacité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Les décisions structurantes sont consignées en ADR.</w:t>
      </w:r>
    </w:p>
    <w:p>
      <w:pPr>
        <w:pStyle w:val="ListBullet"/>
        <w:spacing w:after="40"/>
      </w:pPr>
      <w:r>
        <w:t>Les tickets définissent objectif, périmètre, hors périmètre, critères et preuves.</w:t>
      </w:r>
    </w:p>
    <w:p>
      <w:pPr>
        <w:pStyle w:val="ListBullet"/>
        <w:spacing w:after="40"/>
      </w:pPr>
      <w:r>
        <w:t>La documentation évolue avec le code.</w:t>
      </w:r>
    </w:p>
    <w:p>
      <w:pPr>
        <w:pStyle w:val="ListBullet"/>
        <w:spacing w:after="40"/>
      </w:pPr>
      <w:r>
        <w:t>Chaque release possède un propriétaire.</w:t>
      </w:r>
    </w:p>
    <w:p>
      <w:pPr>
        <w:pStyle w:val="ListBullet"/>
        <w:spacing w:after="40"/>
      </w:pPr>
      <w:r>
        <w:t>Une exception temporaire possède une échéance et un plan de sortie.</w:t>
      </w:r>
    </w:p>
    <w:p>
      <w:r>
        <w:br w:type="page"/>
      </w:r>
    </w:p>
    <w:p>
      <w:pPr>
        <w:pStyle w:val="Heading1"/>
      </w:pPr>
      <w:r>
        <w:t>17. Gestion de la dette technique</w:t>
      </w:r>
    </w:p>
    <w:p>
      <w:pPr>
        <w:spacing w:after="140"/>
        <w:pBdr>
          <w:bottom w:val="single" w:sz="8" w:color="2A8BB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0"/>
        <w:gridCol w:w="3370"/>
        <w:gridCol w:w="3370"/>
      </w:tblGrid>
      <w:tr>
        <w:tc>
          <w:tcPr>
            <w:tcW w:type="dxa" w:w="1872"/>
            <w:shd w:fill="153B5B"/>
          </w:tcPr>
          <w:p>
            <w:r>
              <w:rPr>
                <w:b/>
                <w:color w:val="FFFFFF"/>
                <w:sz w:val="16"/>
              </w:rPr>
              <w:t>Catégorie</w:t>
            </w:r>
          </w:p>
        </w:tc>
        <w:tc>
          <w:tcPr>
            <w:tcW w:type="dxa" w:w="4320"/>
            <w:shd w:fill="153B5B"/>
          </w:tcPr>
          <w:p>
            <w:r>
              <w:rPr>
                <w:b/>
                <w:color w:val="FFFFFF"/>
                <w:sz w:val="16"/>
              </w:rPr>
              <w:t>Exemples</w:t>
            </w:r>
          </w:p>
        </w:tc>
        <w:tc>
          <w:tcPr>
            <w:tcW w:type="dxa" w:w="3456"/>
            <w:shd w:fill="153B5B"/>
          </w:tcPr>
          <w:p>
            <w:r>
              <w:rPr>
                <w:b/>
                <w:color w:val="FFFFFF"/>
                <w:sz w:val="16"/>
              </w:rPr>
              <w:t>Indicateur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Code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duplication, complexité, typage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lint, mypy, hotspots</w:t>
            </w:r>
          </w:p>
        </w:tc>
      </w:tr>
      <w:tr>
        <w:tc>
          <w:tcPr>
            <w:tcW w:type="dxa" w:w="187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Données</w:t>
            </w:r>
          </w:p>
        </w:tc>
        <w:tc>
          <w:tcPr>
            <w:tcW w:type="dxa" w:w="432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tables obsolètes, migrations</w:t>
            </w:r>
          </w:p>
        </w:tc>
        <w:tc>
          <w:tcPr>
            <w:tcW w:type="dxa" w:w="34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audit schéma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Tests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zones non couvertes, flakiness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coverage, taux échec</w:t>
            </w:r>
          </w:p>
        </w:tc>
      </w:tr>
      <w:tr>
        <w:tc>
          <w:tcPr>
            <w:tcW w:type="dxa" w:w="187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UX</w:t>
            </w:r>
          </w:p>
        </w:tc>
        <w:tc>
          <w:tcPr>
            <w:tcW w:type="dxa" w:w="432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workarounds, incohérences</w:t>
            </w:r>
          </w:p>
        </w:tc>
        <w:tc>
          <w:tcPr>
            <w:tcW w:type="dxa" w:w="34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incidents/retours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IA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prompts non versionnés, dette eval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golden pass rate</w:t>
            </w:r>
          </w:p>
        </w:tc>
      </w:tr>
      <w:tr>
        <w:tc>
          <w:tcPr>
            <w:tcW w:type="dxa" w:w="187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Ops</w:t>
            </w:r>
          </w:p>
        </w:tc>
        <w:tc>
          <w:tcPr>
            <w:tcW w:type="dxa" w:w="432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déploiement manuel, absence rollback</w:t>
            </w:r>
          </w:p>
        </w:tc>
        <w:tc>
          <w:tcPr>
            <w:tcW w:type="dxa" w:w="345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lead time, MTTR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Documentation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écart code/master book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revue par release</w:t>
            </w:r>
          </w:p>
        </w:tc>
      </w:tr>
    </w:tbl>
    <w:p>
      <w:pPr>
        <w:spacing w:after="0"/>
      </w:pPr>
    </w:p>
    <w:p>
      <w:pPr>
        <w:pStyle w:val="ListNumber"/>
        <w:spacing w:after="40"/>
      </w:pPr>
      <w:r>
        <w:t>Identifier et décrire le risque.</w:t>
      </w:r>
    </w:p>
    <w:p>
      <w:pPr>
        <w:pStyle w:val="ListNumber"/>
        <w:spacing w:after="40"/>
      </w:pPr>
      <w:r>
        <w:t>Évaluer impact, probabilité et effort.</w:t>
      </w:r>
    </w:p>
    <w:p>
      <w:pPr>
        <w:pStyle w:val="ListNumber"/>
        <w:spacing w:after="40"/>
      </w:pPr>
      <w:r>
        <w:t>Décider : corriger, accepter, contenir ou supprimer.</w:t>
      </w:r>
    </w:p>
    <w:p>
      <w:pPr>
        <w:pStyle w:val="ListNumber"/>
        <w:spacing w:after="40"/>
      </w:pPr>
      <w:r>
        <w:t>Affecter propriétaire et échéance.</w:t>
      </w:r>
    </w:p>
    <w:p>
      <w:pPr>
        <w:pStyle w:val="ListNumber"/>
        <w:spacing w:after="40"/>
      </w:pPr>
      <w:r>
        <w:t>Mesurer la réduction obtenue.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2F4F7"/>
            <w:tcBorders>
              <w:top w:val="single" w:sz="8" w:color="5D6872"/>
              <w:bottom w:val="single" w:sz="8" w:color="5D6872"/>
              <w:left w:val="single" w:sz="8" w:color="5D6872"/>
              <w:right w:val="single" w:sz="8" w:color="5D6872"/>
            </w:tcBorders>
          </w:tcPr>
          <w:p>
            <w:r>
              <w:rPr>
                <w:b/>
                <w:color w:val="5D6872"/>
              </w:rPr>
              <w:t>Règle</w:t>
            </w:r>
          </w:p>
          <w:p>
            <w:pPr>
              <w:pStyle w:val="Callout"/>
            </w:pPr>
            <w:r>
              <w:t>La dette acceptée reste visible. Une décision implicite n’est pas une gouvernance.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18. FinOps et gestion des coûts</w:t>
      </w:r>
    </w:p>
    <w:p>
      <w:pPr>
        <w:spacing w:after="140"/>
        <w:pBdr>
          <w:bottom w:val="single" w:sz="8" w:color="2A8BB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2448"/>
            <w:shd w:fill="153B5B"/>
          </w:tcPr>
          <w:p>
            <w:r>
              <w:rPr>
                <w:b/>
                <w:color w:val="FFFFFF"/>
                <w:sz w:val="16"/>
              </w:rPr>
              <w:t>Poste</w:t>
            </w:r>
          </w:p>
        </w:tc>
        <w:tc>
          <w:tcPr>
            <w:tcW w:type="dxa" w:w="7200"/>
            <w:shd w:fill="153B5B"/>
          </w:tcPr>
          <w:p>
            <w:r>
              <w:rPr>
                <w:b/>
                <w:color w:val="FFFFFF"/>
                <w:sz w:val="16"/>
              </w:rPr>
              <w:t>Levier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LLM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routing, modèles adaptés, cache, budgets tokens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Hébergement</w:t>
            </w:r>
          </w:p>
        </w:tc>
        <w:tc>
          <w:tcPr>
            <w:tcW w:type="dxa" w:w="72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dimensionnement, extinction environnements inutiles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Stockage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rétention et compression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Observabilité</w:t>
            </w:r>
          </w:p>
        </w:tc>
        <w:tc>
          <w:tcPr>
            <w:tcW w:type="dxa" w:w="72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échantillonnage et niveaux de logs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CI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cache dépendances, parallélisation ciblée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Support</w:t>
            </w:r>
          </w:p>
        </w:tc>
        <w:tc>
          <w:tcPr>
            <w:tcW w:type="dxa" w:w="72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automatisation runbooks et diagnostics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Mesurer le coût par fonctionnalité IA et par learner actif.</w:t>
      </w:r>
    </w:p>
    <w:p>
      <w:pPr>
        <w:pStyle w:val="ListBullet"/>
        <w:spacing w:after="40"/>
      </w:pPr>
      <w:r>
        <w:t>Définir des plafonds et alertes.</w:t>
      </w:r>
    </w:p>
    <w:p>
      <w:pPr>
        <w:pStyle w:val="ListBullet"/>
        <w:spacing w:after="40"/>
      </w:pPr>
      <w:r>
        <w:t>Distinguer coût de construction de contenu et coût d’usage.</w:t>
      </w:r>
    </w:p>
    <w:p>
      <w:pPr>
        <w:pStyle w:val="ListBullet"/>
        <w:spacing w:after="40"/>
      </w:pPr>
      <w:r>
        <w:t>Conserver la qualité pédagogique comme contrainte, pas comme variable résiduelle.</w:t>
      </w:r>
    </w:p>
    <w:p>
      <w:pPr>
        <w:pStyle w:val="ListBullet"/>
        <w:spacing w:after="40"/>
      </w:pPr>
      <w:r>
        <w:t>Documenter le mode dégradé lorsque le budget est atteint.</w:t>
      </w:r>
    </w:p>
    <w:p>
      <w:r>
        <w:br w:type="page"/>
      </w:r>
    </w:p>
    <w:p>
      <w:pPr>
        <w:pStyle w:val="Heading1"/>
      </w:pPr>
      <w:r>
        <w:t>19. Roadmap produit et plateforme</w:t>
      </w:r>
    </w:p>
    <w:p>
      <w:pPr>
        <w:spacing w:after="140"/>
        <w:pBdr>
          <w:bottom w:val="single" w:sz="8" w:color="2A8BB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2448"/>
            <w:shd w:fill="153B5B"/>
          </w:tcPr>
          <w:p>
            <w:r>
              <w:rPr>
                <w:b/>
                <w:color w:val="FFFFFF"/>
                <w:sz w:val="16"/>
              </w:rPr>
              <w:t>Horizon</w:t>
            </w:r>
          </w:p>
        </w:tc>
        <w:tc>
          <w:tcPr>
            <w:tcW w:type="dxa" w:w="7200"/>
            <w:shd w:fill="153B5B"/>
          </w:tcPr>
          <w:p>
            <w:r>
              <w:rPr>
                <w:b/>
                <w:color w:val="FFFFFF"/>
                <w:sz w:val="16"/>
              </w:rPr>
              <w:t>Objectifs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Stabilisation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parcours Parent/Élève, couverture 4e/3e, qualité contenus, sauvegardes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V1</w:t>
            </w:r>
          </w:p>
        </w:tc>
        <w:tc>
          <w:tcPr>
            <w:tcW w:type="dxa" w:w="72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déploiement maîtrisé, Professeur IA cadré, observabilité, sécurité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V1.x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CM1 à 3e progressif, planning intelligent, rapports parent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V2</w:t>
            </w:r>
          </w:p>
        </w:tc>
        <w:tc>
          <w:tcPr>
            <w:tcW w:type="dxa" w:w="72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multi-établissements, administration avancée, API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V3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mobile/tablette, enseignant, collaboration</w:t>
            </w:r>
          </w:p>
        </w:tc>
      </w:tr>
      <w:tr>
        <w:tc>
          <w:tcPr>
            <w:tcW w:type="dxa" w:w="244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Long terme</w:t>
            </w:r>
          </w:p>
        </w:tc>
        <w:tc>
          <w:tcPr>
            <w:tcW w:type="dxa" w:w="720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SaaS, marketplace contrôlée, internationalisation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AF3F8"/>
            <w:tcBorders>
              <w:top w:val="single" w:sz="8" w:color="1F5F8B"/>
              <w:bottom w:val="single" w:sz="8" w:color="1F5F8B"/>
              <w:left w:val="single" w:sz="8" w:color="1F5F8B"/>
              <w:right w:val="single" w:sz="8" w:color="1F5F8B"/>
            </w:tcBorders>
          </w:tcPr>
          <w:p>
            <w:r>
              <w:rPr>
                <w:b/>
                <w:color w:val="1F5F8B"/>
              </w:rPr>
              <w:t>Critère de passage</w:t>
            </w:r>
          </w:p>
          <w:p>
            <w:pPr>
              <w:pStyle w:val="Callout"/>
            </w:pPr>
            <w:r>
              <w:t>Chaque horizon dépend de preuves d’usage, de qualité et d’exploitation. Une fonctionnalité non observable ou non supportable n’est pas terminée.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20. Règles d’implémentation Cursor</w:t>
      </w:r>
    </w:p>
    <w:p>
      <w:pPr>
        <w:spacing w:after="140"/>
        <w:pBdr>
          <w:bottom w:val="single" w:sz="8" w:color="2A8BB8"/>
        </w:pBdr>
      </w:pPr>
    </w:p>
    <w:p>
      <w:pPr>
        <w:pStyle w:val="ListNumber"/>
        <w:spacing w:after="40"/>
      </w:pPr>
      <w:r>
        <w:t>Lire le ticket et les Master Books concernés.</w:t>
      </w:r>
    </w:p>
    <w:p>
      <w:pPr>
        <w:pStyle w:val="ListNumber"/>
        <w:spacing w:after="40"/>
      </w:pPr>
      <w:r>
        <w:t>Vérifier branche, statut Git, commit, environnement et base runtime.</w:t>
      </w:r>
    </w:p>
    <w:p>
      <w:pPr>
        <w:pStyle w:val="ListNumber"/>
        <w:spacing w:after="40"/>
      </w:pPr>
      <w:r>
        <w:t>Tracer le parcours UI → service → repository avant modification.</w:t>
      </w:r>
    </w:p>
    <w:p>
      <w:pPr>
        <w:pStyle w:val="ListNumber"/>
        <w:spacing w:after="40"/>
      </w:pPr>
      <w:r>
        <w:t>Réutiliser les services et bounded contexts existants.</w:t>
      </w:r>
    </w:p>
    <w:p>
      <w:pPr>
        <w:pStyle w:val="ListNumber"/>
        <w:spacing w:after="40"/>
      </w:pPr>
      <w:r>
        <w:t>Créer toute migration de manière idempotente et testée.</w:t>
      </w:r>
    </w:p>
    <w:p>
      <w:pPr>
        <w:pStyle w:val="ListNumber"/>
        <w:spacing w:after="40"/>
      </w:pPr>
      <w:r>
        <w:t>Ne jamais utiliser la base PROD pour développer ou tester.</w:t>
      </w:r>
    </w:p>
    <w:p>
      <w:pPr>
        <w:pStyle w:val="ListNumber"/>
        <w:spacing w:after="40"/>
      </w:pPr>
      <w:r>
        <w:t>Ajouter tests et rapport de preuve.</w:t>
      </w:r>
    </w:p>
    <w:p>
      <w:pPr>
        <w:pStyle w:val="ListNumber"/>
        <w:spacing w:after="40"/>
      </w:pPr>
      <w:r>
        <w:t>Exécuter Ruff, Mypy, Pytest, compileall et smoke test Streamlit.</w:t>
      </w:r>
    </w:p>
    <w:p>
      <w:pPr>
        <w:pStyle w:val="ListNumber"/>
        <w:spacing w:after="40"/>
      </w:pPr>
      <w:r>
        <w:t>Documenter sécurité, performance, rollback et limitations.</w:t>
      </w:r>
    </w:p>
    <w:p>
      <w:pPr>
        <w:pStyle w:val="ListNumber"/>
        <w:spacing w:after="40"/>
      </w:pPr>
      <w:r>
        <w:t>Ne pas déclarer un succès sur la seule base de tests unitaires.</w:t>
      </w:r>
    </w:p>
    <w:p>
      <w:pPr>
        <w:pStyle w:val="ListNumber"/>
        <w:spacing w:after="40"/>
      </w:pPr>
      <w:r>
        <w:t>Ne pas commit/push sans validation explicite de Francis lorsque requise.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3F5F7"/>
            <w:tcBorders>
              <w:top w:val="single" w:sz="4" w:color="D7DDE3"/>
              <w:bottom w:val="single" w:sz="4" w:color="D7DDE3"/>
              <w:left w:val="single" w:sz="4" w:color="D7DDE3"/>
              <w:right w:val="single" w:sz="4" w:color="D7DDE3"/>
            </w:tcBorders>
          </w:tcPr>
          <w:p>
            <w:pPr>
              <w:pStyle w:val="CodeBlock"/>
            </w:pPr>
            <w:r>
              <w:t>Pré-flight | Audit | Plan | Modifications | Migrations | Tests | QA | Sécurité | Rollback | Limitations | Commit/Push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21. Definition of Done production</w:t>
      </w:r>
    </w:p>
    <w:p>
      <w:pPr>
        <w:spacing w:after="140"/>
        <w:pBdr>
          <w:bottom w:val="single" w:sz="8" w:color="2A8BB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2304"/>
            <w:shd w:fill="153B5B"/>
          </w:tcPr>
          <w:p>
            <w:r>
              <w:rPr>
                <w:b/>
                <w:color w:val="FFFFFF"/>
                <w:sz w:val="16"/>
              </w:rPr>
              <w:t>Domaine</w:t>
            </w:r>
          </w:p>
        </w:tc>
        <w:tc>
          <w:tcPr>
            <w:tcW w:type="dxa" w:w="7344"/>
            <w:shd w:fill="153B5B"/>
          </w:tcPr>
          <w:p>
            <w:r>
              <w:rPr>
                <w:b/>
                <w:color w:val="FFFFFF"/>
                <w:sz w:val="16"/>
              </w:rPr>
              <w:t>Condition minimale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Code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revue, lint, typing et tests verts</w:t>
            </w:r>
          </w:p>
        </w:tc>
      </w:tr>
      <w:tr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Données</w:t>
            </w:r>
          </w:p>
        </w:tc>
        <w:tc>
          <w:tcPr>
            <w:tcW w:type="dxa" w:w="73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migration idempotente, backup et intégrité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Sécurité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secrets, autorisations et dépendances contrôlés</w:t>
            </w:r>
          </w:p>
        </w:tc>
      </w:tr>
      <w:tr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IA</w:t>
            </w:r>
          </w:p>
        </w:tc>
        <w:tc>
          <w:tcPr>
            <w:tcW w:type="dxa" w:w="73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évaluations, grounding et budgets validés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UX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parcours nominal et erreurs testés</w:t>
            </w:r>
          </w:p>
        </w:tc>
      </w:tr>
      <w:tr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Performance</w:t>
            </w:r>
          </w:p>
        </w:tc>
        <w:tc>
          <w:tcPr>
            <w:tcW w:type="dxa" w:w="73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mesures sous objectifs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Observabilité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logs, métriques, alertes et trace_id</w:t>
            </w:r>
          </w:p>
        </w:tc>
      </w:tr>
      <w:tr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Exploitation</w:t>
            </w:r>
          </w:p>
        </w:tc>
        <w:tc>
          <w:tcPr>
            <w:tcW w:type="dxa" w:w="73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runbook, rollback et propriétaire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Conformité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données et conservation documentées</w:t>
            </w:r>
          </w:p>
        </w:tc>
      </w:tr>
      <w:tr>
        <w:tc>
          <w:tcPr>
            <w:tcW w:type="dxa" w:w="230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Documentation</w:t>
            </w:r>
          </w:p>
        </w:tc>
        <w:tc>
          <w:tcPr>
            <w:tcW w:type="dxa" w:w="7344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changelog, ADR et Master Book à jour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AF7F0"/>
            <w:tcBorders>
              <w:top w:val="single" w:sz="8" w:color="2F855A"/>
              <w:bottom w:val="single" w:sz="8" w:color="2F855A"/>
              <w:left w:val="single" w:sz="8" w:color="2F855A"/>
              <w:right w:val="single" w:sz="8" w:color="2F855A"/>
            </w:tcBorders>
          </w:tcPr>
          <w:p>
            <w:r>
              <w:rPr>
                <w:b/>
                <w:color w:val="2F855A"/>
              </w:rPr>
              <w:t>Go / No-Go</w:t>
            </w:r>
          </w:p>
          <w:p>
            <w:pPr>
              <w:pStyle w:val="Callout"/>
            </w:pPr>
            <w:r>
              <w:t>Le go production est une décision explicite fondée sur les preuves de release. Toute dérogation est documentée, approuvée et limitée dans le temps.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22. Annexes et index général</w:t>
      </w:r>
    </w:p>
    <w:p>
      <w:pPr>
        <w:spacing w:after="140"/>
        <w:pBdr>
          <w:bottom w:val="single" w:sz="8" w:color="2A8BB8"/>
        </w:pBdr>
      </w:pPr>
    </w:p>
    <w:p>
      <w:pPr>
        <w:pStyle w:val="Heading2"/>
      </w:pPr>
      <w:r>
        <w:t>22.1 Checklist de release</w:t>
      </w:r>
    </w:p>
    <w:p>
      <w:pPr>
        <w:pStyle w:val="ListBullet"/>
        <w:spacing w:after="40"/>
      </w:pPr>
      <w:r>
        <w:t>Version et commit identifiés</w:t>
      </w:r>
    </w:p>
    <w:p>
      <w:pPr>
        <w:pStyle w:val="ListBullet"/>
        <w:spacing w:after="40"/>
      </w:pPr>
      <w:r>
        <w:t>Tests et scans verts</w:t>
      </w:r>
    </w:p>
    <w:p>
      <w:pPr>
        <w:pStyle w:val="ListBullet"/>
        <w:spacing w:after="40"/>
      </w:pPr>
      <w:r>
        <w:t>Migration validée sur copie</w:t>
      </w:r>
    </w:p>
    <w:p>
      <w:pPr>
        <w:pStyle w:val="ListBullet"/>
        <w:spacing w:after="40"/>
      </w:pPr>
      <w:r>
        <w:t>Sauvegarde réalisée</w:t>
      </w:r>
    </w:p>
    <w:p>
      <w:pPr>
        <w:pStyle w:val="ListBullet"/>
        <w:spacing w:after="40"/>
      </w:pPr>
      <w:r>
        <w:t>Artefact signé ou hashé</w:t>
      </w:r>
    </w:p>
    <w:p>
      <w:pPr>
        <w:pStyle w:val="ListBullet"/>
        <w:spacing w:after="40"/>
      </w:pPr>
      <w:r>
        <w:t>Configuration revue</w:t>
      </w:r>
    </w:p>
    <w:p>
      <w:pPr>
        <w:pStyle w:val="ListBullet"/>
        <w:spacing w:after="40"/>
      </w:pPr>
      <w:r>
        <w:t>Smoke tests réussis</w:t>
      </w:r>
    </w:p>
    <w:p>
      <w:pPr>
        <w:pStyle w:val="ListBullet"/>
        <w:spacing w:after="40"/>
      </w:pPr>
      <w:r>
        <w:t>Monitoring prêt</w:t>
      </w:r>
    </w:p>
    <w:p>
      <w:pPr>
        <w:pStyle w:val="ListBullet"/>
        <w:spacing w:after="40"/>
      </w:pPr>
      <w:r>
        <w:t>Rollback testé ou documenté</w:t>
      </w:r>
    </w:p>
    <w:p>
      <w:pPr>
        <w:pStyle w:val="ListBullet"/>
        <w:spacing w:after="40"/>
      </w:pPr>
      <w:r>
        <w:t>Communication préparée</w:t>
      </w:r>
    </w:p>
    <w:p>
      <w:pPr>
        <w:pStyle w:val="Heading2"/>
      </w:pPr>
      <w:r>
        <w:t>22.2 Checklist incident</w:t>
      </w:r>
    </w:p>
    <w:p>
      <w:pPr>
        <w:pStyle w:val="ListBullet"/>
        <w:spacing w:after="40"/>
      </w:pPr>
      <w:r>
        <w:t>Sévérité et impact</w:t>
      </w:r>
    </w:p>
    <w:p>
      <w:pPr>
        <w:pStyle w:val="ListBullet"/>
        <w:spacing w:after="40"/>
      </w:pPr>
      <w:r>
        <w:t>Trace et release</w:t>
      </w:r>
    </w:p>
    <w:p>
      <w:pPr>
        <w:pStyle w:val="ListBullet"/>
        <w:spacing w:after="40"/>
      </w:pPr>
      <w:r>
        <w:t>Mesure de confinement</w:t>
      </w:r>
    </w:p>
    <w:p>
      <w:pPr>
        <w:pStyle w:val="ListBullet"/>
        <w:spacing w:after="40"/>
      </w:pPr>
      <w:r>
        <w:t>Décision rollback</w:t>
      </w:r>
    </w:p>
    <w:p>
      <w:pPr>
        <w:pStyle w:val="ListBullet"/>
        <w:spacing w:after="40"/>
      </w:pPr>
      <w:r>
        <w:t>Communication</w:t>
      </w:r>
    </w:p>
    <w:p>
      <w:pPr>
        <w:pStyle w:val="ListBullet"/>
        <w:spacing w:after="40"/>
      </w:pPr>
      <w:r>
        <w:t>Vérification données</w:t>
      </w:r>
    </w:p>
    <w:p>
      <w:pPr>
        <w:pStyle w:val="ListBullet"/>
        <w:spacing w:after="40"/>
      </w:pPr>
      <w:r>
        <w:t>Retour à la normale</w:t>
      </w:r>
    </w:p>
    <w:p>
      <w:pPr>
        <w:pStyle w:val="ListBullet"/>
        <w:spacing w:after="40"/>
      </w:pPr>
      <w:r>
        <w:t>Post-mortem</w:t>
      </w:r>
    </w:p>
    <w:p>
      <w:pPr>
        <w:pStyle w:val="ListBullet"/>
        <w:spacing w:after="40"/>
      </w:pPr>
      <w:r>
        <w:t>Actions de prévention</w:t>
      </w:r>
    </w:p>
    <w:p>
      <w:pPr>
        <w:pStyle w:val="Heading2"/>
      </w:pPr>
      <w:r>
        <w:t>22.3 Index général des cinq volumes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6912"/>
            <w:shd w:fill="153B5B"/>
          </w:tcPr>
          <w:p>
            <w:r>
              <w:rPr>
                <w:b/>
                <w:color w:val="FFFFFF"/>
                <w:sz w:val="16"/>
              </w:rPr>
              <w:t>Sujet</w:t>
            </w:r>
          </w:p>
        </w:tc>
        <w:tc>
          <w:tcPr>
            <w:tcW w:type="dxa" w:w="2016"/>
            <w:shd w:fill="153B5B"/>
          </w:tcPr>
          <w:p>
            <w:r>
              <w:rPr>
                <w:b/>
                <w:color w:val="FFFFFF"/>
                <w:sz w:val="16"/>
              </w:rPr>
              <w:t>Volume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Vision produit et bounded contexts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1</w:t>
            </w:r>
          </w:p>
        </w:tc>
      </w:tr>
      <w:tr>
        <w:tc>
          <w:tcPr>
            <w:tcW w:type="dxa" w:w="691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Architecture Streamlit et services</w:t>
            </w:r>
          </w:p>
        </w:tc>
        <w:tc>
          <w:tcPr>
            <w:tcW w:type="dxa" w:w="201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1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DuckDB, modèle de données et migrations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2</w:t>
            </w:r>
          </w:p>
        </w:tc>
      </w:tr>
      <w:tr>
        <w:tc>
          <w:tcPr>
            <w:tcW w:type="dxa" w:w="691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Repositories, transactions et intégrité</w:t>
            </w:r>
          </w:p>
        </w:tc>
        <w:tc>
          <w:tcPr>
            <w:tcW w:type="dxa" w:w="201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2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Curriculum et Content Factory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3</w:t>
            </w:r>
          </w:p>
        </w:tc>
      </w:tr>
      <w:tr>
        <w:tc>
          <w:tcPr>
            <w:tcW w:type="dxa" w:w="691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Learning, Assessment, Mastery et Recommendation</w:t>
            </w:r>
          </w:p>
        </w:tc>
        <w:tc>
          <w:tcPr>
            <w:tcW w:type="dxa" w:w="201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3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Professeur IA, LLM Gateway et RAG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4</w:t>
            </w:r>
          </w:p>
        </w:tc>
      </w:tr>
      <w:tr>
        <w:tc>
          <w:tcPr>
            <w:tcW w:type="dxa" w:w="691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Prompts, mémoire, safety et analytics IA</w:t>
            </w:r>
          </w:p>
        </w:tc>
        <w:tc>
          <w:tcPr>
            <w:tcW w:type="dxa" w:w="201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4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Déploiement, CI/CD et tests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5</w:t>
            </w:r>
          </w:p>
        </w:tc>
      </w:tr>
      <w:tr>
        <w:tc>
          <w:tcPr>
            <w:tcW w:type="dxa" w:w="6912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Sécurité, exploitation, gouvernance et roadmap</w:t>
            </w:r>
          </w:p>
        </w:tc>
        <w:tc>
          <w:tcPr>
            <w:tcW w:type="dxa" w:w="2016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5</w:t>
            </w:r>
          </w:p>
        </w:tc>
      </w:tr>
    </w:tbl>
    <w:p>
      <w:pPr>
        <w:spacing w:after="0"/>
      </w:pPr>
    </w:p>
    <w:p>
      <w:pPr>
        <w:pStyle w:val="Heading2"/>
      </w:pPr>
      <w:r>
        <w:t>22.4 Glossaire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2160"/>
            <w:shd w:fill="153B5B"/>
          </w:tcPr>
          <w:p>
            <w:r>
              <w:rPr>
                <w:b/>
                <w:color w:val="FFFFFF"/>
                <w:sz w:val="16"/>
              </w:rPr>
              <w:t>Terme</w:t>
            </w:r>
          </w:p>
        </w:tc>
        <w:tc>
          <w:tcPr>
            <w:tcW w:type="dxa" w:w="7488"/>
            <w:shd w:fill="153B5B"/>
          </w:tcPr>
          <w:p>
            <w:r>
              <w:rPr>
                <w:b/>
                <w:color w:val="FFFFFF"/>
                <w:sz w:val="16"/>
              </w:rPr>
              <w:t>Définition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ADR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Architecture Decision Record</w:t>
            </w:r>
          </w:p>
        </w:tc>
      </w:tr>
      <w:tr>
        <w:tc>
          <w:tcPr>
            <w:tcW w:type="dxa" w:w="216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CI/CD</w:t>
            </w:r>
          </w:p>
        </w:tc>
        <w:tc>
          <w:tcPr>
            <w:tcW w:type="dxa" w:w="748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Intégration et livraison/déploiement continus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RPO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Perte de données maximale acceptable</w:t>
            </w:r>
          </w:p>
        </w:tc>
      </w:tr>
      <w:tr>
        <w:tc>
          <w:tcPr>
            <w:tcW w:type="dxa" w:w="216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RTO</w:t>
            </w:r>
          </w:p>
        </w:tc>
        <w:tc>
          <w:tcPr>
            <w:tcW w:type="dxa" w:w="748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Durée maximale de restauration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SLO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Objectif de niveau de service</w:t>
            </w:r>
          </w:p>
        </w:tc>
      </w:tr>
      <w:tr>
        <w:tc>
          <w:tcPr>
            <w:tcW w:type="dxa" w:w="216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MTTR</w:t>
            </w:r>
          </w:p>
        </w:tc>
        <w:tc>
          <w:tcPr>
            <w:tcW w:type="dxa" w:w="748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Temps moyen de restauration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SBOM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Inventaire des composants logiciels</w:t>
            </w:r>
          </w:p>
        </w:tc>
      </w:tr>
      <w:tr>
        <w:tc>
          <w:tcPr>
            <w:tcW w:type="dxa" w:w="216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Rollback</w:t>
            </w:r>
          </w:p>
        </w:tc>
        <w:tc>
          <w:tcPr>
            <w:tcW w:type="dxa" w:w="748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Retour contrôlé à un état antérieur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Smoke test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Vérification rapide des fonctions critiques</w:t>
            </w:r>
          </w:p>
        </w:tc>
      </w:tr>
      <w:tr>
        <w:tc>
          <w:tcPr>
            <w:tcW w:type="dxa" w:w="2160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Feature flag</w:t>
            </w:r>
          </w:p>
        </w:tc>
        <w:tc>
          <w:tcPr>
            <w:tcW w:type="dxa" w:w="7488"/>
            <w:vAlign w:val="center"/>
            <w:shd w:fill="F5F9FC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Activation contrôlée d’une capacité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2F4F7"/>
            <w:tcBorders>
              <w:top w:val="single" w:sz="8" w:color="5D6872"/>
              <w:bottom w:val="single" w:sz="8" w:color="5D6872"/>
              <w:left w:val="single" w:sz="8" w:color="5D6872"/>
              <w:right w:val="single" w:sz="8" w:color="5D6872"/>
            </w:tcBorders>
          </w:tcPr>
          <w:p>
            <w:r>
              <w:rPr>
                <w:b/>
                <w:color w:val="5D6872"/>
              </w:rPr>
              <w:t>Clôture de la collection</w:t>
            </w:r>
          </w:p>
          <w:p>
            <w:pPr>
              <w:pStyle w:val="Callout"/>
            </w:pPr>
            <w:r>
              <w:t>Les cinq volumes constituent une architecture de référence cohérente. Ils doivent rester vivants : toute décision structurante du projet doit être répercutée dans le code, les ADR, les tests et le volume concerné.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200"/>
        <w:jc w:val="center"/>
      </w:pPr>
      <w:r>
        <w:rPr>
          <w:b/>
          <w:color w:val="153B5B"/>
          <w:sz w:val="50"/>
        </w:rPr>
        <w:t>FIN DU VOLUME 5</w:t>
      </w:r>
    </w:p>
    <w:p>
      <w:pPr>
        <w:jc w:val="center"/>
      </w:pPr>
      <w:r>
        <w:rPr>
          <w:color w:val="2A8BB8"/>
          <w:sz w:val="26"/>
        </w:rPr>
        <w:t>FIN DE LA COLLECTION MASTER BOOK — LEARNING COACH AI</w:t>
      </w:r>
    </w:p>
    <w:p>
      <w:pPr>
        <w:spacing w:before="400"/>
        <w:jc w:val="center"/>
      </w:pPr>
      <w:r>
        <w:rPr>
          <w:color w:val="5D6872"/>
          <w:sz w:val="18"/>
        </w:rPr>
        <w:t>Version 1.0 — 29 juillet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Déploiement • DevOps • Sécurité • Exploitation • Gouvernance • Roadmap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D6872"/>
        <w:sz w:val="15"/>
      </w:rPr>
      <w:t>LEARNING COACH AI  |  MASTER BOOK — VOLUME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B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8BB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 w:val="0"/>
      <w:color w:val="153B5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 Display" w:hAnsi="Aptos Display"/>
      <w:b w:val="0"/>
      <w:i/>
      <w:iCs/>
      <w:color w:val="5D68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basedOn w:val="Normal"/>
    <w:rPr>
      <w:rFonts w:ascii="Aptos" w:hAnsi="Aptos"/>
      <w:color w:val="1F2933"/>
      <w:sz w:val="22"/>
    </w:rPr>
  </w:style>
  <w:style w:type="paragraph" w:customStyle="1" w:styleId="Small">
    <w:name w:val="Small"/>
    <w:basedOn w:val="Normal"/>
    <w:rPr>
      <w:rFonts w:ascii="Aptos" w:hAnsi="Aptos"/>
      <w:color w:val="5D6872"/>
      <w:sz w:val="15"/>
    </w:rPr>
  </w:style>
  <w:style w:type="paragraph" w:customStyle="1" w:styleId="CodeBlock">
    <w:name w:val="CodeBlock"/>
    <w:basedOn w:val="Normal"/>
    <w:rPr>
      <w:rFonts w:ascii="Consolas" w:hAnsi="Consolas"/>
      <w:color w:val="1F2933"/>
      <w:sz w:val="16"/>
    </w:rPr>
  </w:style>
  <w:style w:type="paragraph" w:customStyle="1" w:styleId="Callout">
    <w:name w:val="Callout"/>
    <w:basedOn w:val="Normal"/>
    <w:rPr>
      <w:rFonts w:ascii="Aptos" w:hAnsi="Aptos"/>
      <w:color w:val="1F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Coach AI Master Book — Volume 5</dc:title>
  <dc:subject>Déploiement, DevOps, Tests, Sécurité, Exploitation, Gouvernance et Roadmap</dc:subject>
  <dc:creator>Learning Coach AI Project</dc:creator>
  <cp:keywords>Learning Coach AI, DevOps, CI/CD, sécurité, exploitation, gouvernance,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