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LEARNING COACH AI</w:t>
      </w:r>
    </w:p>
    <w:p>
      <w:pPr>
        <w:jc w:val="center"/>
      </w:pPr>
      <w:r>
        <w:rPr>
          <w:b/>
          <w:color w:val="2F5597"/>
          <w:sz w:val="40"/>
        </w:rPr>
        <w:t>Document de suivi projet - V1</w:t>
      </w:r>
    </w:p>
    <w:p>
      <w:pPr>
        <w:jc w:val="center"/>
      </w:pPr>
      <w:r>
        <w:rPr>
          <w:sz w:val="26"/>
        </w:rPr>
        <w:t>Priorités CM1 → CM2, 4e → 3e, puis refonte du moteur IA</w:t>
      </w:r>
    </w:p>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D9EAF7"/>
          </w:tcPr>
          <w:p>
            <w:r/>
            <w:r>
              <w:rPr>
                <w:b/>
                <w:sz w:val="18"/>
              </w:rPr>
              <w:t>Statut</w:t>
            </w:r>
          </w:p>
        </w:tc>
        <w:tc>
          <w:tcPr>
            <w:tcW w:type="dxa" w:w="5040"/>
            <w:vAlign w:val="center"/>
          </w:tcPr>
          <w:p>
            <w:r/>
            <w:r>
              <w:rPr>
                <w:b w:val="0"/>
                <w:sz w:val="18"/>
              </w:rPr>
              <w:t>Document de référence V1</w:t>
            </w:r>
          </w:p>
        </w:tc>
      </w:tr>
      <w:tr>
        <w:trPr>
          <w:cantSplit/>
        </w:trPr>
        <w:tc>
          <w:tcPr>
            <w:tcW w:type="dxa" w:w="5040"/>
            <w:vAlign w:val="center"/>
            <w:shd w:fill="D9EAF7"/>
          </w:tcPr>
          <w:p>
            <w:r/>
            <w:r>
              <w:rPr>
                <w:b/>
                <w:sz w:val="18"/>
              </w:rPr>
              <w:t>Périmètre prioritaire</w:t>
            </w:r>
          </w:p>
        </w:tc>
        <w:tc>
          <w:tcPr>
            <w:tcW w:type="dxa" w:w="5040"/>
            <w:vAlign w:val="center"/>
          </w:tcPr>
          <w:p>
            <w:r/>
            <w:r>
              <w:rPr>
                <w:b w:val="0"/>
                <w:sz w:val="18"/>
              </w:rPr>
              <w:t>CM1 et 4e</w:t>
            </w:r>
          </w:p>
        </w:tc>
      </w:tr>
      <w:tr>
        <w:trPr>
          <w:cantSplit/>
        </w:trPr>
        <w:tc>
          <w:tcPr>
            <w:tcW w:type="dxa" w:w="5040"/>
            <w:vAlign w:val="center"/>
            <w:shd w:fill="D9EAF7"/>
          </w:tcPr>
          <w:p>
            <w:r/>
            <w:r>
              <w:rPr>
                <w:b/>
                <w:sz w:val="18"/>
              </w:rPr>
              <w:t>Objectif pédagogique</w:t>
            </w:r>
          </w:p>
        </w:tc>
        <w:tc>
          <w:tcPr>
            <w:tcW w:type="dxa" w:w="5040"/>
            <w:vAlign w:val="center"/>
          </w:tcPr>
          <w:p>
            <w:r/>
            <w:r>
              <w:rPr>
                <w:b w:val="0"/>
                <w:sz w:val="18"/>
              </w:rPr>
              <w:t>Préparation au passage en CM2 et en 3e</w:t>
            </w:r>
          </w:p>
        </w:tc>
      </w:tr>
      <w:tr>
        <w:trPr>
          <w:cantSplit/>
        </w:trPr>
        <w:tc>
          <w:tcPr>
            <w:tcW w:type="dxa" w:w="5040"/>
            <w:vAlign w:val="center"/>
            <w:shd w:fill="D9EAF7"/>
          </w:tcPr>
          <w:p>
            <w:r/>
            <w:r>
              <w:rPr>
                <w:b/>
                <w:sz w:val="18"/>
              </w:rPr>
              <w:t>Décision structurante</w:t>
            </w:r>
          </w:p>
        </w:tc>
        <w:tc>
          <w:tcPr>
            <w:tcW w:type="dxa" w:w="5040"/>
            <w:vAlign w:val="center"/>
          </w:tcPr>
          <w:p>
            <w:r/>
            <w:r>
              <w:rPr>
                <w:b w:val="0"/>
                <w:sz w:val="18"/>
              </w:rPr>
              <w:t>La refonte du moteur IA intervient après validation des deux parcours prioritaires</w:t>
            </w:r>
          </w:p>
        </w:tc>
      </w:tr>
    </w:tbl>
    <w:p>
      <w:r>
        <w:br w:type="page"/>
      </w:r>
    </w:p>
    <w:p>
      <w:pPr>
        <w:pStyle w:val="Heading1"/>
      </w:pPr>
      <w:r>
        <w:t>1. Décision de gouvernance V1</w:t>
      </w:r>
    </w:p>
    <w:p>
      <w:r>
        <w:t>La V1 doit être pilotée selon un ordre strict. La priorité immédiate est de terminer et valider deux parcours complets : le parcours CM1 vers l'entrée en CM2, puis le parcours 4e vers l'entrée en 3e. La refonte générale du moteur IA ne doit intervenir qu'après la fermeture fonctionnelle de ces deux parcours.</w:t>
      </w:r>
    </w:p>
    <w:p>
      <w:r>
        <w:rPr>
          <w:b/>
        </w:rPr>
        <w:t xml:space="preserve">Ordre officiel : </w:t>
      </w:r>
      <w:r>
        <w:t>1) CM1 → CM2 ; 2) 4e → 3e ; 3) validation end-to-end ; 4) refonte et généralisation du moteur IA ; 5) extension aux autres classes.</w:t>
      </w:r>
    </w:p>
    <w:p>
      <w:pPr>
        <w:pStyle w:val="Heading1"/>
      </w:pPr>
      <w:r>
        <w:t>2. Protection de la numérotation existante</w:t>
      </w:r>
    </w:p>
    <w:p>
      <w:r>
        <w:t>Les identifiants LCAI-0018D à LCAI-0018H ne doivent pas être réutilisés. Ils correspondent déjà à l'initialisation de classes suivantes, notamment la CM2, et appartiennent à l'historique officiel du projet.</w:t>
      </w:r>
    </w:p>
    <w:p>
      <w:r>
        <w:t>Toute nouvelle série liée à la finalisation des parcours ou à la refonte du moteur IA doit utiliser une nouvelle plage de tickets afin de garantir la traçabilité, la lisibilité du backlog et l'absence de collision documentaire.</w:t>
      </w:r>
    </w:p>
    <w:p>
      <w:pPr>
        <w:pStyle w:val="Heading1"/>
      </w:pPr>
      <w:r>
        <w:t>3. Périmètre fonctionnel de la V1</w:t>
      </w:r>
    </w:p>
    <w:p>
      <w:pPr>
        <w:pStyle w:val="Heading2"/>
      </w:pPr>
      <w:r>
        <w:t>3.1 Parcours CM1 → préparation à l’entrée en CM2</w:t>
      </w:r>
    </w:p>
    <w:p>
      <w:pPr>
        <w:pStyle w:val="ListBullet"/>
      </w:pPr>
      <w:r>
        <w:t>Toutes les matières du CM1 couvertes.</w:t>
      </w:r>
    </w:p>
    <w:p>
      <w:pPr>
        <w:pStyle w:val="ListBullet"/>
      </w:pPr>
      <w:r>
        <w:t>Diagnostic initial et progressif.</w:t>
      </w:r>
    </w:p>
    <w:p>
      <w:pPr>
        <w:pStyle w:val="ListBullet"/>
      </w:pPr>
      <w:r>
        <w:t>Profil pédagogique par matière, domaine, compétence et sous-compétence.</w:t>
      </w:r>
    </w:p>
    <w:p>
      <w:pPr>
        <w:pStyle w:val="ListBullet"/>
      </w:pPr>
      <w:r>
        <w:t>Plan de révision personnalisé.</w:t>
      </w:r>
    </w:p>
    <w:p>
      <w:pPr>
        <w:pStyle w:val="ListBullet"/>
      </w:pPr>
      <w:r>
        <w:t>Séances adaptatives avec suivi de la progression.</w:t>
      </w:r>
    </w:p>
    <w:p>
      <w:pPr>
        <w:pStyle w:val="ListBullet"/>
      </w:pPr>
      <w:r>
        <w:t>Tableaux de bord élève et parent.</w:t>
      </w:r>
    </w:p>
    <w:p>
      <w:pPr>
        <w:pStyle w:val="ListBullet"/>
      </w:pPr>
      <w:r>
        <w:t>Réévaluations régulières.</w:t>
      </w:r>
    </w:p>
    <w:p>
      <w:pPr>
        <w:pStyle w:val="ListBullet"/>
      </w:pPr>
      <w:r>
        <w:t>Bilan final de préparation à l’entrée en CM2.</w:t>
      </w:r>
    </w:p>
    <w:p>
      <w:pPr>
        <w:pStyle w:val="Heading2"/>
      </w:pPr>
      <w:r>
        <w:t>3.2 Parcours 4e → préparation à l’entrée en 3e</w:t>
      </w:r>
    </w:p>
    <w:p>
      <w:pPr>
        <w:pStyle w:val="ListBullet"/>
      </w:pPr>
      <w:r>
        <w:t>Toutes les matières du niveau 4e couvertes.</w:t>
      </w:r>
    </w:p>
    <w:p>
      <w:pPr>
        <w:pStyle w:val="ListBullet"/>
      </w:pPr>
      <w:r>
        <w:t>Espagnol explicitement intégré au socle du parcours.</w:t>
      </w:r>
    </w:p>
    <w:p>
      <w:pPr>
        <w:pStyle w:val="ListBullet"/>
      </w:pPr>
      <w:r>
        <w:t>Latin pris en compte lorsque l’élève suit cette option.</w:t>
      </w:r>
    </w:p>
    <w:p>
      <w:pPr>
        <w:pStyle w:val="ListBullet"/>
      </w:pPr>
      <w:r>
        <w:t>Diagnostic initial et progressif.</w:t>
      </w:r>
    </w:p>
    <w:p>
      <w:pPr>
        <w:pStyle w:val="ListBullet"/>
      </w:pPr>
      <w:r>
        <w:t>Profil pédagogique par matière et compétence.</w:t>
      </w:r>
    </w:p>
    <w:p>
      <w:pPr>
        <w:pStyle w:val="ListBullet"/>
      </w:pPr>
      <w:r>
        <w:t>Plan de révision personnalisé.</w:t>
      </w:r>
    </w:p>
    <w:p>
      <w:pPr>
        <w:pStyle w:val="ListBullet"/>
      </w:pPr>
      <w:r>
        <w:t>Séances adaptatives.</w:t>
      </w:r>
    </w:p>
    <w:p>
      <w:pPr>
        <w:pStyle w:val="ListBullet"/>
      </w:pPr>
      <w:r>
        <w:t>Tableaux de bord élève et parent.</w:t>
      </w:r>
    </w:p>
    <w:p>
      <w:pPr>
        <w:pStyle w:val="ListBullet"/>
      </w:pPr>
      <w:r>
        <w:t>Réévaluations régulières.</w:t>
      </w:r>
    </w:p>
    <w:p>
      <w:pPr>
        <w:pStyle w:val="ListBullet"/>
      </w:pPr>
      <w:r>
        <w:t>Bilan final de préparation à l’entrée en 3e.</w:t>
      </w:r>
    </w:p>
    <w:p>
      <w:pPr>
        <w:pStyle w:val="Heading1"/>
      </w:pPr>
      <w:r>
        <w:t>4. Pourquoi la refonte IA vient après les deux parcours</w:t>
      </w:r>
    </w:p>
    <w:p>
      <w:pPr>
        <w:pStyle w:val="ListBullet"/>
      </w:pPr>
      <w:r>
        <w:t>La refonte IA touche la configuration, les services, la génération d’exercices, l’analyse des résultats, les recommandations, les tableaux de bord, la base de données et les tests.</w:t>
      </w:r>
    </w:p>
    <w:p>
      <w:pPr>
        <w:pStyle w:val="ListBullet"/>
      </w:pPr>
      <w:r>
        <w:t>La lancer immédiatement risquerait de retarder les deux parcours réellement attendus par les enfants.</w:t>
      </w:r>
    </w:p>
    <w:p>
      <w:pPr>
        <w:pStyle w:val="ListBullet"/>
      </w:pPr>
      <w:r>
        <w:t>Les parcours CM1 et 4e fourniront des cas d’usage concrets et des données réelles pour définir la bonne architecture transverse.</w:t>
      </w:r>
    </w:p>
    <w:p>
      <w:pPr>
        <w:pStyle w:val="ListBullet"/>
      </w:pPr>
      <w:r>
        <w:t>La refonte sera alors fondée sur des besoins observés, et non sur des hypothèses.</w:t>
      </w:r>
    </w:p>
    <w:p>
      <w:pPr>
        <w:pStyle w:val="ListBullet"/>
      </w:pPr>
      <w:r>
        <w:t>Cette séquence limite la dette technique tout en protégeant la livraison de la V1.</w:t>
      </w:r>
    </w:p>
    <w:p>
      <w:pPr>
        <w:pStyle w:val="Heading1"/>
      </w:pPr>
      <w:r>
        <w:t>5. Roadmap officielle de suivi</w:t>
      </w:r>
    </w:p>
    <w:p>
      <w:pPr>
        <w:pStyle w:val="Heading2"/>
      </w:pPr>
      <w:r>
        <w:t>Bloc A — Finalisation CM1 → CM2</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
              <w:rPr>
                <w:b/>
                <w:sz w:val="18"/>
              </w:rPr>
              <w:t>Ticket</w:t>
            </w:r>
          </w:p>
        </w:tc>
        <w:tc>
          <w:tcPr>
            <w:tcW w:type="dxa" w:w="2520"/>
            <w:vAlign w:val="center"/>
            <w:shd w:fill="D9EAF7"/>
          </w:tcPr>
          <w:p>
            <w:r/>
            <w:r>
              <w:rPr>
                <w:b/>
                <w:sz w:val="18"/>
              </w:rPr>
              <w:t>Objet</w:t>
            </w:r>
          </w:p>
        </w:tc>
        <w:tc>
          <w:tcPr>
            <w:tcW w:type="dxa" w:w="2520"/>
            <w:vAlign w:val="center"/>
            <w:shd w:fill="D9EAF7"/>
          </w:tcPr>
          <w:p>
            <w:r/>
            <w:r>
              <w:rPr>
                <w:b/>
                <w:sz w:val="18"/>
              </w:rPr>
              <w:t>Statut</w:t>
            </w:r>
          </w:p>
        </w:tc>
        <w:tc>
          <w:tcPr>
            <w:tcW w:type="dxa" w:w="2520"/>
            <w:vAlign w:val="center"/>
            <w:shd w:fill="D9EAF7"/>
          </w:tcPr>
          <w:p>
            <w:r/>
            <w:r>
              <w:rPr>
                <w:b/>
                <w:sz w:val="18"/>
              </w:rPr>
              <w:t>Notes / critères de sortie</w:t>
            </w:r>
          </w:p>
        </w:tc>
      </w:tr>
      <w:tr>
        <w:trPr>
          <w:cantSplit/>
        </w:trPr>
        <w:tc>
          <w:tcPr>
            <w:tcW w:type="dxa" w:w="2520"/>
            <w:vAlign w:val="center"/>
          </w:tcPr>
          <w:p>
            <w:r/>
            <w:r>
              <w:rPr>
                <w:b/>
                <w:sz w:val="18"/>
              </w:rPr>
              <w:t>LCAI-0019A</w:t>
            </w:r>
          </w:p>
        </w:tc>
        <w:tc>
          <w:tcPr>
            <w:tcW w:type="dxa" w:w="2520"/>
            <w:vAlign w:val="center"/>
          </w:tcPr>
          <w:p>
            <w:r/>
            <w:r>
              <w:rPr>
                <w:b w:val="0"/>
                <w:sz w:val="18"/>
              </w:rPr>
              <w:t>Audit final du curriculum CM1</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LCAI-0019B</w:t>
            </w:r>
          </w:p>
        </w:tc>
        <w:tc>
          <w:tcPr>
            <w:tcW w:type="dxa" w:w="2520"/>
            <w:vAlign w:val="center"/>
          </w:tcPr>
          <w:p>
            <w:r/>
            <w:r>
              <w:rPr>
                <w:b w:val="0"/>
                <w:sz w:val="18"/>
              </w:rPr>
              <w:t>Couverture complète des matières CM1</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LCAI-0019C</w:t>
            </w:r>
          </w:p>
        </w:tc>
        <w:tc>
          <w:tcPr>
            <w:tcW w:type="dxa" w:w="2520"/>
            <w:vAlign w:val="center"/>
          </w:tcPr>
          <w:p>
            <w:r/>
            <w:r>
              <w:rPr>
                <w:b w:val="0"/>
                <w:sz w:val="18"/>
              </w:rPr>
              <w:t>Catalogue d’exercices CM1</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LCAI-0019D</w:t>
            </w:r>
          </w:p>
        </w:tc>
        <w:tc>
          <w:tcPr>
            <w:tcW w:type="dxa" w:w="2520"/>
            <w:vAlign w:val="center"/>
          </w:tcPr>
          <w:p>
            <w:r/>
            <w:r>
              <w:rPr>
                <w:b w:val="0"/>
                <w:sz w:val="18"/>
              </w:rPr>
              <w:t>Diagnostic d’entrée CM1</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LCAI-0019E</w:t>
            </w:r>
          </w:p>
        </w:tc>
        <w:tc>
          <w:tcPr>
            <w:tcW w:type="dxa" w:w="2520"/>
            <w:vAlign w:val="center"/>
          </w:tcPr>
          <w:p>
            <w:r/>
            <w:r>
              <w:rPr>
                <w:b w:val="0"/>
                <w:sz w:val="18"/>
              </w:rPr>
              <w:t>Profil pédagogique CM1</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LCAI-0019F</w:t>
            </w:r>
          </w:p>
        </w:tc>
        <w:tc>
          <w:tcPr>
            <w:tcW w:type="dxa" w:w="2520"/>
            <w:vAlign w:val="center"/>
          </w:tcPr>
          <w:p>
            <w:r/>
            <w:r>
              <w:rPr>
                <w:b w:val="0"/>
                <w:sz w:val="18"/>
              </w:rPr>
              <w:t>Plan de révision CM1 → CM2</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LCAI-0019G</w:t>
            </w:r>
          </w:p>
        </w:tc>
        <w:tc>
          <w:tcPr>
            <w:tcW w:type="dxa" w:w="2520"/>
            <w:vAlign w:val="center"/>
          </w:tcPr>
          <w:p>
            <w:r/>
            <w:r>
              <w:rPr>
                <w:b w:val="0"/>
                <w:sz w:val="18"/>
              </w:rPr>
              <w:t>Séances adaptatives CM1</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LCAI-0019H</w:t>
            </w:r>
          </w:p>
        </w:tc>
        <w:tc>
          <w:tcPr>
            <w:tcW w:type="dxa" w:w="2520"/>
            <w:vAlign w:val="center"/>
          </w:tcPr>
          <w:p>
            <w:r/>
            <w:r>
              <w:rPr>
                <w:b w:val="0"/>
                <w:sz w:val="18"/>
              </w:rPr>
              <w:t>Tableau de bord CM1</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LCAI-0019I</w:t>
            </w:r>
          </w:p>
        </w:tc>
        <w:tc>
          <w:tcPr>
            <w:tcW w:type="dxa" w:w="2520"/>
            <w:vAlign w:val="center"/>
          </w:tcPr>
          <w:p>
            <w:r/>
            <w:r>
              <w:rPr>
                <w:b w:val="0"/>
                <w:sz w:val="18"/>
              </w:rPr>
              <w:t>Bilan de préparation au CM2</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LCAI-0019J</w:t>
            </w:r>
          </w:p>
        </w:tc>
        <w:tc>
          <w:tcPr>
            <w:tcW w:type="dxa" w:w="2520"/>
            <w:vAlign w:val="center"/>
          </w:tcPr>
          <w:p>
            <w:r/>
            <w:r>
              <w:rPr>
                <w:b w:val="0"/>
                <w:sz w:val="18"/>
              </w:rPr>
              <w:t>Validation end-to-end CM1 → CM2</w:t>
            </w:r>
          </w:p>
        </w:tc>
        <w:tc>
          <w:tcPr>
            <w:tcW w:type="dxa" w:w="2520"/>
            <w:vAlign w:val="center"/>
          </w:tcPr>
          <w:p>
            <w:r/>
            <w:r>
              <w:rPr>
                <w:b w:val="0"/>
                <w:sz w:val="18"/>
              </w:rPr>
              <w:t>À planifier</w:t>
            </w:r>
          </w:p>
        </w:tc>
        <w:tc>
          <w:tcPr>
            <w:tcW w:type="dxa" w:w="2520"/>
            <w:vAlign w:val="center"/>
          </w:tcPr>
          <w:p>
            <w:r/>
            <w:r>
              <w:rPr>
                <w:b w:val="0"/>
                <w:sz w:val="18"/>
              </w:rPr>
            </w:r>
          </w:p>
        </w:tc>
      </w:tr>
    </w:tbl>
    <w:p>
      <w:pPr>
        <w:pStyle w:val="Heading2"/>
      </w:pPr>
      <w:r>
        <w:t>Bloc B — Finalisation 4e → 3e</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E2F0D9"/>
          </w:tcPr>
          <w:p>
            <w:r/>
            <w:r>
              <w:rPr>
                <w:b/>
                <w:sz w:val="18"/>
              </w:rPr>
              <w:t>Ticket</w:t>
            </w:r>
          </w:p>
        </w:tc>
        <w:tc>
          <w:tcPr>
            <w:tcW w:type="dxa" w:w="2520"/>
            <w:vAlign w:val="center"/>
            <w:shd w:fill="E2F0D9"/>
          </w:tcPr>
          <w:p>
            <w:r/>
            <w:r>
              <w:rPr>
                <w:b/>
                <w:sz w:val="18"/>
              </w:rPr>
              <w:t>Objet</w:t>
            </w:r>
          </w:p>
        </w:tc>
        <w:tc>
          <w:tcPr>
            <w:tcW w:type="dxa" w:w="2520"/>
            <w:vAlign w:val="center"/>
            <w:shd w:fill="E2F0D9"/>
          </w:tcPr>
          <w:p>
            <w:r/>
            <w:r>
              <w:rPr>
                <w:b/>
                <w:sz w:val="18"/>
              </w:rPr>
              <w:t>Statut</w:t>
            </w:r>
          </w:p>
        </w:tc>
        <w:tc>
          <w:tcPr>
            <w:tcW w:type="dxa" w:w="2520"/>
            <w:vAlign w:val="center"/>
            <w:shd w:fill="E2F0D9"/>
          </w:tcPr>
          <w:p>
            <w:r/>
            <w:r>
              <w:rPr>
                <w:b/>
                <w:sz w:val="18"/>
              </w:rPr>
              <w:t>Notes / critères de sortie</w:t>
            </w:r>
          </w:p>
        </w:tc>
      </w:tr>
      <w:tr>
        <w:trPr>
          <w:cantSplit/>
        </w:trPr>
        <w:tc>
          <w:tcPr>
            <w:tcW w:type="dxa" w:w="2520"/>
            <w:vAlign w:val="center"/>
          </w:tcPr>
          <w:p>
            <w:r/>
            <w:r>
              <w:rPr>
                <w:b/>
                <w:sz w:val="18"/>
              </w:rPr>
              <w:t>LCAI-0020A</w:t>
            </w:r>
          </w:p>
        </w:tc>
        <w:tc>
          <w:tcPr>
            <w:tcW w:type="dxa" w:w="2520"/>
            <w:vAlign w:val="center"/>
          </w:tcPr>
          <w:p>
            <w:r/>
            <w:r>
              <w:rPr>
                <w:b w:val="0"/>
                <w:sz w:val="18"/>
              </w:rPr>
              <w:t>Audit final du curriculum 4e</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LCAI-0020B</w:t>
            </w:r>
          </w:p>
        </w:tc>
        <w:tc>
          <w:tcPr>
            <w:tcW w:type="dxa" w:w="2520"/>
            <w:vAlign w:val="center"/>
          </w:tcPr>
          <w:p>
            <w:r/>
            <w:r>
              <w:rPr>
                <w:b w:val="0"/>
                <w:sz w:val="18"/>
              </w:rPr>
              <w:t>Couverture complète des matières 4e</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LCAI-0020C</w:t>
            </w:r>
          </w:p>
        </w:tc>
        <w:tc>
          <w:tcPr>
            <w:tcW w:type="dxa" w:w="2520"/>
            <w:vAlign w:val="center"/>
          </w:tcPr>
          <w:p>
            <w:r/>
            <w:r>
              <w:rPr>
                <w:b w:val="0"/>
                <w:sz w:val="18"/>
              </w:rPr>
              <w:t>Catalogue d’exercices 4e</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LCAI-0020D</w:t>
            </w:r>
          </w:p>
        </w:tc>
        <w:tc>
          <w:tcPr>
            <w:tcW w:type="dxa" w:w="2520"/>
            <w:vAlign w:val="center"/>
          </w:tcPr>
          <w:p>
            <w:r/>
            <w:r>
              <w:rPr>
                <w:b w:val="0"/>
                <w:sz w:val="18"/>
              </w:rPr>
              <w:t>Couverture espagnol 4e</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LCAI-0020E</w:t>
            </w:r>
          </w:p>
        </w:tc>
        <w:tc>
          <w:tcPr>
            <w:tcW w:type="dxa" w:w="2520"/>
            <w:vAlign w:val="center"/>
          </w:tcPr>
          <w:p>
            <w:r/>
            <w:r>
              <w:rPr>
                <w:b w:val="0"/>
                <w:sz w:val="18"/>
              </w:rPr>
              <w:t>Diagnostic d’entrée 4e</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LCAI-0020F</w:t>
            </w:r>
          </w:p>
        </w:tc>
        <w:tc>
          <w:tcPr>
            <w:tcW w:type="dxa" w:w="2520"/>
            <w:vAlign w:val="center"/>
          </w:tcPr>
          <w:p>
            <w:r/>
            <w:r>
              <w:rPr>
                <w:b w:val="0"/>
                <w:sz w:val="18"/>
              </w:rPr>
              <w:t>Profil pédagogique 4e</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LCAI-0020G</w:t>
            </w:r>
          </w:p>
        </w:tc>
        <w:tc>
          <w:tcPr>
            <w:tcW w:type="dxa" w:w="2520"/>
            <w:vAlign w:val="center"/>
          </w:tcPr>
          <w:p>
            <w:r/>
            <w:r>
              <w:rPr>
                <w:b w:val="0"/>
                <w:sz w:val="18"/>
              </w:rPr>
              <w:t>Plan de révision 4e → 3e</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LCAI-0020H</w:t>
            </w:r>
          </w:p>
        </w:tc>
        <w:tc>
          <w:tcPr>
            <w:tcW w:type="dxa" w:w="2520"/>
            <w:vAlign w:val="center"/>
          </w:tcPr>
          <w:p>
            <w:r/>
            <w:r>
              <w:rPr>
                <w:b w:val="0"/>
                <w:sz w:val="18"/>
              </w:rPr>
              <w:t>Séances adaptatives 4e</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LCAI-0020I</w:t>
            </w:r>
          </w:p>
        </w:tc>
        <w:tc>
          <w:tcPr>
            <w:tcW w:type="dxa" w:w="2520"/>
            <w:vAlign w:val="center"/>
          </w:tcPr>
          <w:p>
            <w:r/>
            <w:r>
              <w:rPr>
                <w:b w:val="0"/>
                <w:sz w:val="18"/>
              </w:rPr>
              <w:t>Tableau de bord 4e</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LCAI-0020J</w:t>
            </w:r>
          </w:p>
        </w:tc>
        <w:tc>
          <w:tcPr>
            <w:tcW w:type="dxa" w:w="2520"/>
            <w:vAlign w:val="center"/>
          </w:tcPr>
          <w:p>
            <w:r/>
            <w:r>
              <w:rPr>
                <w:b w:val="0"/>
                <w:sz w:val="18"/>
              </w:rPr>
              <w:t>Bilan de préparation à la 3e</w:t>
            </w:r>
          </w:p>
        </w:tc>
        <w:tc>
          <w:tcPr>
            <w:tcW w:type="dxa" w:w="2520"/>
            <w:vAlign w:val="center"/>
          </w:tcPr>
          <w:p>
            <w:r/>
            <w:r>
              <w:rPr>
                <w:b w:val="0"/>
                <w:sz w:val="18"/>
              </w:rPr>
              <w:t>À planifier</w:t>
            </w:r>
          </w:p>
        </w:tc>
        <w:tc>
          <w:tcPr>
            <w:tcW w:type="dxa" w:w="2520"/>
            <w:vAlign w:val="center"/>
          </w:tcPr>
          <w:p>
            <w:r/>
            <w:r>
              <w:rPr>
                <w:b w:val="0"/>
                <w:sz w:val="18"/>
              </w:rPr>
            </w:r>
          </w:p>
        </w:tc>
      </w:tr>
      <w:tr>
        <w:trPr>
          <w:cantSplit/>
        </w:trPr>
        <w:tc>
          <w:tcPr>
            <w:tcW w:type="dxa" w:w="2520"/>
            <w:vAlign w:val="center"/>
          </w:tcPr>
          <w:p>
            <w:r/>
            <w:r>
              <w:rPr>
                <w:b/>
                <w:sz w:val="18"/>
              </w:rPr>
              <w:t>LCAI-0020K</w:t>
            </w:r>
          </w:p>
        </w:tc>
        <w:tc>
          <w:tcPr>
            <w:tcW w:type="dxa" w:w="2520"/>
            <w:vAlign w:val="center"/>
          </w:tcPr>
          <w:p>
            <w:r/>
            <w:r>
              <w:rPr>
                <w:b w:val="0"/>
                <w:sz w:val="18"/>
              </w:rPr>
              <w:t>Validation end-to-end 4e → 3e</w:t>
            </w:r>
          </w:p>
        </w:tc>
        <w:tc>
          <w:tcPr>
            <w:tcW w:type="dxa" w:w="2520"/>
            <w:vAlign w:val="center"/>
          </w:tcPr>
          <w:p>
            <w:r/>
            <w:r>
              <w:rPr>
                <w:b w:val="0"/>
                <w:sz w:val="18"/>
              </w:rPr>
              <w:t>À planifier</w:t>
            </w:r>
          </w:p>
        </w:tc>
        <w:tc>
          <w:tcPr>
            <w:tcW w:type="dxa" w:w="2520"/>
            <w:vAlign w:val="center"/>
          </w:tcPr>
          <w:p>
            <w:r/>
            <w:r>
              <w:rPr>
                <w:b w:val="0"/>
                <w:sz w:val="18"/>
              </w:rPr>
            </w:r>
          </w:p>
        </w:tc>
      </w:tr>
    </w:tbl>
    <w:p>
      <w:pPr>
        <w:pStyle w:val="Heading2"/>
      </w:pPr>
      <w:r>
        <w:t>Bloc C — Refonte et généralisation du moteur IA</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FCE4D6"/>
          </w:tcPr>
          <w:p>
            <w:r/>
            <w:r>
              <w:rPr>
                <w:b/>
                <w:sz w:val="18"/>
              </w:rPr>
              <w:t>Ticket</w:t>
            </w:r>
          </w:p>
        </w:tc>
        <w:tc>
          <w:tcPr>
            <w:tcW w:type="dxa" w:w="2520"/>
            <w:vAlign w:val="center"/>
            <w:shd w:fill="FCE4D6"/>
          </w:tcPr>
          <w:p>
            <w:r/>
            <w:r>
              <w:rPr>
                <w:b/>
                <w:sz w:val="18"/>
              </w:rPr>
              <w:t>Objet</w:t>
            </w:r>
          </w:p>
        </w:tc>
        <w:tc>
          <w:tcPr>
            <w:tcW w:type="dxa" w:w="2520"/>
            <w:vAlign w:val="center"/>
            <w:shd w:fill="FCE4D6"/>
          </w:tcPr>
          <w:p>
            <w:r/>
            <w:r>
              <w:rPr>
                <w:b/>
                <w:sz w:val="18"/>
              </w:rPr>
              <w:t>Statut</w:t>
            </w:r>
          </w:p>
        </w:tc>
        <w:tc>
          <w:tcPr>
            <w:tcW w:type="dxa" w:w="2520"/>
            <w:vAlign w:val="center"/>
            <w:shd w:fill="FCE4D6"/>
          </w:tcPr>
          <w:p>
            <w:r/>
            <w:r>
              <w:rPr>
                <w:b/>
                <w:sz w:val="18"/>
              </w:rPr>
              <w:t>Notes / critères de sortie</w:t>
            </w:r>
          </w:p>
        </w:tc>
      </w:tr>
      <w:tr>
        <w:trPr>
          <w:cantSplit/>
        </w:trPr>
        <w:tc>
          <w:tcPr>
            <w:tcW w:type="dxa" w:w="2520"/>
            <w:vAlign w:val="center"/>
          </w:tcPr>
          <w:p>
            <w:r/>
            <w:r>
              <w:rPr>
                <w:b/>
                <w:sz w:val="18"/>
              </w:rPr>
              <w:t>LCAI-0021A</w:t>
            </w:r>
          </w:p>
        </w:tc>
        <w:tc>
          <w:tcPr>
            <w:tcW w:type="dxa" w:w="2520"/>
            <w:vAlign w:val="center"/>
          </w:tcPr>
          <w:p>
            <w:r/>
            <w:r>
              <w:rPr>
                <w:b w:val="0"/>
                <w:sz w:val="18"/>
              </w:rPr>
              <w:t>Audit du moteur IA existant</w:t>
            </w:r>
          </w:p>
        </w:tc>
        <w:tc>
          <w:tcPr>
            <w:tcW w:type="dxa" w:w="2520"/>
            <w:vAlign w:val="center"/>
          </w:tcPr>
          <w:p>
            <w:r/>
            <w:r>
              <w:rPr>
                <w:b w:val="0"/>
                <w:sz w:val="18"/>
              </w:rPr>
              <w:t>Après validation A+B</w:t>
            </w:r>
          </w:p>
        </w:tc>
        <w:tc>
          <w:tcPr>
            <w:tcW w:type="dxa" w:w="2520"/>
            <w:vAlign w:val="center"/>
          </w:tcPr>
          <w:p>
            <w:r/>
            <w:r>
              <w:rPr>
                <w:b w:val="0"/>
                <w:sz w:val="18"/>
              </w:rPr>
            </w:r>
          </w:p>
        </w:tc>
      </w:tr>
      <w:tr>
        <w:trPr>
          <w:cantSplit/>
        </w:trPr>
        <w:tc>
          <w:tcPr>
            <w:tcW w:type="dxa" w:w="2520"/>
            <w:vAlign w:val="center"/>
          </w:tcPr>
          <w:p>
            <w:r/>
            <w:r>
              <w:rPr>
                <w:b/>
                <w:sz w:val="18"/>
              </w:rPr>
              <w:t>LCAI-0021B</w:t>
            </w:r>
          </w:p>
        </w:tc>
        <w:tc>
          <w:tcPr>
            <w:tcW w:type="dxa" w:w="2520"/>
            <w:vAlign w:val="center"/>
          </w:tcPr>
          <w:p>
            <w:r/>
            <w:r>
              <w:rPr>
                <w:b w:val="0"/>
                <w:sz w:val="18"/>
              </w:rPr>
              <w:t>Séparation moteur IA interne / professeur IA visible</w:t>
            </w:r>
          </w:p>
        </w:tc>
        <w:tc>
          <w:tcPr>
            <w:tcW w:type="dxa" w:w="2520"/>
            <w:vAlign w:val="center"/>
          </w:tcPr>
          <w:p>
            <w:r/>
            <w:r>
              <w:rPr>
                <w:b w:val="0"/>
                <w:sz w:val="18"/>
              </w:rPr>
              <w:t>Après validation A+B</w:t>
            </w:r>
          </w:p>
        </w:tc>
        <w:tc>
          <w:tcPr>
            <w:tcW w:type="dxa" w:w="2520"/>
            <w:vAlign w:val="center"/>
          </w:tcPr>
          <w:p>
            <w:r/>
            <w:r>
              <w:rPr>
                <w:b w:val="0"/>
                <w:sz w:val="18"/>
              </w:rPr>
            </w:r>
          </w:p>
        </w:tc>
      </w:tr>
      <w:tr>
        <w:trPr>
          <w:cantSplit/>
        </w:trPr>
        <w:tc>
          <w:tcPr>
            <w:tcW w:type="dxa" w:w="2520"/>
            <w:vAlign w:val="center"/>
          </w:tcPr>
          <w:p>
            <w:r/>
            <w:r>
              <w:rPr>
                <w:b/>
                <w:sz w:val="18"/>
              </w:rPr>
              <w:t>LCAI-0021C</w:t>
            </w:r>
          </w:p>
        </w:tc>
        <w:tc>
          <w:tcPr>
            <w:tcW w:type="dxa" w:w="2520"/>
            <w:vAlign w:val="center"/>
          </w:tcPr>
          <w:p>
            <w:r/>
            <w:r>
              <w:rPr>
                <w:b w:val="0"/>
                <w:sz w:val="18"/>
              </w:rPr>
              <w:t>Généralisation du fallback à toutes les classes</w:t>
            </w:r>
          </w:p>
        </w:tc>
        <w:tc>
          <w:tcPr>
            <w:tcW w:type="dxa" w:w="2520"/>
            <w:vAlign w:val="center"/>
          </w:tcPr>
          <w:p>
            <w:r/>
            <w:r>
              <w:rPr>
                <w:b w:val="0"/>
                <w:sz w:val="18"/>
              </w:rPr>
              <w:t>Après validation A+B</w:t>
            </w:r>
          </w:p>
        </w:tc>
        <w:tc>
          <w:tcPr>
            <w:tcW w:type="dxa" w:w="2520"/>
            <w:vAlign w:val="center"/>
          </w:tcPr>
          <w:p>
            <w:r/>
            <w:r>
              <w:rPr>
                <w:b w:val="0"/>
                <w:sz w:val="18"/>
              </w:rPr>
            </w:r>
          </w:p>
        </w:tc>
      </w:tr>
      <w:tr>
        <w:trPr>
          <w:cantSplit/>
        </w:trPr>
        <w:tc>
          <w:tcPr>
            <w:tcW w:type="dxa" w:w="2520"/>
            <w:vAlign w:val="center"/>
          </w:tcPr>
          <w:p>
            <w:r/>
            <w:r>
              <w:rPr>
                <w:b/>
                <w:sz w:val="18"/>
              </w:rPr>
              <w:t>LCAI-0021D</w:t>
            </w:r>
          </w:p>
        </w:tc>
        <w:tc>
          <w:tcPr>
            <w:tcW w:type="dxa" w:w="2520"/>
            <w:vAlign w:val="center"/>
          </w:tcPr>
          <w:p>
            <w:r/>
            <w:r>
              <w:rPr>
                <w:b w:val="0"/>
                <w:sz w:val="18"/>
              </w:rPr>
              <w:t>Généralisation du fallback à toutes les matières</w:t>
            </w:r>
          </w:p>
        </w:tc>
        <w:tc>
          <w:tcPr>
            <w:tcW w:type="dxa" w:w="2520"/>
            <w:vAlign w:val="center"/>
          </w:tcPr>
          <w:p>
            <w:r/>
            <w:r>
              <w:rPr>
                <w:b w:val="0"/>
                <w:sz w:val="18"/>
              </w:rPr>
              <w:t>Après validation A+B</w:t>
            </w:r>
          </w:p>
        </w:tc>
        <w:tc>
          <w:tcPr>
            <w:tcW w:type="dxa" w:w="2520"/>
            <w:vAlign w:val="center"/>
          </w:tcPr>
          <w:p>
            <w:r/>
            <w:r>
              <w:rPr>
                <w:b w:val="0"/>
                <w:sz w:val="18"/>
              </w:rPr>
            </w:r>
          </w:p>
        </w:tc>
      </w:tr>
      <w:tr>
        <w:trPr>
          <w:cantSplit/>
        </w:trPr>
        <w:tc>
          <w:tcPr>
            <w:tcW w:type="dxa" w:w="2520"/>
            <w:vAlign w:val="center"/>
          </w:tcPr>
          <w:p>
            <w:r/>
            <w:r>
              <w:rPr>
                <w:b/>
                <w:sz w:val="18"/>
              </w:rPr>
              <w:t>LCAI-0021E</w:t>
            </w:r>
          </w:p>
        </w:tc>
        <w:tc>
          <w:tcPr>
            <w:tcW w:type="dxa" w:w="2520"/>
            <w:vAlign w:val="center"/>
          </w:tcPr>
          <w:p>
            <w:r/>
            <w:r>
              <w:rPr>
                <w:b w:val="0"/>
                <w:sz w:val="18"/>
              </w:rPr>
              <w:t>Service universel de disponibilité des exercices</w:t>
            </w:r>
          </w:p>
        </w:tc>
        <w:tc>
          <w:tcPr>
            <w:tcW w:type="dxa" w:w="2520"/>
            <w:vAlign w:val="center"/>
          </w:tcPr>
          <w:p>
            <w:r/>
            <w:r>
              <w:rPr>
                <w:b w:val="0"/>
                <w:sz w:val="18"/>
              </w:rPr>
              <w:t>Après validation A+B</w:t>
            </w:r>
          </w:p>
        </w:tc>
        <w:tc>
          <w:tcPr>
            <w:tcW w:type="dxa" w:w="2520"/>
            <w:vAlign w:val="center"/>
          </w:tcPr>
          <w:p>
            <w:r/>
            <w:r>
              <w:rPr>
                <w:b w:val="0"/>
                <w:sz w:val="18"/>
              </w:rPr>
            </w:r>
          </w:p>
        </w:tc>
      </w:tr>
      <w:tr>
        <w:trPr>
          <w:cantSplit/>
        </w:trPr>
        <w:tc>
          <w:tcPr>
            <w:tcW w:type="dxa" w:w="2520"/>
            <w:vAlign w:val="center"/>
          </w:tcPr>
          <w:p>
            <w:r/>
            <w:r>
              <w:rPr>
                <w:b/>
                <w:sz w:val="18"/>
              </w:rPr>
              <w:t>LCAI-0021F</w:t>
            </w:r>
          </w:p>
        </w:tc>
        <w:tc>
          <w:tcPr>
            <w:tcW w:type="dxa" w:w="2520"/>
            <w:vAlign w:val="center"/>
          </w:tcPr>
          <w:p>
            <w:r/>
            <w:r>
              <w:rPr>
                <w:b w:val="0"/>
                <w:sz w:val="18"/>
              </w:rPr>
              <w:t>Pipeline universel de génération, validation et persistance</w:t>
            </w:r>
          </w:p>
        </w:tc>
        <w:tc>
          <w:tcPr>
            <w:tcW w:type="dxa" w:w="2520"/>
            <w:vAlign w:val="center"/>
          </w:tcPr>
          <w:p>
            <w:r/>
            <w:r>
              <w:rPr>
                <w:b w:val="0"/>
                <w:sz w:val="18"/>
              </w:rPr>
              <w:t>Après validation A+B</w:t>
            </w:r>
          </w:p>
        </w:tc>
        <w:tc>
          <w:tcPr>
            <w:tcW w:type="dxa" w:w="2520"/>
            <w:vAlign w:val="center"/>
          </w:tcPr>
          <w:p>
            <w:r/>
            <w:r>
              <w:rPr>
                <w:b w:val="0"/>
                <w:sz w:val="18"/>
              </w:rPr>
            </w:r>
          </w:p>
        </w:tc>
      </w:tr>
      <w:tr>
        <w:trPr>
          <w:cantSplit/>
        </w:trPr>
        <w:tc>
          <w:tcPr>
            <w:tcW w:type="dxa" w:w="2520"/>
            <w:vAlign w:val="center"/>
          </w:tcPr>
          <w:p>
            <w:r/>
            <w:r>
              <w:rPr>
                <w:b/>
                <w:sz w:val="18"/>
              </w:rPr>
              <w:t>LCAI-0021G</w:t>
            </w:r>
          </w:p>
        </w:tc>
        <w:tc>
          <w:tcPr>
            <w:tcW w:type="dxa" w:w="2520"/>
            <w:vAlign w:val="center"/>
          </w:tcPr>
          <w:p>
            <w:r/>
            <w:r>
              <w:rPr>
                <w:b w:val="0"/>
                <w:sz w:val="18"/>
              </w:rPr>
              <w:t>Analyse interne permanente des résultats</w:t>
            </w:r>
          </w:p>
        </w:tc>
        <w:tc>
          <w:tcPr>
            <w:tcW w:type="dxa" w:w="2520"/>
            <w:vAlign w:val="center"/>
          </w:tcPr>
          <w:p>
            <w:r/>
            <w:r>
              <w:rPr>
                <w:b w:val="0"/>
                <w:sz w:val="18"/>
              </w:rPr>
              <w:t>Après validation A+B</w:t>
            </w:r>
          </w:p>
        </w:tc>
        <w:tc>
          <w:tcPr>
            <w:tcW w:type="dxa" w:w="2520"/>
            <w:vAlign w:val="center"/>
          </w:tcPr>
          <w:p>
            <w:r/>
            <w:r>
              <w:rPr>
                <w:b w:val="0"/>
                <w:sz w:val="18"/>
              </w:rPr>
            </w:r>
          </w:p>
        </w:tc>
      </w:tr>
      <w:tr>
        <w:trPr>
          <w:cantSplit/>
        </w:trPr>
        <w:tc>
          <w:tcPr>
            <w:tcW w:type="dxa" w:w="2520"/>
            <w:vAlign w:val="center"/>
          </w:tcPr>
          <w:p>
            <w:r/>
            <w:r>
              <w:rPr>
                <w:b/>
                <w:sz w:val="18"/>
              </w:rPr>
              <w:t>LCAI-0021H</w:t>
            </w:r>
          </w:p>
        </w:tc>
        <w:tc>
          <w:tcPr>
            <w:tcW w:type="dxa" w:w="2520"/>
            <w:vAlign w:val="center"/>
          </w:tcPr>
          <w:p>
            <w:r/>
            <w:r>
              <w:rPr>
                <w:b w:val="0"/>
                <w:sz w:val="18"/>
              </w:rPr>
              <w:t>Classification transverse des erreurs</w:t>
            </w:r>
          </w:p>
        </w:tc>
        <w:tc>
          <w:tcPr>
            <w:tcW w:type="dxa" w:w="2520"/>
            <w:vAlign w:val="center"/>
          </w:tcPr>
          <w:p>
            <w:r/>
            <w:r>
              <w:rPr>
                <w:b w:val="0"/>
                <w:sz w:val="18"/>
              </w:rPr>
              <w:t>Après validation A+B</w:t>
            </w:r>
          </w:p>
        </w:tc>
        <w:tc>
          <w:tcPr>
            <w:tcW w:type="dxa" w:w="2520"/>
            <w:vAlign w:val="center"/>
          </w:tcPr>
          <w:p>
            <w:r/>
            <w:r>
              <w:rPr>
                <w:b w:val="0"/>
                <w:sz w:val="18"/>
              </w:rPr>
            </w:r>
          </w:p>
        </w:tc>
      </w:tr>
      <w:tr>
        <w:trPr>
          <w:cantSplit/>
        </w:trPr>
        <w:tc>
          <w:tcPr>
            <w:tcW w:type="dxa" w:w="2520"/>
            <w:vAlign w:val="center"/>
          </w:tcPr>
          <w:p>
            <w:r/>
            <w:r>
              <w:rPr>
                <w:b/>
                <w:sz w:val="18"/>
              </w:rPr>
              <w:t>LCAI-0021I</w:t>
            </w:r>
          </w:p>
        </w:tc>
        <w:tc>
          <w:tcPr>
            <w:tcW w:type="dxa" w:w="2520"/>
            <w:vAlign w:val="center"/>
          </w:tcPr>
          <w:p>
            <w:r/>
            <w:r>
              <w:rPr>
                <w:b w:val="0"/>
                <w:sz w:val="18"/>
              </w:rPr>
              <w:t>Mise à jour automatique du profil pédagogique</w:t>
            </w:r>
          </w:p>
        </w:tc>
        <w:tc>
          <w:tcPr>
            <w:tcW w:type="dxa" w:w="2520"/>
            <w:vAlign w:val="center"/>
          </w:tcPr>
          <w:p>
            <w:r/>
            <w:r>
              <w:rPr>
                <w:b w:val="0"/>
                <w:sz w:val="18"/>
              </w:rPr>
              <w:t>Après validation A+B</w:t>
            </w:r>
          </w:p>
        </w:tc>
        <w:tc>
          <w:tcPr>
            <w:tcW w:type="dxa" w:w="2520"/>
            <w:vAlign w:val="center"/>
          </w:tcPr>
          <w:p>
            <w:r/>
            <w:r>
              <w:rPr>
                <w:b w:val="0"/>
                <w:sz w:val="18"/>
              </w:rPr>
            </w:r>
          </w:p>
        </w:tc>
      </w:tr>
      <w:tr>
        <w:trPr>
          <w:cantSplit/>
        </w:trPr>
        <w:tc>
          <w:tcPr>
            <w:tcW w:type="dxa" w:w="2520"/>
            <w:vAlign w:val="center"/>
          </w:tcPr>
          <w:p>
            <w:r/>
            <w:r>
              <w:rPr>
                <w:b/>
                <w:sz w:val="18"/>
              </w:rPr>
              <w:t>LCAI-0021J</w:t>
            </w:r>
          </w:p>
        </w:tc>
        <w:tc>
          <w:tcPr>
            <w:tcW w:type="dxa" w:w="2520"/>
            <w:vAlign w:val="center"/>
          </w:tcPr>
          <w:p>
            <w:r/>
            <w:r>
              <w:rPr>
                <w:b w:val="0"/>
                <w:sz w:val="18"/>
              </w:rPr>
              <w:t>Recommandations pédagogiques internes</w:t>
            </w:r>
          </w:p>
        </w:tc>
        <w:tc>
          <w:tcPr>
            <w:tcW w:type="dxa" w:w="2520"/>
            <w:vAlign w:val="center"/>
          </w:tcPr>
          <w:p>
            <w:r/>
            <w:r>
              <w:rPr>
                <w:b w:val="0"/>
                <w:sz w:val="18"/>
              </w:rPr>
              <w:t>Après validation A+B</w:t>
            </w:r>
          </w:p>
        </w:tc>
        <w:tc>
          <w:tcPr>
            <w:tcW w:type="dxa" w:w="2520"/>
            <w:vAlign w:val="center"/>
          </w:tcPr>
          <w:p>
            <w:r/>
            <w:r>
              <w:rPr>
                <w:b w:val="0"/>
                <w:sz w:val="18"/>
              </w:rPr>
            </w:r>
          </w:p>
        </w:tc>
      </w:tr>
      <w:tr>
        <w:trPr>
          <w:cantSplit/>
        </w:trPr>
        <w:tc>
          <w:tcPr>
            <w:tcW w:type="dxa" w:w="2520"/>
            <w:vAlign w:val="center"/>
          </w:tcPr>
          <w:p>
            <w:r/>
            <w:r>
              <w:rPr>
                <w:b/>
                <w:sz w:val="18"/>
              </w:rPr>
              <w:t>LCAI-0021K</w:t>
            </w:r>
          </w:p>
        </w:tc>
        <w:tc>
          <w:tcPr>
            <w:tcW w:type="dxa" w:w="2520"/>
            <w:vAlign w:val="center"/>
          </w:tcPr>
          <w:p>
            <w:r/>
            <w:r>
              <w:rPr>
                <w:b w:val="0"/>
                <w:sz w:val="18"/>
              </w:rPr>
              <w:t>Alimentation automatique des tableaux de bord</w:t>
            </w:r>
          </w:p>
        </w:tc>
        <w:tc>
          <w:tcPr>
            <w:tcW w:type="dxa" w:w="2520"/>
            <w:vAlign w:val="center"/>
          </w:tcPr>
          <w:p>
            <w:r/>
            <w:r>
              <w:rPr>
                <w:b w:val="0"/>
                <w:sz w:val="18"/>
              </w:rPr>
              <w:t>Après validation A+B</w:t>
            </w:r>
          </w:p>
        </w:tc>
        <w:tc>
          <w:tcPr>
            <w:tcW w:type="dxa" w:w="2520"/>
            <w:vAlign w:val="center"/>
          </w:tcPr>
          <w:p>
            <w:r/>
            <w:r>
              <w:rPr>
                <w:b w:val="0"/>
                <w:sz w:val="18"/>
              </w:rPr>
            </w:r>
          </w:p>
        </w:tc>
      </w:tr>
      <w:tr>
        <w:trPr>
          <w:cantSplit/>
        </w:trPr>
        <w:tc>
          <w:tcPr>
            <w:tcW w:type="dxa" w:w="2520"/>
            <w:vAlign w:val="center"/>
          </w:tcPr>
          <w:p>
            <w:r/>
            <w:r>
              <w:rPr>
                <w:b/>
                <w:sz w:val="18"/>
              </w:rPr>
              <w:t>LCAI-0021L</w:t>
            </w:r>
          </w:p>
        </w:tc>
        <w:tc>
          <w:tcPr>
            <w:tcW w:type="dxa" w:w="2520"/>
            <w:vAlign w:val="center"/>
          </w:tcPr>
          <w:p>
            <w:r/>
            <w:r>
              <w:rPr>
                <w:b w:val="0"/>
                <w:sz w:val="18"/>
              </w:rPr>
              <w:t>Gestion du professeur IA visible activé ou désactivé</w:t>
            </w:r>
          </w:p>
        </w:tc>
        <w:tc>
          <w:tcPr>
            <w:tcW w:type="dxa" w:w="2520"/>
            <w:vAlign w:val="center"/>
          </w:tcPr>
          <w:p>
            <w:r/>
            <w:r>
              <w:rPr>
                <w:b w:val="0"/>
                <w:sz w:val="18"/>
              </w:rPr>
              <w:t>Après validation A+B</w:t>
            </w:r>
          </w:p>
        </w:tc>
        <w:tc>
          <w:tcPr>
            <w:tcW w:type="dxa" w:w="2520"/>
            <w:vAlign w:val="center"/>
          </w:tcPr>
          <w:p>
            <w:r/>
            <w:r>
              <w:rPr>
                <w:b w:val="0"/>
                <w:sz w:val="18"/>
              </w:rPr>
            </w:r>
          </w:p>
        </w:tc>
      </w:tr>
      <w:tr>
        <w:trPr>
          <w:cantSplit/>
        </w:trPr>
        <w:tc>
          <w:tcPr>
            <w:tcW w:type="dxa" w:w="2520"/>
            <w:vAlign w:val="center"/>
          </w:tcPr>
          <w:p>
            <w:r/>
            <w:r>
              <w:rPr>
                <w:b/>
                <w:sz w:val="18"/>
              </w:rPr>
              <w:t>LCAI-0021M</w:t>
            </w:r>
          </w:p>
        </w:tc>
        <w:tc>
          <w:tcPr>
            <w:tcW w:type="dxa" w:w="2520"/>
            <w:vAlign w:val="center"/>
          </w:tcPr>
          <w:p>
            <w:r/>
            <w:r>
              <w:rPr>
                <w:b w:val="0"/>
                <w:sz w:val="18"/>
              </w:rPr>
              <w:t>Tests multi-classes et multi-matières</w:t>
            </w:r>
          </w:p>
        </w:tc>
        <w:tc>
          <w:tcPr>
            <w:tcW w:type="dxa" w:w="2520"/>
            <w:vAlign w:val="center"/>
          </w:tcPr>
          <w:p>
            <w:r/>
            <w:r>
              <w:rPr>
                <w:b w:val="0"/>
                <w:sz w:val="18"/>
              </w:rPr>
              <w:t>Après validation A+B</w:t>
            </w:r>
          </w:p>
        </w:tc>
        <w:tc>
          <w:tcPr>
            <w:tcW w:type="dxa" w:w="2520"/>
            <w:vAlign w:val="center"/>
          </w:tcPr>
          <w:p>
            <w:r/>
            <w:r>
              <w:rPr>
                <w:b w:val="0"/>
                <w:sz w:val="18"/>
              </w:rPr>
            </w:r>
          </w:p>
        </w:tc>
      </w:tr>
      <w:tr>
        <w:trPr>
          <w:cantSplit/>
        </w:trPr>
        <w:tc>
          <w:tcPr>
            <w:tcW w:type="dxa" w:w="2520"/>
            <w:vAlign w:val="center"/>
          </w:tcPr>
          <w:p>
            <w:r/>
            <w:r>
              <w:rPr>
                <w:b/>
                <w:sz w:val="18"/>
              </w:rPr>
              <w:t>LCAI-0021N</w:t>
            </w:r>
          </w:p>
        </w:tc>
        <w:tc>
          <w:tcPr>
            <w:tcW w:type="dxa" w:w="2520"/>
            <w:vAlign w:val="center"/>
          </w:tcPr>
          <w:p>
            <w:r/>
            <w:r>
              <w:rPr>
                <w:b w:val="0"/>
                <w:sz w:val="18"/>
              </w:rPr>
              <w:t>Validation finale du moteur IA V1</w:t>
            </w:r>
          </w:p>
        </w:tc>
        <w:tc>
          <w:tcPr>
            <w:tcW w:type="dxa" w:w="2520"/>
            <w:vAlign w:val="center"/>
          </w:tcPr>
          <w:p>
            <w:r/>
            <w:r>
              <w:rPr>
                <w:b w:val="0"/>
                <w:sz w:val="18"/>
              </w:rPr>
              <w:t>Après validation A+B</w:t>
            </w:r>
          </w:p>
        </w:tc>
        <w:tc>
          <w:tcPr>
            <w:tcW w:type="dxa" w:w="2520"/>
            <w:vAlign w:val="center"/>
          </w:tcPr>
          <w:p>
            <w:r/>
            <w:r>
              <w:rPr>
                <w:b w:val="0"/>
                <w:sz w:val="18"/>
              </w:rPr>
            </w:r>
          </w:p>
        </w:tc>
      </w:tr>
    </w:tbl>
    <w:p>
      <w:pPr>
        <w:pStyle w:val="Heading1"/>
      </w:pPr>
      <w:r>
        <w:t>6. Principes fonctionnels à conserver pour la future refonte IA</w:t>
      </w:r>
    </w:p>
    <w:p>
      <w:pPr>
        <w:pStyle w:val="Heading2"/>
      </w:pPr>
      <w:r>
        <w:t>6.1 Le moteur IA interne reste actif</w:t>
      </w:r>
    </w:p>
    <w:p>
      <w:r>
        <w:t>Même lorsque le professeur IA visible est désactivé pour un enfant, le moteur pédagogique interne doit continuer à analyser les résultats, classer les erreurs, mettre à jour le profil, générer des recommandations, alimenter les tableaux de bord et créer des exercices en cas de déficit de catalogue.</w:t>
      </w:r>
    </w:p>
    <w:p>
      <w:pPr>
        <w:pStyle w:val="Heading2"/>
      </w:pPr>
      <w:r>
        <w:t>6.2 Le professeur IA visible est une couche de présentation</w:t>
      </w:r>
    </w:p>
    <w:p>
      <w:r>
        <w:t>Le paramètre du compte enfant doit uniquement contrôler les conseils, encouragements, explications et interactions conversationnelles visibles. Il ne doit jamais désactiver les traitements pédagogiques de fond.</w:t>
      </w:r>
    </w:p>
    <w:p>
      <w:pPr>
        <w:pStyle w:val="Heading2"/>
      </w:pPr>
      <w:r>
        <w:t>6.3 Le fallback IA devient transverse</w:t>
      </w:r>
    </w:p>
    <w:p>
      <w:r>
        <w:t>Après la validation des parcours CM1 et 4e, le fallback devra être généralisé à toutes les classes et toutes les matières. Il devra compléter uniquement le déficit réel, valider et persister les exercices générés, éviter les doublons et privilégier systématiquement le catalogue existant.</w:t>
      </w:r>
    </w:p>
    <w:p>
      <w:pPr>
        <w:pStyle w:val="Heading1"/>
      </w:pPr>
      <w:r>
        <w:t>7. Jalons de validation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1F2"/>
          </w:tcPr>
          <w:p>
            <w:r/>
            <w:r>
              <w:rPr>
                <w:b/>
                <w:sz w:val="18"/>
              </w:rPr>
              <w:t>Jalon</w:t>
            </w:r>
          </w:p>
        </w:tc>
        <w:tc>
          <w:tcPr>
            <w:tcW w:type="dxa" w:w="3360"/>
            <w:vAlign w:val="center"/>
            <w:shd w:fill="D9E1F2"/>
          </w:tcPr>
          <w:p>
            <w:r/>
            <w:r>
              <w:rPr>
                <w:b/>
                <w:sz w:val="18"/>
              </w:rPr>
              <w:t>Résultat attendu</w:t>
            </w:r>
          </w:p>
        </w:tc>
        <w:tc>
          <w:tcPr>
            <w:tcW w:type="dxa" w:w="3360"/>
            <w:vAlign w:val="center"/>
            <w:shd w:fill="D9E1F2"/>
          </w:tcPr>
          <w:p>
            <w:r/>
            <w:r>
              <w:rPr>
                <w:b/>
                <w:sz w:val="18"/>
              </w:rPr>
              <w:t>Critère de fermeture</w:t>
            </w:r>
          </w:p>
        </w:tc>
      </w:tr>
      <w:tr>
        <w:trPr>
          <w:cantSplit/>
        </w:trPr>
        <w:tc>
          <w:tcPr>
            <w:tcW w:type="dxa" w:w="3360"/>
            <w:vAlign w:val="center"/>
          </w:tcPr>
          <w:p>
            <w:r/>
            <w:r>
              <w:rPr>
                <w:b/>
                <w:sz w:val="18"/>
              </w:rPr>
              <w:t>Jalon 1</w:t>
            </w:r>
          </w:p>
        </w:tc>
        <w:tc>
          <w:tcPr>
            <w:tcW w:type="dxa" w:w="3360"/>
            <w:vAlign w:val="center"/>
          </w:tcPr>
          <w:p>
            <w:r/>
            <w:r>
              <w:rPr>
                <w:b w:val="0"/>
                <w:sz w:val="18"/>
              </w:rPr>
              <w:t>CM1 fonctionnel</w:t>
            </w:r>
          </w:p>
        </w:tc>
        <w:tc>
          <w:tcPr>
            <w:tcW w:type="dxa" w:w="3360"/>
            <w:vAlign w:val="center"/>
          </w:tcPr>
          <w:p>
            <w:r/>
            <w:r>
              <w:rPr>
                <w:b w:val="0"/>
                <w:sz w:val="18"/>
              </w:rPr>
              <w:t>Parcours complet jusqu’au bilan CM2, toutes matières couvertes, tests end-to-end validés.</w:t>
            </w:r>
          </w:p>
        </w:tc>
      </w:tr>
      <w:tr>
        <w:trPr>
          <w:cantSplit/>
        </w:trPr>
        <w:tc>
          <w:tcPr>
            <w:tcW w:type="dxa" w:w="3360"/>
            <w:vAlign w:val="center"/>
          </w:tcPr>
          <w:p>
            <w:r/>
            <w:r>
              <w:rPr>
                <w:b/>
                <w:sz w:val="18"/>
              </w:rPr>
              <w:t>Jalon 2</w:t>
            </w:r>
          </w:p>
        </w:tc>
        <w:tc>
          <w:tcPr>
            <w:tcW w:type="dxa" w:w="3360"/>
            <w:vAlign w:val="center"/>
          </w:tcPr>
          <w:p>
            <w:r/>
            <w:r>
              <w:rPr>
                <w:b w:val="0"/>
                <w:sz w:val="18"/>
              </w:rPr>
              <w:t>4e fonctionnelle</w:t>
            </w:r>
          </w:p>
        </w:tc>
        <w:tc>
          <w:tcPr>
            <w:tcW w:type="dxa" w:w="3360"/>
            <w:vAlign w:val="center"/>
          </w:tcPr>
          <w:p>
            <w:r/>
            <w:r>
              <w:rPr>
                <w:b w:val="0"/>
                <w:sz w:val="18"/>
              </w:rPr>
              <w:t>Parcours complet jusqu’au bilan 3e, espagnol inclus, tests end-to-end validés.</w:t>
            </w:r>
          </w:p>
        </w:tc>
      </w:tr>
      <w:tr>
        <w:trPr>
          <w:cantSplit/>
        </w:trPr>
        <w:tc>
          <w:tcPr>
            <w:tcW w:type="dxa" w:w="3360"/>
            <w:vAlign w:val="center"/>
          </w:tcPr>
          <w:p>
            <w:r/>
            <w:r>
              <w:rPr>
                <w:b/>
                <w:sz w:val="18"/>
              </w:rPr>
              <w:t>Jalon 3</w:t>
            </w:r>
          </w:p>
        </w:tc>
        <w:tc>
          <w:tcPr>
            <w:tcW w:type="dxa" w:w="3360"/>
            <w:vAlign w:val="center"/>
          </w:tcPr>
          <w:p>
            <w:r/>
            <w:r>
              <w:rPr>
                <w:b w:val="0"/>
                <w:sz w:val="18"/>
              </w:rPr>
              <w:t>V1 pédagogique validée</w:t>
            </w:r>
          </w:p>
        </w:tc>
        <w:tc>
          <w:tcPr>
            <w:tcW w:type="dxa" w:w="3360"/>
            <w:vAlign w:val="center"/>
          </w:tcPr>
          <w:p>
            <w:r/>
            <w:r>
              <w:rPr>
                <w:b w:val="0"/>
                <w:sz w:val="18"/>
              </w:rPr>
              <w:t>Les deux enfants peuvent utiliser les parcours sans rupture fonctionnelle.</w:t>
            </w:r>
          </w:p>
        </w:tc>
      </w:tr>
      <w:tr>
        <w:trPr>
          <w:cantSplit/>
        </w:trPr>
        <w:tc>
          <w:tcPr>
            <w:tcW w:type="dxa" w:w="3360"/>
            <w:vAlign w:val="center"/>
          </w:tcPr>
          <w:p>
            <w:r/>
            <w:r>
              <w:rPr>
                <w:b/>
                <w:sz w:val="18"/>
              </w:rPr>
              <w:t>Jalon 4</w:t>
            </w:r>
          </w:p>
        </w:tc>
        <w:tc>
          <w:tcPr>
            <w:tcW w:type="dxa" w:w="3360"/>
            <w:vAlign w:val="center"/>
          </w:tcPr>
          <w:p>
            <w:r/>
            <w:r>
              <w:rPr>
                <w:b w:val="0"/>
                <w:sz w:val="18"/>
              </w:rPr>
              <w:t>Moteur IA refondu</w:t>
            </w:r>
          </w:p>
        </w:tc>
        <w:tc>
          <w:tcPr>
            <w:tcW w:type="dxa" w:w="3360"/>
            <w:vAlign w:val="center"/>
          </w:tcPr>
          <w:p>
            <w:r/>
            <w:r>
              <w:rPr>
                <w:b w:val="0"/>
                <w:sz w:val="18"/>
              </w:rPr>
              <w:t>Fallback et analyse internes transverses, indépendants du professeur visible.</w:t>
            </w:r>
          </w:p>
        </w:tc>
      </w:tr>
      <w:tr>
        <w:trPr>
          <w:cantSplit/>
        </w:trPr>
        <w:tc>
          <w:tcPr>
            <w:tcW w:type="dxa" w:w="3360"/>
            <w:vAlign w:val="center"/>
          </w:tcPr>
          <w:p>
            <w:r/>
            <w:r>
              <w:rPr>
                <w:b/>
                <w:sz w:val="18"/>
              </w:rPr>
              <w:t>Jalon 5</w:t>
            </w:r>
          </w:p>
        </w:tc>
        <w:tc>
          <w:tcPr>
            <w:tcW w:type="dxa" w:w="3360"/>
            <w:vAlign w:val="center"/>
          </w:tcPr>
          <w:p>
            <w:r/>
            <w:r>
              <w:rPr>
                <w:b w:val="0"/>
                <w:sz w:val="18"/>
              </w:rPr>
              <w:t>Extension classes suivantes</w:t>
            </w:r>
          </w:p>
        </w:tc>
        <w:tc>
          <w:tcPr>
            <w:tcW w:type="dxa" w:w="3360"/>
            <w:vAlign w:val="center"/>
          </w:tcPr>
          <w:p>
            <w:r/>
            <w:r>
              <w:rPr>
                <w:b w:val="0"/>
                <w:sz w:val="18"/>
              </w:rPr>
              <w:t>Reprise CM2 et autres classes sur le nouveau socle IA.</w:t>
            </w:r>
          </w:p>
        </w:tc>
      </w:tr>
    </w:tbl>
    <w:p>
      <w:pPr>
        <w:pStyle w:val="Heading1"/>
      </w:pPr>
      <w:r>
        <w:t>8. Règles de suivi du document</w:t>
      </w:r>
    </w:p>
    <w:p>
      <w:pPr>
        <w:pStyle w:val="ListBullet"/>
      </w:pPr>
      <w:r>
        <w:t>Le statut de chaque ticket doit être mis à jour dans les tableaux : À planifier, En cours, Ready for review, Validé, Bloqué ou Abandonné.</w:t>
      </w:r>
    </w:p>
    <w:p>
      <w:pPr>
        <w:pStyle w:val="ListBullet"/>
      </w:pPr>
      <w:r>
        <w:t>Chaque ticket validé doit renseigner son commit, son niveau de test et son résultat de validation.</w:t>
      </w:r>
    </w:p>
    <w:p>
      <w:pPr>
        <w:pStyle w:val="ListBullet"/>
      </w:pPr>
      <w:r>
        <w:t>Aucun ticket de refonte IA ne doit être lancé avant la validation end-to-end des blocs CM1 et 4e, sauf correction critique bloquante.</w:t>
      </w:r>
    </w:p>
    <w:p>
      <w:pPr>
        <w:pStyle w:val="ListBullet"/>
      </w:pPr>
      <w:r>
        <w:t>Toute nouvelle décision de périmètre doit être ajoutée à ce document afin qu’il reste la référence de pilotage de la V1.</w:t>
      </w:r>
    </w:p>
    <w:p>
      <w:pPr>
        <w:pStyle w:val="ListBullet"/>
      </w:pPr>
      <w:r>
        <w:t>Les tickets LCAI-0018D à LCAI-0018H restent inchangés et ne sont jamais renumérotés.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Learning Coach AI — Suivi V1 — CM1 / 4e / Moteur 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