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1E4D1A"/>
          <w:sz w:val="56"/>
          <w:szCs w:val="56"/>
        </w:rPr>
        <w:t xml:space="preserve">Chunky Norris — Product Backlog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A6E54"/>
          <w:sz w:val="22"/>
          <w:szCs w:val="22"/>
        </w:rPr>
        <w:t xml:space="preserve">Drogheda Animal Rescue  ·  v0.1 Draft  ·  25 February 2026  ·  Based on sessions 23 Feb + 25 Feb 2026</w:t>
      </w:r>
    </w:p>
    <w:p>
      <w:pPr>
        <w:pBdr>
          <w:bottom w:val="single" w:color="7AB872" w:sz="6" w:space="1"/>
        </w:pBdr>
        <w:spacing w:after="0" w:before="0"/>
      </w:pPr>
    </w:p>
    <w:p>
      <w:pPr>
        <w:spacing w:before="10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c>
          <w:tcPr>
            <w:tcW w:type="dxa" w:w="235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P0 — Critical / DoA Compliance</w:t>
            </w:r>
          </w:p>
          <w:p>
            <w:r>
              <w:rPr>
                <w:rFonts w:ascii="Arial" w:cs="Arial" w:eastAsia="Arial" w:hAnsi="Arial"/>
                <w:color w:val="8B1A1A"/>
                <w:sz w:val="17"/>
                <w:szCs w:val="17"/>
              </w:rPr>
              <w:t xml:space="preserve">Grant funding at risk without this. Must be live before DoA review.</w:t>
            </w:r>
          </w:p>
        </w:tc>
        <w:tc>
          <w:tcPr>
            <w:tcW w:type="dxa" w:w="2350"/>
            <w:tcBorders>
              <w:top w:val="single" w:color="7A5C00" w:sz="1"/>
              <w:left w:val="single" w:color="7A5C00" w:sz="1"/>
              <w:bottom w:val="single" w:color="7A5C00" w:sz="1"/>
              <w:right w:val="single" w:color="7A5C0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P1 — High / Core Operations</w:t>
            </w:r>
          </w:p>
          <w:p>
            <w:r>
              <w:rPr>
                <w:rFonts w:ascii="Arial" w:cs="Arial" w:eastAsia="Arial" w:hAnsi="Arial"/>
                <w:color w:val="7A5C00"/>
                <w:sz w:val="17"/>
                <w:szCs w:val="17"/>
              </w:rPr>
              <w:t xml:space="preserve">Essential for DAR to function efficiently. MVP Phase 1.</w:t>
            </w:r>
          </w:p>
        </w:tc>
        <w:tc>
          <w:tcPr>
            <w:tcW w:type="dxa" w:w="235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P2 — Medium / Enhanced Operations</w:t>
            </w:r>
          </w:p>
          <w:p>
            <w:r>
              <w:rPr>
                <w:rFonts w:ascii="Arial" w:cs="Arial" w:eastAsia="Arial" w:hAnsi="Arial"/>
                <w:color w:val="1A56A0"/>
                <w:sz w:val="17"/>
                <w:szCs w:val="17"/>
              </w:rPr>
              <w:t xml:space="preserve">Significant value add. Phase 2 after MVP stable.</w:t>
            </w:r>
          </w:p>
        </w:tc>
        <w:tc>
          <w:tcPr>
            <w:tcW w:type="dxa" w:w="2350"/>
            <w:tcBorders>
              <w:top w:val="single" w:color="6B3E8D" w:sz="1"/>
              <w:left w:val="single" w:color="6B3E8D" w:sz="1"/>
              <w:bottom w:val="single" w:color="6B3E8D" w:sz="1"/>
              <w:right w:val="single" w:color="6B3E8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E8D"/>
                <w:sz w:val="19"/>
                <w:szCs w:val="19"/>
              </w:rPr>
              <w:t xml:space="preserve">P3 — Nice to Have / Scalability</w:t>
            </w:r>
          </w:p>
          <w:p>
            <w:r>
              <w:rPr>
                <w:rFonts w:ascii="Arial" w:cs="Arial" w:eastAsia="Arial" w:hAnsi="Arial"/>
                <w:color w:val="6B3E8D"/>
                <w:sz w:val="17"/>
                <w:szCs w:val="17"/>
              </w:rPr>
              <w:t xml:space="preserve">Commercial product features. Phase 3 / post-beta.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P0 — Critical: Department of Agriculture Compliance</w:t>
      </w:r>
    </w:p>
    <w:p>
      <w:pPr>
        <w:pBdr>
          <w:bottom w:val="single" w:color="8B1A1A" w:sz="6" w:space="1"/>
        </w:pBdr>
        <w:spacing w:after="0" w:before="0"/>
      </w:pPr>
    </w:p>
    <w:p>
      <w:pPr>
        <w:spacing w:before="6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3200"/>
        <w:gridCol w:w="1200"/>
        <w:gridCol w:w="800"/>
      </w:tblGrid>
      <w:tr>
        <w:trPr>
          <w:tblHeader/>
        </w:trPr>
        <w:tc>
          <w:tcPr>
            <w:tcW w:type="dxa" w:w="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Story</w:t>
            </w:r>
          </w:p>
        </w:tc>
        <w:tc>
          <w:tcPr>
            <w:tcW w:type="dxa" w:w="1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 (abbreviated)</w:t>
            </w:r>
          </w:p>
        </w:tc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DoA Impact</w:t>
            </w:r>
          </w:p>
        </w:tc>
        <w:tc>
          <w:tcPr>
            <w:tcW w:type="dxa" w:w="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P0-01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Foster medication logging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Core DoA compliance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Foster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Animal, medication, dosage, weight, date/time, administrator, disposal method all captured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Completable in ≤3 steps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Species-specific medication dropdown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P0-02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Medication disposal tracking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New: identified in Wednesday 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Foster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Disposal method is a required field on every treatment log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Options: completed, returned to vet, disposed, retained, ongoing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P0-03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Administrator auto-capture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Who gave the medication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Foster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Logged-in user identity auto-attached to every treatment record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Cannot be overridden by foster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Admin can correct if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P0-04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Treatment history audit log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Full per-animal 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+ Foster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Chronological list of all treatments per animal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Filterable by date range, medication type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Exportable to CSV and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P0-05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CSV export — all data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DoA Part B submission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Back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Any data entity exportable to CSV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Filter by year, species, outcome, treatment type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No data should be trapped in the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P0-06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Animal throughput report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DoA annual statistics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Back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Count of animals by year: intake, outcome (adopted/PTS/reclaimed/still in care)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Broken out by species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TNR reported separately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P0-07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TNR separate module + reporting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DoA requires separate 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Back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TNR records in separate module with own reporting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Transfer-to-rehoming pathway to main register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Exportable separately for DoA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P0-08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Official animal naming convention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Invoice reconciliation + DoA audit trail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Back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Structured name field enforced: Location + Source + Descriptor + Initials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Separate nickname field for foster use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Official name used on all DoA and vet-facing outputs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7A5C00"/>
          <w:sz w:val="26"/>
          <w:szCs w:val="26"/>
        </w:rPr>
        <w:t xml:space="preserve">P1 — High Priority: Core Operations (MVP Phase 1)</w:t>
      </w:r>
    </w:p>
    <w:p>
      <w:pPr>
        <w:pBdr>
          <w:bottom w:val="single" w:color="7A5C00" w:sz="6" w:space="1"/>
        </w:pBdr>
        <w:spacing w:after="0" w:before="0"/>
      </w:pPr>
    </w:p>
    <w:p>
      <w:pPr>
        <w:spacing w:before="6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3200"/>
        <w:gridCol w:w="1200"/>
        <w:gridCol w:w="800"/>
      </w:tblGrid>
      <w:tr>
        <w:trPr>
          <w:tblHeader/>
        </w:trPr>
        <w:tc>
          <w:tcPr>
            <w:tcW w:type="dxa" w:w="600"/>
            <w:tcBorders>
              <w:top w:val="single" w:color="7A5C00" w:sz="1"/>
              <w:left w:val="single" w:color="7A5C00" w:sz="1"/>
              <w:bottom w:val="single" w:color="7A5C00" w:sz="1"/>
              <w:right w:val="single" w:color="7A5C00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7A5C00" w:sz="1"/>
              <w:left w:val="single" w:color="7A5C00" w:sz="1"/>
              <w:bottom w:val="single" w:color="7A5C00" w:sz="1"/>
              <w:right w:val="single" w:color="7A5C00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Story</w:t>
            </w:r>
          </w:p>
        </w:tc>
        <w:tc>
          <w:tcPr>
            <w:tcW w:type="dxa" w:w="1400"/>
            <w:tcBorders>
              <w:top w:val="single" w:color="7A5C00" w:sz="1"/>
              <w:left w:val="single" w:color="7A5C00" w:sz="1"/>
              <w:bottom w:val="single" w:color="7A5C00" w:sz="1"/>
              <w:right w:val="single" w:color="7A5C00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7A5C00" w:sz="1"/>
              <w:left w:val="single" w:color="7A5C00" w:sz="1"/>
              <w:bottom w:val="single" w:color="7A5C00" w:sz="1"/>
              <w:right w:val="single" w:color="7A5C00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 (abbreviated)</w:t>
            </w:r>
          </w:p>
        </w:tc>
        <w:tc>
          <w:tcPr>
            <w:tcW w:type="dxa" w:w="1200"/>
            <w:tcBorders>
              <w:top w:val="single" w:color="7A5C00" w:sz="1"/>
              <w:left w:val="single" w:color="7A5C00" w:sz="1"/>
              <w:bottom w:val="single" w:color="7A5C00" w:sz="1"/>
              <w:right w:val="single" w:color="7A5C00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DoA Impact</w:t>
            </w:r>
          </w:p>
        </w:tc>
        <w:tc>
          <w:tcPr>
            <w:tcW w:type="dxa" w:w="800"/>
            <w:tcBorders>
              <w:top w:val="single" w:color="7A5C00" w:sz="1"/>
              <w:left w:val="single" w:color="7A5C00" w:sz="1"/>
              <w:bottom w:val="single" w:color="7A5C00" w:sz="1"/>
              <w:right w:val="single" w:color="7A5C00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P1-01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Animal register (full CRUD)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Replaces Excel spreadsheet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Back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Create, read, update, delete animal records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All fields from data model captured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Real-time sync across all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P1-02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Foster mobile app — assigned animals view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Foster sees only their animals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Foster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Foster sees only animals currently assigned to them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Includes nickname, official name, DAR ID, conditions, weight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Access revoked automatically when deassigned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P1-03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Foster assignment workflow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Admin assigns pets to fosters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Back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Admin assigns one or more animals to a foster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Foster receives notification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Animal appears in foster's app immediately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Assignment history logged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P1-04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Role-based access control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GDPR + security 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4 roles: Admin, Field Admin, Foster, Home Checker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Each role sees only appropriate data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Enforced at API level, not just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P1-05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Vet visit logging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Weight capture + DoA invoice trail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+ Foster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Date, clinic, weight recorded, reason, booking source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Weight updates animal's current weight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Vet reference numbers supported (All Pets has ID system; Westgate name-only)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P1-06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Vet appointment request flow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Two-tier permission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Foster App +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Foster without permission: submits request → admin receives → books → schedule updated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Foster with permission (checkbox): books directly → admin notified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Scheduled appointments visible in foster's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P1-07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Animal intake form (mobile admin)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Field capture of new rescues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Mobile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Full intake form completable on mobile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Eircode / location lookup for found address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Species dropdown triggers species-relevant fields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Record created immediately in live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P1-08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Data migration from existing Excel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No data left behind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Cat register (2022–present) imported as structured records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Unstructured notes imported as 'Legacy notes' field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TNR data (2004–present) imported with gap flagging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Migration does not block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P1-09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GDPR compliance: PII protection + right to deletion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Legal 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Volunteer PII anonymised on deletion request (name replaced with VOL-ID)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Operational history retained with anonymised reference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Data export on request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Audit log of anonymisation 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P1-10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Volunteer registration + management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Replaces deleted Google Drive 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Back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Digital registration form with code of conduct sign-off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Track areas of volunteering, start/end dates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Active / inactive status with access revocation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Reference generation for ex-volunteer enquiries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P2 — Medium Priority: Enhanced Operations (Phase 2)</w:t>
      </w:r>
    </w:p>
    <w:p>
      <w:pPr>
        <w:pBdr>
          <w:bottom w:val="single" w:color="1A56A0" w:sz="6" w:space="1"/>
        </w:pBdr>
        <w:spacing w:after="0" w:before="0"/>
      </w:pPr>
    </w:p>
    <w:p>
      <w:pPr>
        <w:spacing w:before="6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3200"/>
        <w:gridCol w:w="12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Story</w:t>
            </w:r>
          </w:p>
        </w:tc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 (abbreviated)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DoA Impact</w:t>
            </w:r>
          </w:p>
        </w:tc>
        <w:tc>
          <w:tcPr>
            <w:tcW w:type="dxa" w:w="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P2-01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Adoption module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Full adoption record + agreement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Back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Adopter record creation with animal link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Adoption agreement PDF generation (auto-populated from animal record)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Dog licence number capture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28-day cooling-off period tracking (dogs only)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Medication handoff summary auto-generated from treatment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P2-02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Home check digitisation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Replaces 35-question email 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Mobile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Digital 35-question form, completable on mobile during visit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Garden / property assessment with notes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Outcome: Approved / Approved with conditions / Declined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PDF generated for DoA and DAR 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P2-03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Foster agreement digital form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Replaces paper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Back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One-time foster sign-up form (not per animal batch)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Equipment tracking: beds, litter boxes, carriers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PDF sent to foster after signing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Re-assignment notification (not full re-sign) for subsequent animals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P2-04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DoA report package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One-click grant application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Back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Select year → system generates: throughput summary, medication log, TNR summary, outcome breakdown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Export as PDF (DoA submission) and CSV (data analysis)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Drill-down to individual animal records 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P2-05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Board dashboard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Real-time rescue statistics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Back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Current animals in care (by species)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Adoption rates YTD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Medication compliance rate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Open vet appointments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Suitable for board meeting presentation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P2-06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Photo storage for animals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Identification + adoption 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+ Foster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Upload and display photos per animal record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Phase 2 due to storage cost implications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Cloud storage with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P2-07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TNR mobile data capture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Field volunteers log directly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Mobile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Mobile-optimised TNR intake form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Location services / Eircode lookup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Replaces email-in workflow that only Rafael uses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Offline capability for poor signal areas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P2-08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Invoice reconciliation support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Audit trail for vet bills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Back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Filter animals by vet clinic and date range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Cross-reference official names against invoice line items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Export animal list with vet reference numbers for invoice matching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3E8D"/>
          <w:sz w:val="26"/>
          <w:szCs w:val="26"/>
        </w:rPr>
        <w:t xml:space="preserve">P3 — Nice to Have: Scalability &amp; Commercial Features (Phase 3)</w:t>
      </w:r>
    </w:p>
    <w:p>
      <w:pPr>
        <w:pBdr>
          <w:bottom w:val="single" w:color="6B3E8D" w:sz="6" w:space="1"/>
        </w:pBdr>
        <w:spacing w:after="0" w:before="0"/>
      </w:pPr>
    </w:p>
    <w:p>
      <w:pPr>
        <w:spacing w:before="6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3200"/>
        <w:gridCol w:w="1200"/>
        <w:gridCol w:w="800"/>
      </w:tblGrid>
      <w:tr>
        <w:trPr>
          <w:tblHeader/>
        </w:trPr>
        <w:tc>
          <w:tcPr>
            <w:tcW w:type="dxa" w:w="600"/>
            <w:tcBorders>
              <w:top w:val="single" w:color="6B3E8D" w:sz="1"/>
              <w:left w:val="single" w:color="6B3E8D" w:sz="1"/>
              <w:bottom w:val="single" w:color="6B3E8D" w:sz="1"/>
              <w:right w:val="single" w:color="6B3E8D" w:sz="1"/>
            </w:tcBorders>
            <w:shd w:fill="6B3E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6B3E8D" w:sz="1"/>
              <w:left w:val="single" w:color="6B3E8D" w:sz="1"/>
              <w:bottom w:val="single" w:color="6B3E8D" w:sz="1"/>
              <w:right w:val="single" w:color="6B3E8D" w:sz="1"/>
            </w:tcBorders>
            <w:shd w:fill="6B3E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Story</w:t>
            </w:r>
          </w:p>
        </w:tc>
        <w:tc>
          <w:tcPr>
            <w:tcW w:type="dxa" w:w="1400"/>
            <w:tcBorders>
              <w:top w:val="single" w:color="6B3E8D" w:sz="1"/>
              <w:left w:val="single" w:color="6B3E8D" w:sz="1"/>
              <w:bottom w:val="single" w:color="6B3E8D" w:sz="1"/>
              <w:right w:val="single" w:color="6B3E8D" w:sz="1"/>
            </w:tcBorders>
            <w:shd w:fill="6B3E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6B3E8D" w:sz="1"/>
              <w:left w:val="single" w:color="6B3E8D" w:sz="1"/>
              <w:bottom w:val="single" w:color="6B3E8D" w:sz="1"/>
              <w:right w:val="single" w:color="6B3E8D" w:sz="1"/>
            </w:tcBorders>
            <w:shd w:fill="6B3E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 (abbreviated)</w:t>
            </w:r>
          </w:p>
        </w:tc>
        <w:tc>
          <w:tcPr>
            <w:tcW w:type="dxa" w:w="1200"/>
            <w:tcBorders>
              <w:top w:val="single" w:color="6B3E8D" w:sz="1"/>
              <w:left w:val="single" w:color="6B3E8D" w:sz="1"/>
              <w:bottom w:val="single" w:color="6B3E8D" w:sz="1"/>
              <w:right w:val="single" w:color="6B3E8D" w:sz="1"/>
            </w:tcBorders>
            <w:shd w:fill="6B3E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DoA Impact</w:t>
            </w:r>
          </w:p>
        </w:tc>
        <w:tc>
          <w:tcPr>
            <w:tcW w:type="dxa" w:w="800"/>
            <w:tcBorders>
              <w:top w:val="single" w:color="6B3E8D" w:sz="1"/>
              <w:left w:val="single" w:color="6B3E8D" w:sz="1"/>
              <w:bottom w:val="single" w:color="6B3E8D" w:sz="1"/>
              <w:right w:val="single" w:color="6B3E8D" w:sz="1"/>
            </w:tcBorders>
            <w:shd w:fill="6B3E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E8D"/>
                <w:sz w:val="19"/>
                <w:szCs w:val="19"/>
              </w:rPr>
              <w:t xml:space="preserve">P3-01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Medication protocol automation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Deworming schedules with reminders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Foster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Start a named protocol (e.g. kitten deworming) → generates treatment reminders at correct intervals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Kittens: Locuperazol every 2 weeks from 2–3 weeks; solid wormer monthly to 6 months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Push or in-app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E8D"/>
                <w:sz w:val="19"/>
                <w:szCs w:val="19"/>
              </w:rPr>
              <w:t xml:space="preserve">P3-02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Educational popup system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Medication guidance for fosters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Foster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'?' button beside each medication shows: what it treats, correct dosage method, protocol notes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Content based on Lisa's existing vet guidance documents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Reduces calls to Lisa for basic medication questions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E8D"/>
                <w:sz w:val="19"/>
                <w:szCs w:val="19"/>
              </w:rPr>
              <w:t xml:space="preserve">P3-03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Volunteer training record integration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DoA training evidence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Back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Record training completed by each volunteer: type, date, delivered by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Export for DoA Part A submission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Identified as DoA focus area in 2025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E8D"/>
                <w:sz w:val="19"/>
                <w:szCs w:val="19"/>
              </w:rPr>
              <w:t xml:space="preserve">P3-04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Operational policy / document library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Central knowledge 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Back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Upload and manage operational documents: dog handbook, cat handbook, medication policy, cleaning protocols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Grant read access to volunteers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Version control with update 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E8D"/>
                <w:sz w:val="19"/>
                <w:szCs w:val="19"/>
              </w:rPr>
              <w:t xml:space="preserve">P3-05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Multi-rescue architecture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SaaS commercialisation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Separate data namespacing per rescue organisation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Organisation-level admin accounts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Configurable species, medication lists, and DoA fields per rescue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Pricing / subscription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E8D"/>
                <w:sz w:val="19"/>
                <w:szCs w:val="19"/>
              </w:rPr>
              <w:t xml:space="preserve">P3-06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PWA (Progressive Web App)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Home screen install without app 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Service worker for offline capability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Add to home screen prompt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Push notifications for vet appointment reminders, treatment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E8D"/>
                <w:sz w:val="19"/>
                <w:szCs w:val="19"/>
              </w:rPr>
              <w:t xml:space="preserve">P3-07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Advanced analytics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Rescue performance insights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Back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Average days in care by species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Adoption success rate trends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Medication cost tracking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→ Foster performance (treatment compliance rate)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</w:tr>
    </w:tbl>
    <w:p>
      <w:pPr>
        <w:spacing w:before="160" w:after="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i/>
          <w:iCs/>
          <w:color w:val="5A6E54"/>
          <w:sz w:val="21"/>
          <w:szCs w:val="21"/>
        </w:rPr>
        <w:t xml:space="preserve">— END OF BACKLOG —</w:t>
      </w:r>
    </w:p>
    <w:p>
      <w:pPr>
        <w:spacing w:before="40"/>
        <w:jc w:val="center"/>
      </w:pPr>
      <w:r>
        <w:rPr>
          <w:rFonts w:ascii="Arial" w:cs="Arial" w:eastAsia="Arial" w:hAnsi="Arial"/>
          <w:color w:val="5A6E54"/>
          <w:sz w:val="17"/>
          <w:szCs w:val="17"/>
        </w:rPr>
        <w:t xml:space="preserve">Chunky Norris v0.1 · Drogheda Animal Rescue · February 2026</w:t>
      </w:r>
    </w:p>
    <w:sectPr>
      <w:headerReference w:type="default" r:id="rId6"/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5A27" w:sz="4" w:space="1"/>
      </w:pBdr>
      <w:tabs>
        <w:tab w:val="right" w:pos="14838"/>
      </w:tabs>
      <w:spacing w:before="0" w:after="80"/>
    </w:pPr>
    <w:r>
      <w:rPr>
        <w:rFonts w:ascii="Arial" w:cs="Arial" w:eastAsia="Arial" w:hAnsi="Arial"/>
        <w:color w:val="5A6E54"/>
        <w:sz w:val="17"/>
        <w:szCs w:val="17"/>
      </w:rPr>
      <w:t xml:space="preserve">Chunky Norris  |  Product Backlog  |  v0.1 Draft  |  Feb 2026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i/>
        <w:iCs/>
        <w:color w:val="5A6E54"/>
        <w:sz w:val="17"/>
        <w:szCs w:val="17"/>
      </w:rPr>
      <w:t xml:space="preserve">DAR Internal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E4D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D5A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2026-02-25T17:06:20.383Z</dcterms:created>
  <dcterms:modified xsi:type="dcterms:W3CDTF">2026-02-25T17:06:20.383Z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