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17DEF" w14:textId="77777777" w:rsidR="007C190B" w:rsidRDefault="00C243D4">
      <w:r>
        <w:t>Assignment 12 Francis Meng</w:t>
      </w:r>
    </w:p>
    <w:p w14:paraId="2A091324" w14:textId="0682FE0F" w:rsidR="00C243D4" w:rsidRDefault="00197A0F">
      <w:pPr>
        <w:rPr>
          <w:lang w:eastAsia="zh-CN"/>
        </w:rPr>
      </w:pPr>
      <w:r>
        <w:t xml:space="preserve">1. </w:t>
      </w:r>
      <w:r w:rsidR="00C243D4">
        <w:t>In the factorial procedure that I have</w:t>
      </w:r>
      <w:r w:rsidR="007605CF">
        <w:t xml:space="preserve">, there are several functions that get called, </w:t>
      </w:r>
      <w:r w:rsidR="007605CF">
        <w:rPr>
          <w:rFonts w:hint="eastAsia"/>
          <w:lang w:eastAsia="zh-CN"/>
        </w:rPr>
        <w:t xml:space="preserve">including </w:t>
      </w:r>
      <w:r w:rsidR="007605CF">
        <w:rPr>
          <w:lang w:eastAsia="zh-CN"/>
        </w:rPr>
        <w:t xml:space="preserve">multiply procedure and the predecessor. </w:t>
      </w:r>
      <w:r w:rsidR="00133946">
        <w:rPr>
          <w:lang w:eastAsia="zh-CN"/>
        </w:rPr>
        <w:t xml:space="preserve"> In the multiply procedure, the plus is called. And in the plus will call the pred procedure for n times. </w:t>
      </w:r>
      <w:r w:rsidR="001D4A22">
        <w:rPr>
          <w:lang w:eastAsia="zh-CN"/>
        </w:rPr>
        <w:t>For n!, there are n numbers multiply together, so the runtime is approximately n^3. To be more accurate, n! = n * (n-1)! and it will take n operations</w:t>
      </w:r>
      <w:r w:rsidR="00F3786F">
        <w:rPr>
          <w:lang w:eastAsia="zh-CN"/>
        </w:rPr>
        <w:t xml:space="preserve"> to multiply n * O((n-1)!)</w:t>
      </w:r>
      <w:r w:rsidR="001D4A22">
        <w:rPr>
          <w:lang w:eastAsia="zh-CN"/>
        </w:rPr>
        <w:t>, and for calculating (n-1)! = (n-1)*(n-2)! It will take (n-1)</w:t>
      </w:r>
      <w:r w:rsidR="00F3786F">
        <w:rPr>
          <w:lang w:eastAsia="zh-CN"/>
        </w:rPr>
        <w:t>*O((n-2)!), so the total runtime will be O(n!).</w:t>
      </w:r>
      <w:r w:rsidR="00247888">
        <w:rPr>
          <w:lang w:eastAsia="zh-CN"/>
        </w:rPr>
        <w:t xml:space="preserve">  </w:t>
      </w:r>
      <w:r w:rsidR="00AA5857">
        <w:rPr>
          <w:lang w:eastAsia="zh-CN"/>
        </w:rPr>
        <w:t xml:space="preserve">The time runtime that I </w:t>
      </w:r>
      <w:r w:rsidR="0022143B">
        <w:rPr>
          <w:lang w:eastAsia="zh-CN"/>
        </w:rPr>
        <w:t>predicted is n!/125</w:t>
      </w:r>
      <w:r w:rsidR="00CE2008">
        <w:rPr>
          <w:lang w:eastAsia="zh-CN"/>
        </w:rPr>
        <w:t>0.</w:t>
      </w:r>
    </w:p>
    <w:p w14:paraId="3422E343" w14:textId="669F40BA" w:rsidR="00197A0F" w:rsidRDefault="00197A0F">
      <w:pPr>
        <w:rPr>
          <w:lang w:eastAsia="zh-CN"/>
        </w:rPr>
      </w:pPr>
      <w:r>
        <w:rPr>
          <w:lang w:eastAsia="zh-CN"/>
        </w:rPr>
        <w:t xml:space="preserve">The fitting equation is displayed as a n^3 equation. </w:t>
      </w:r>
    </w:p>
    <w:p w14:paraId="39755DE1" w14:textId="77777777" w:rsidR="00197A0F" w:rsidRDefault="00197A0F">
      <w:pPr>
        <w:rPr>
          <w:lang w:eastAsia="zh-CN"/>
        </w:rPr>
      </w:pPr>
    </w:p>
    <w:p w14:paraId="03525EAB" w14:textId="447F8D7E" w:rsidR="00CE2008" w:rsidRDefault="00197A0F">
      <w:pPr>
        <w:rPr>
          <w:lang w:eastAsia="zh-CN"/>
        </w:rPr>
      </w:pPr>
      <w:r>
        <w:rPr>
          <w:noProof/>
          <w:lang w:eastAsia="en-US"/>
        </w:rPr>
        <w:drawing>
          <wp:inline distT="0" distB="0" distL="0" distR="0" wp14:anchorId="6C63F4E9" wp14:editId="29975690">
            <wp:extent cx="4343400" cy="27940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F89D4D" w14:textId="77777777" w:rsidR="00261534" w:rsidRDefault="00261534">
      <w:pPr>
        <w:rPr>
          <w:lang w:eastAsia="zh-CN"/>
        </w:rPr>
      </w:pPr>
    </w:p>
    <w:p w14:paraId="4FB746F9" w14:textId="77777777" w:rsidR="00261534" w:rsidRDefault="00261534">
      <w:pPr>
        <w:rPr>
          <w:lang w:eastAsia="zh-CN"/>
        </w:rPr>
      </w:pPr>
    </w:p>
    <w:p w14:paraId="557E6531" w14:textId="77777777" w:rsidR="004E1207" w:rsidRDefault="004E1207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1418"/>
      </w:tblGrid>
      <w:tr w:rsidR="004E1207" w14:paraId="7051F084" w14:textId="77777777" w:rsidTr="004E1207">
        <w:tc>
          <w:tcPr>
            <w:tcW w:w="1101" w:type="dxa"/>
          </w:tcPr>
          <w:p w14:paraId="4F4973E4" w14:textId="77777777" w:rsidR="004E1207" w:rsidRDefault="004E1207" w:rsidP="00261534">
            <w:pPr>
              <w:jc w:val="center"/>
              <w:rPr>
                <w:lang w:eastAsia="zh-CN"/>
              </w:rPr>
            </w:pPr>
          </w:p>
        </w:tc>
        <w:tc>
          <w:tcPr>
            <w:tcW w:w="1417" w:type="dxa"/>
          </w:tcPr>
          <w:p w14:paraId="4FEFBFC1" w14:textId="2AAEAA6B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Real time</w:t>
            </w:r>
            <w:r w:rsidR="00530B1E">
              <w:rPr>
                <w:lang w:eastAsia="zh-CN"/>
              </w:rPr>
              <w:t>(ms)</w:t>
            </w:r>
          </w:p>
        </w:tc>
        <w:tc>
          <w:tcPr>
            <w:tcW w:w="1418" w:type="dxa"/>
          </w:tcPr>
          <w:p w14:paraId="3B9C255B" w14:textId="16FCDA24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(n!)/1250</w:t>
            </w:r>
          </w:p>
        </w:tc>
      </w:tr>
      <w:tr w:rsidR="004E1207" w14:paraId="5FF2ED46" w14:textId="77777777" w:rsidTr="004E1207">
        <w:tc>
          <w:tcPr>
            <w:tcW w:w="1101" w:type="dxa"/>
          </w:tcPr>
          <w:p w14:paraId="1284FDB4" w14:textId="7D495364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417" w:type="dxa"/>
          </w:tcPr>
          <w:p w14:paraId="13059EB6" w14:textId="5E7CFC68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418" w:type="dxa"/>
          </w:tcPr>
          <w:p w14:paraId="59A6680F" w14:textId="438C8278" w:rsidR="004E1207" w:rsidRPr="0056379A" w:rsidRDefault="004E1207" w:rsidP="00261534">
            <w:pPr>
              <w:jc w:val="center"/>
              <w:rPr>
                <w:lang w:eastAsia="zh-CN"/>
              </w:rPr>
            </w:pPr>
            <w:r w:rsidRPr="0056379A">
              <w:rPr>
                <w:lang w:eastAsia="zh-CN"/>
              </w:rPr>
              <w:t>0.0008</w:t>
            </w:r>
          </w:p>
        </w:tc>
      </w:tr>
      <w:tr w:rsidR="004E1207" w14:paraId="11099D28" w14:textId="77777777" w:rsidTr="004E1207">
        <w:tc>
          <w:tcPr>
            <w:tcW w:w="1101" w:type="dxa"/>
          </w:tcPr>
          <w:p w14:paraId="058590DE" w14:textId="01112C00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417" w:type="dxa"/>
          </w:tcPr>
          <w:p w14:paraId="7013407B" w14:textId="7BEC1A56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418" w:type="dxa"/>
          </w:tcPr>
          <w:p w14:paraId="2D9D927D" w14:textId="1FE2315D" w:rsidR="004E1207" w:rsidRPr="0056379A" w:rsidRDefault="004E1207" w:rsidP="00261534">
            <w:pPr>
              <w:jc w:val="center"/>
              <w:rPr>
                <w:lang w:eastAsia="zh-CN"/>
              </w:rPr>
            </w:pPr>
            <w:r w:rsidRPr="0056379A">
              <w:rPr>
                <w:lang w:eastAsia="zh-CN"/>
              </w:rPr>
              <w:t>0.0016</w:t>
            </w:r>
          </w:p>
        </w:tc>
      </w:tr>
      <w:tr w:rsidR="004E1207" w14:paraId="36AA839E" w14:textId="77777777" w:rsidTr="004E1207">
        <w:tc>
          <w:tcPr>
            <w:tcW w:w="1101" w:type="dxa"/>
          </w:tcPr>
          <w:p w14:paraId="38DEAF8B" w14:textId="0AD1BB78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417" w:type="dxa"/>
          </w:tcPr>
          <w:p w14:paraId="5201412F" w14:textId="2BBB5F69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418" w:type="dxa"/>
          </w:tcPr>
          <w:p w14:paraId="152E922D" w14:textId="5017233D" w:rsidR="004E1207" w:rsidRPr="0056379A" w:rsidRDefault="004E1207" w:rsidP="00261534">
            <w:pPr>
              <w:jc w:val="center"/>
              <w:rPr>
                <w:lang w:eastAsia="zh-CN"/>
              </w:rPr>
            </w:pPr>
            <w:r w:rsidRPr="0056379A">
              <w:rPr>
                <w:lang w:eastAsia="zh-CN"/>
              </w:rPr>
              <w:t>0.0048</w:t>
            </w:r>
          </w:p>
        </w:tc>
      </w:tr>
      <w:tr w:rsidR="004E1207" w14:paraId="368CC956" w14:textId="77777777" w:rsidTr="004E1207">
        <w:tc>
          <w:tcPr>
            <w:tcW w:w="1101" w:type="dxa"/>
          </w:tcPr>
          <w:p w14:paraId="468811E0" w14:textId="2B11984E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417" w:type="dxa"/>
          </w:tcPr>
          <w:p w14:paraId="6D22912B" w14:textId="4E4816E3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418" w:type="dxa"/>
          </w:tcPr>
          <w:p w14:paraId="622813CF" w14:textId="51BEC9A2" w:rsidR="004E1207" w:rsidRPr="0056379A" w:rsidRDefault="004E1207" w:rsidP="00261534">
            <w:pPr>
              <w:jc w:val="center"/>
              <w:rPr>
                <w:lang w:eastAsia="zh-CN"/>
              </w:rPr>
            </w:pPr>
            <w:r w:rsidRPr="0056379A">
              <w:rPr>
                <w:lang w:eastAsia="zh-CN"/>
              </w:rPr>
              <w:t>0.0192</w:t>
            </w:r>
          </w:p>
        </w:tc>
      </w:tr>
      <w:tr w:rsidR="004E1207" w14:paraId="26D5071A" w14:textId="77777777" w:rsidTr="004E1207">
        <w:tc>
          <w:tcPr>
            <w:tcW w:w="1101" w:type="dxa"/>
          </w:tcPr>
          <w:p w14:paraId="5214B99D" w14:textId="5D0C9FAB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1417" w:type="dxa"/>
          </w:tcPr>
          <w:p w14:paraId="00219FEB" w14:textId="3EA2D0D7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418" w:type="dxa"/>
          </w:tcPr>
          <w:p w14:paraId="2500B2B8" w14:textId="58F2669B" w:rsidR="004E1207" w:rsidRPr="0056379A" w:rsidRDefault="004E1207" w:rsidP="00261534">
            <w:pPr>
              <w:jc w:val="center"/>
              <w:rPr>
                <w:lang w:eastAsia="zh-CN"/>
              </w:rPr>
            </w:pPr>
            <w:r w:rsidRPr="0056379A">
              <w:rPr>
                <w:lang w:eastAsia="zh-CN"/>
              </w:rPr>
              <w:t>0.096</w:t>
            </w:r>
          </w:p>
        </w:tc>
      </w:tr>
      <w:tr w:rsidR="004E1207" w14:paraId="3C5966C0" w14:textId="77777777" w:rsidTr="004E1207">
        <w:tc>
          <w:tcPr>
            <w:tcW w:w="1101" w:type="dxa"/>
          </w:tcPr>
          <w:p w14:paraId="557E3288" w14:textId="48565593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417" w:type="dxa"/>
          </w:tcPr>
          <w:p w14:paraId="65656D30" w14:textId="0732A1CC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418" w:type="dxa"/>
          </w:tcPr>
          <w:p w14:paraId="7F1AA5D9" w14:textId="46AE365A" w:rsidR="004E1207" w:rsidRDefault="0056379A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0.576</w:t>
            </w:r>
          </w:p>
        </w:tc>
      </w:tr>
      <w:tr w:rsidR="004E1207" w14:paraId="70E12472" w14:textId="77777777" w:rsidTr="004E1207">
        <w:tc>
          <w:tcPr>
            <w:tcW w:w="1101" w:type="dxa"/>
          </w:tcPr>
          <w:p w14:paraId="6FA8D4FE" w14:textId="59207C3D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1417" w:type="dxa"/>
          </w:tcPr>
          <w:p w14:paraId="3B0011B4" w14:textId="3C75D2D8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418" w:type="dxa"/>
          </w:tcPr>
          <w:p w14:paraId="0CB402EE" w14:textId="2467E34E" w:rsidR="004E1207" w:rsidRDefault="0056379A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4.032</w:t>
            </w:r>
          </w:p>
        </w:tc>
      </w:tr>
      <w:tr w:rsidR="004E1207" w14:paraId="5EA6064D" w14:textId="77777777" w:rsidTr="004E1207">
        <w:tc>
          <w:tcPr>
            <w:tcW w:w="1101" w:type="dxa"/>
          </w:tcPr>
          <w:p w14:paraId="7090B17F" w14:textId="4E4B15B0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417" w:type="dxa"/>
          </w:tcPr>
          <w:p w14:paraId="79F63BDC" w14:textId="0F268A1B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35</w:t>
            </w:r>
          </w:p>
        </w:tc>
        <w:tc>
          <w:tcPr>
            <w:tcW w:w="1418" w:type="dxa"/>
          </w:tcPr>
          <w:p w14:paraId="76636852" w14:textId="4087DB30" w:rsidR="004E1207" w:rsidRDefault="0056379A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32.256</w:t>
            </w:r>
          </w:p>
        </w:tc>
      </w:tr>
      <w:tr w:rsidR="004E1207" w14:paraId="4AF0B998" w14:textId="77777777" w:rsidTr="004E1207">
        <w:tc>
          <w:tcPr>
            <w:tcW w:w="1101" w:type="dxa"/>
          </w:tcPr>
          <w:p w14:paraId="3F2F43C8" w14:textId="318BDF80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1417" w:type="dxa"/>
          </w:tcPr>
          <w:p w14:paraId="134816FE" w14:textId="17EF0207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288</w:t>
            </w:r>
          </w:p>
        </w:tc>
        <w:tc>
          <w:tcPr>
            <w:tcW w:w="1418" w:type="dxa"/>
          </w:tcPr>
          <w:p w14:paraId="4FA6BEC0" w14:textId="36F08E97" w:rsidR="004E1207" w:rsidRDefault="0056379A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290.304</w:t>
            </w:r>
          </w:p>
        </w:tc>
      </w:tr>
      <w:tr w:rsidR="004E1207" w14:paraId="3A6A4529" w14:textId="77777777" w:rsidTr="004E1207">
        <w:tc>
          <w:tcPr>
            <w:tcW w:w="1101" w:type="dxa"/>
          </w:tcPr>
          <w:p w14:paraId="0FED5227" w14:textId="5E09EDD1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417" w:type="dxa"/>
          </w:tcPr>
          <w:p w14:paraId="1E7553C6" w14:textId="74A24D5C" w:rsidR="004E1207" w:rsidRDefault="004735ED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3058</w:t>
            </w:r>
          </w:p>
        </w:tc>
        <w:tc>
          <w:tcPr>
            <w:tcW w:w="1418" w:type="dxa"/>
          </w:tcPr>
          <w:p w14:paraId="161B8FD9" w14:textId="603B5E39" w:rsidR="004E1207" w:rsidRPr="0056379A" w:rsidRDefault="0056379A" w:rsidP="00261534">
            <w:pPr>
              <w:jc w:val="center"/>
              <w:rPr>
                <w:lang w:eastAsia="zh-CN"/>
              </w:rPr>
            </w:pPr>
            <w:r w:rsidRPr="0056379A">
              <w:rPr>
                <w:lang w:eastAsia="zh-CN"/>
              </w:rPr>
              <w:t>2903.04</w:t>
            </w:r>
          </w:p>
        </w:tc>
      </w:tr>
      <w:tr w:rsidR="004E1207" w14:paraId="08EC9522" w14:textId="77777777" w:rsidTr="004E1207">
        <w:tc>
          <w:tcPr>
            <w:tcW w:w="1101" w:type="dxa"/>
          </w:tcPr>
          <w:p w14:paraId="73137BD3" w14:textId="3DF54D3B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1417" w:type="dxa"/>
          </w:tcPr>
          <w:p w14:paraId="4D824D8E" w14:textId="3769BB15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31622</w:t>
            </w:r>
          </w:p>
        </w:tc>
        <w:tc>
          <w:tcPr>
            <w:tcW w:w="1418" w:type="dxa"/>
          </w:tcPr>
          <w:p w14:paraId="1AE61CD3" w14:textId="7CE9922C" w:rsidR="004E1207" w:rsidRPr="0056379A" w:rsidRDefault="0056379A" w:rsidP="00261534">
            <w:pPr>
              <w:jc w:val="center"/>
              <w:rPr>
                <w:lang w:eastAsia="zh-CN"/>
              </w:rPr>
            </w:pPr>
            <w:r w:rsidRPr="0056379A">
              <w:rPr>
                <w:lang w:eastAsia="zh-CN"/>
              </w:rPr>
              <w:t>31933.44</w:t>
            </w:r>
          </w:p>
        </w:tc>
      </w:tr>
      <w:tr w:rsidR="004E1207" w14:paraId="3C9BFBF9" w14:textId="77777777" w:rsidTr="004E1207">
        <w:tc>
          <w:tcPr>
            <w:tcW w:w="1101" w:type="dxa"/>
          </w:tcPr>
          <w:p w14:paraId="4CC7A366" w14:textId="06A0B644" w:rsidR="004E1207" w:rsidRDefault="004E1207" w:rsidP="0026153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1417" w:type="dxa"/>
          </w:tcPr>
          <w:p w14:paraId="21D45D1E" w14:textId="2C151970" w:rsidR="004E1207" w:rsidRDefault="0056379A" w:rsidP="00261534">
            <w:pPr>
              <w:jc w:val="center"/>
              <w:rPr>
                <w:lang w:eastAsia="zh-CN"/>
              </w:rPr>
            </w:pPr>
            <w:r w:rsidRPr="0056379A">
              <w:rPr>
                <w:lang w:eastAsia="zh-CN"/>
              </w:rPr>
              <w:t>355286</w:t>
            </w:r>
          </w:p>
        </w:tc>
        <w:tc>
          <w:tcPr>
            <w:tcW w:w="1418" w:type="dxa"/>
          </w:tcPr>
          <w:p w14:paraId="6B05124D" w14:textId="1D2E934B" w:rsidR="004E1207" w:rsidRPr="0056379A" w:rsidRDefault="0056379A" w:rsidP="00261534">
            <w:pPr>
              <w:jc w:val="center"/>
              <w:rPr>
                <w:lang w:eastAsia="zh-CN"/>
              </w:rPr>
            </w:pPr>
            <w:r w:rsidRPr="0056379A">
              <w:rPr>
                <w:lang w:eastAsia="zh-CN"/>
              </w:rPr>
              <w:t>383201.28</w:t>
            </w:r>
          </w:p>
        </w:tc>
      </w:tr>
    </w:tbl>
    <w:p w14:paraId="6CFCE8A2" w14:textId="77777777" w:rsidR="004E1207" w:rsidRDefault="004E1207" w:rsidP="00261534">
      <w:pPr>
        <w:jc w:val="center"/>
        <w:rPr>
          <w:lang w:eastAsia="zh-CN"/>
        </w:rPr>
      </w:pPr>
    </w:p>
    <w:p w14:paraId="39296C4E" w14:textId="777A5B7F" w:rsidR="00247888" w:rsidRDefault="00247888">
      <w:pPr>
        <w:rPr>
          <w:lang w:eastAsia="zh-CN"/>
        </w:rPr>
      </w:pPr>
    </w:p>
    <w:p w14:paraId="6A593ACC" w14:textId="77777777" w:rsidR="00197A0F" w:rsidRDefault="00197A0F">
      <w:pPr>
        <w:rPr>
          <w:lang w:eastAsia="zh-CN"/>
        </w:rPr>
      </w:pPr>
    </w:p>
    <w:p w14:paraId="7C318A88" w14:textId="77777777" w:rsidR="00197A0F" w:rsidRDefault="00197A0F">
      <w:pPr>
        <w:rPr>
          <w:lang w:eastAsia="zh-CN"/>
        </w:rPr>
      </w:pPr>
    </w:p>
    <w:p w14:paraId="139C8F3A" w14:textId="77777777" w:rsidR="00197A0F" w:rsidRDefault="00197A0F">
      <w:pPr>
        <w:rPr>
          <w:lang w:eastAsia="zh-CN"/>
        </w:rPr>
      </w:pPr>
    </w:p>
    <w:p w14:paraId="782F5572" w14:textId="77777777" w:rsidR="00197A0F" w:rsidRDefault="00197A0F">
      <w:pPr>
        <w:rPr>
          <w:lang w:eastAsia="zh-CN"/>
        </w:rPr>
      </w:pPr>
    </w:p>
    <w:p w14:paraId="4AEDEB27" w14:textId="610723F8" w:rsidR="00197A0F" w:rsidRDefault="00197A0F">
      <w:pPr>
        <w:rPr>
          <w:lang w:eastAsia="zh-CN"/>
        </w:rPr>
      </w:pPr>
      <w:r>
        <w:rPr>
          <w:lang w:eastAsia="zh-CN"/>
        </w:rPr>
        <w:t xml:space="preserve">2. </w:t>
      </w:r>
      <w:r w:rsidR="008A482D">
        <w:rPr>
          <w:lang w:eastAsia="zh-CN"/>
        </w:rPr>
        <w:t>The number of base won't significantly affect the</w:t>
      </w:r>
      <w:r w:rsidR="006524A7">
        <w:rPr>
          <w:lang w:eastAsia="zh-CN"/>
        </w:rPr>
        <w:t xml:space="preserve"> time the predecessor get called, but predecessor run time will change, because</w:t>
      </w:r>
      <w:r w:rsidR="008A482D">
        <w:rPr>
          <w:lang w:eastAsia="zh-CN"/>
        </w:rPr>
        <w:t xml:space="preserve"> </w:t>
      </w:r>
      <w:r w:rsidR="006524A7">
        <w:rPr>
          <w:lang w:eastAsia="zh-CN"/>
        </w:rPr>
        <w:t xml:space="preserve">small base number will make the list very long for large numbers. so the runtime I predicted is </w:t>
      </w:r>
      <w:r w:rsidR="00BB5A2A">
        <w:rPr>
          <w:lang w:eastAsia="zh-CN"/>
        </w:rPr>
        <w:t>O(</w:t>
      </w:r>
      <w:r w:rsidR="006524A7">
        <w:rPr>
          <w:lang w:eastAsia="zh-CN"/>
        </w:rPr>
        <w:t>log</w:t>
      </w:r>
      <w:r w:rsidR="006524A7">
        <w:rPr>
          <w:vertAlign w:val="subscript"/>
          <w:lang w:eastAsia="zh-CN"/>
        </w:rPr>
        <w:t>BASE</w:t>
      </w:r>
      <w:r w:rsidR="006524A7">
        <w:rPr>
          <w:lang w:eastAsia="zh-CN"/>
        </w:rPr>
        <w:t>(n!)</w:t>
      </w:r>
      <w:r w:rsidR="00BB5A2A">
        <w:rPr>
          <w:lang w:eastAsia="zh-CN"/>
        </w:rPr>
        <w:t>).</w:t>
      </w:r>
      <w:bookmarkStart w:id="0" w:name="_GoBack"/>
      <w:bookmarkEnd w:id="0"/>
    </w:p>
    <w:p w14:paraId="1C045C6C" w14:textId="6AD4EFCB" w:rsidR="006524A7" w:rsidRDefault="005918BB">
      <w:pPr>
        <w:rPr>
          <w:lang w:eastAsia="zh-CN"/>
        </w:rPr>
      </w:pPr>
      <w:r>
        <w:rPr>
          <w:lang w:eastAsia="zh-CN"/>
        </w:rPr>
        <w:t>I used factorial 10 for my calculation</w:t>
      </w:r>
    </w:p>
    <w:p w14:paraId="5BC564E3" w14:textId="1AEF9963" w:rsidR="000D77AA" w:rsidRDefault="000D77AA">
      <w:pPr>
        <w:rPr>
          <w:lang w:eastAsia="zh-CN"/>
        </w:rPr>
      </w:pPr>
      <w:r>
        <w:rPr>
          <w:lang w:eastAsia="zh-CN"/>
        </w:rPr>
        <w:t xml:space="preserve">In the graph below, the red line is the calculated data which use the </w:t>
      </w:r>
      <w:r>
        <w:rPr>
          <w:rFonts w:ascii="Calibri" w:eastAsia="Times New Roman" w:hAnsi="Calibri" w:cs="Times New Roman"/>
          <w:color w:val="000000"/>
        </w:rPr>
        <w:t>100*log</w:t>
      </w:r>
      <w:r w:rsidRPr="000D77AA">
        <w:rPr>
          <w:rFonts w:ascii="Calibri" w:eastAsia="Times New Roman" w:hAnsi="Calibri" w:cs="Times New Roman"/>
          <w:color w:val="000000"/>
          <w:vertAlign w:val="subscript"/>
        </w:rPr>
        <w:t>BASE</w:t>
      </w:r>
      <w:r>
        <w:rPr>
          <w:rFonts w:ascii="Calibri" w:eastAsia="Times New Roman" w:hAnsi="Calibri" w:cs="Times New Roman"/>
          <w:color w:val="000000"/>
        </w:rPr>
        <w:t>(10</w:t>
      </w:r>
      <w:r w:rsidRPr="003D79B9">
        <w:rPr>
          <w:rFonts w:ascii="Calibri" w:eastAsia="Times New Roman" w:hAnsi="Calibri" w:cs="Times New Roman"/>
          <w:color w:val="000000"/>
        </w:rPr>
        <w:t>!)</w:t>
      </w:r>
      <w:r>
        <w:rPr>
          <w:rFonts w:ascii="Calibri" w:eastAsia="Times New Roman" w:hAnsi="Calibri" w:cs="Times New Roman"/>
          <w:color w:val="000000"/>
        </w:rPr>
        <w:t xml:space="preserve">+ </w:t>
      </w:r>
      <w:r>
        <w:t>12</w:t>
      </w:r>
      <w:r w:rsidRPr="001D555B">
        <w:t>00</w:t>
      </w:r>
      <w:r>
        <w:t xml:space="preserve"> the blue curve is the real run time. And the doted line is the fit line. </w:t>
      </w:r>
    </w:p>
    <w:p w14:paraId="3EBC49E8" w14:textId="77777777" w:rsidR="000D77AA" w:rsidRDefault="000D77AA">
      <w:pPr>
        <w:rPr>
          <w:lang w:eastAsia="zh-CN"/>
        </w:rPr>
      </w:pPr>
    </w:p>
    <w:tbl>
      <w:tblPr>
        <w:tblW w:w="4983" w:type="dxa"/>
        <w:tblLook w:val="04A0" w:firstRow="1" w:lastRow="0" w:firstColumn="1" w:lastColumn="0" w:noHBand="0" w:noVBand="1"/>
      </w:tblPr>
      <w:tblGrid>
        <w:gridCol w:w="960"/>
        <w:gridCol w:w="1825"/>
        <w:gridCol w:w="2198"/>
      </w:tblGrid>
      <w:tr w:rsidR="00530B1E" w:rsidRPr="003D79B9" w14:paraId="21FF4A0D" w14:textId="77777777" w:rsidTr="000D77A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A743" w14:textId="77777777" w:rsidR="00530B1E" w:rsidRPr="003D79B9" w:rsidRDefault="00530B1E" w:rsidP="00705DEF">
            <w:pPr>
              <w:rPr>
                <w:rFonts w:ascii="Calibri" w:eastAsia="Times New Roman" w:hAnsi="Calibri" w:cs="Times New Roman"/>
                <w:color w:val="000000"/>
              </w:rPr>
            </w:pPr>
            <w:r w:rsidRPr="003D79B9">
              <w:rPr>
                <w:rFonts w:ascii="Calibri" w:eastAsia="Times New Roman" w:hAnsi="Calibri" w:cs="Times New Roman"/>
                <w:color w:val="000000"/>
              </w:rPr>
              <w:t>BASE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6765" w14:textId="6D8F4BBA" w:rsidR="00530B1E" w:rsidRPr="003D79B9" w:rsidRDefault="00530B1E" w:rsidP="00705DE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factorial 10</w:t>
            </w:r>
            <w:r w:rsidRPr="003D79B9">
              <w:rPr>
                <w:rFonts w:ascii="Calibri" w:eastAsia="Times New Roman" w:hAnsi="Calibri" w:cs="Times New Roman"/>
                <w:color w:val="000000"/>
              </w:rPr>
              <w:t xml:space="preserve"> (ms)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4E0E" w14:textId="3A5532C9" w:rsidR="00530B1E" w:rsidRPr="003D79B9" w:rsidRDefault="00A519FD" w:rsidP="00A519F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100*</w:t>
            </w:r>
            <w:r w:rsidR="00530B1E">
              <w:rPr>
                <w:rFonts w:ascii="Calibri" w:eastAsia="Times New Roman" w:hAnsi="Calibri" w:cs="Times New Roman"/>
                <w:color w:val="000000"/>
              </w:rPr>
              <w:t>log_BASE(10</w:t>
            </w:r>
            <w:r w:rsidR="00530B1E" w:rsidRPr="003D79B9">
              <w:rPr>
                <w:rFonts w:ascii="Calibri" w:eastAsia="Times New Roman" w:hAnsi="Calibri" w:cs="Times New Roman"/>
                <w:color w:val="000000"/>
              </w:rPr>
              <w:t>!)</w:t>
            </w:r>
            <w:r>
              <w:rPr>
                <w:rFonts w:ascii="Calibri" w:eastAsia="Times New Roman" w:hAnsi="Calibri" w:cs="Times New Roman"/>
                <w:color w:val="000000"/>
              </w:rPr>
              <w:t>+</w:t>
            </w:r>
            <w:r w:rsidR="0086265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429EE">
              <w:t>12</w:t>
            </w:r>
            <w:r w:rsidRPr="001D555B">
              <w:t>00</w:t>
            </w:r>
          </w:p>
        </w:tc>
      </w:tr>
      <w:tr w:rsidR="00530B1E" w:rsidRPr="003D79B9" w14:paraId="47A2D1B9" w14:textId="77777777" w:rsidTr="000D7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9BD4" w14:textId="77777777" w:rsidR="00530B1E" w:rsidRPr="003D79B9" w:rsidRDefault="00530B1E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79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FC52" w14:textId="475381FE" w:rsidR="00530B1E" w:rsidRPr="003D79B9" w:rsidRDefault="004735ED" w:rsidP="004735ED">
            <w:pPr>
              <w:ind w:left="720" w:hanging="72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3058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8345" w14:textId="33566FAB" w:rsidR="00530B1E" w:rsidRPr="003D79B9" w:rsidRDefault="001D555B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="00312980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  <w:tr w:rsidR="00530B1E" w:rsidRPr="003D79B9" w14:paraId="0837155A" w14:textId="77777777" w:rsidTr="000D7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7DA6" w14:textId="77777777" w:rsidR="00530B1E" w:rsidRPr="003D79B9" w:rsidRDefault="00530B1E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79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5222B" w14:textId="19256651" w:rsidR="00530B1E" w:rsidRPr="003D79B9" w:rsidRDefault="00441200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2495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B5CC" w14:textId="7A5E1F61" w:rsidR="00530B1E" w:rsidRPr="003D79B9" w:rsidRDefault="006429EE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="00897888">
              <w:rPr>
                <w:rFonts w:ascii="Calibri" w:eastAsia="Times New Roman" w:hAnsi="Calibri" w:cs="Times New Roman"/>
                <w:color w:val="000000"/>
              </w:rPr>
              <w:t>74</w:t>
            </w:r>
            <w:r w:rsidR="00E23B5C">
              <w:rPr>
                <w:rFonts w:ascii="Calibri" w:eastAsia="Times New Roman" w:hAnsi="Calibri" w:cs="Times New Roman"/>
                <w:color w:val="000000"/>
              </w:rPr>
              <w:t>.863</w:t>
            </w:r>
          </w:p>
        </w:tc>
      </w:tr>
      <w:tr w:rsidR="00530B1E" w:rsidRPr="003D79B9" w14:paraId="406CC4DA" w14:textId="77777777" w:rsidTr="000D7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AC0B0" w14:textId="77777777" w:rsidR="00530B1E" w:rsidRPr="003D79B9" w:rsidRDefault="00530B1E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79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F31C" w14:textId="5A5D6C79" w:rsidR="00530B1E" w:rsidRPr="003D79B9" w:rsidRDefault="00A80440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2072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4479" w14:textId="1974CD85" w:rsidR="00530B1E" w:rsidRPr="003D79B9" w:rsidRDefault="006429EE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A71CC1" w:rsidRPr="00A71CC1">
              <w:rPr>
                <w:rFonts w:ascii="Calibri" w:eastAsia="Times New Roman" w:hAnsi="Calibri" w:cs="Times New Roman"/>
                <w:color w:val="000000"/>
              </w:rPr>
              <w:t>89</w:t>
            </w:r>
            <w:r w:rsidR="00A71CC1">
              <w:rPr>
                <w:rFonts w:ascii="Calibri" w:eastAsia="Times New Roman" w:hAnsi="Calibri" w:cs="Times New Roman"/>
                <w:color w:val="000000"/>
              </w:rPr>
              <w:t>.</w:t>
            </w:r>
            <w:r w:rsidR="00A71CC1" w:rsidRPr="00A71CC1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530B1E" w:rsidRPr="003D79B9" w14:paraId="39D74EEF" w14:textId="77777777" w:rsidTr="000D7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B271" w14:textId="77777777" w:rsidR="00530B1E" w:rsidRPr="003D79B9" w:rsidRDefault="00530B1E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79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6B52" w14:textId="4F9DECB8" w:rsidR="00530B1E" w:rsidRPr="003D79B9" w:rsidRDefault="00210138" w:rsidP="000F33A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0F33AB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1391" w14:textId="537CE960" w:rsidR="00530B1E" w:rsidRPr="003D79B9" w:rsidRDefault="006429EE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="00BC56F0" w:rsidRPr="00BC56F0">
              <w:rPr>
                <w:rFonts w:ascii="Calibri" w:eastAsia="Times New Roman" w:hAnsi="Calibri" w:cs="Times New Roman"/>
                <w:color w:val="000000"/>
              </w:rPr>
              <w:t>38</w:t>
            </w:r>
            <w:r w:rsidR="00BC56F0">
              <w:rPr>
                <w:rFonts w:ascii="Calibri" w:eastAsia="Times New Roman" w:hAnsi="Calibri" w:cs="Times New Roman"/>
                <w:color w:val="000000"/>
              </w:rPr>
              <w:t>.</w:t>
            </w:r>
            <w:r w:rsidR="00BC56F0" w:rsidRPr="00BC56F0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530B1E" w:rsidRPr="003D79B9" w14:paraId="369DB0E9" w14:textId="77777777" w:rsidTr="000D7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F594" w14:textId="77777777" w:rsidR="00530B1E" w:rsidRPr="003D79B9" w:rsidRDefault="00530B1E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79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DE92" w14:textId="661556C4" w:rsidR="00530B1E" w:rsidRPr="003D79B9" w:rsidRDefault="000F33AB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2025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5C89" w14:textId="3BE7E781" w:rsidR="00530B1E" w:rsidRPr="003D79B9" w:rsidRDefault="006429EE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="00516592" w:rsidRPr="00516592">
              <w:rPr>
                <w:rFonts w:ascii="Calibri" w:eastAsia="Times New Roman" w:hAnsi="Calibri" w:cs="Times New Roman"/>
                <w:color w:val="000000"/>
              </w:rPr>
              <w:t>42</w:t>
            </w:r>
            <w:r w:rsidR="00516592">
              <w:rPr>
                <w:rFonts w:ascii="Calibri" w:eastAsia="Times New Roman" w:hAnsi="Calibri" w:cs="Times New Roman"/>
                <w:color w:val="000000"/>
              </w:rPr>
              <w:t>.</w:t>
            </w:r>
            <w:r w:rsidR="00516592" w:rsidRPr="00516592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</w:tr>
      <w:tr w:rsidR="00530B1E" w:rsidRPr="003D79B9" w14:paraId="6BC0B8BB" w14:textId="77777777" w:rsidTr="000D7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BCE0" w14:textId="4B6F9ECD" w:rsidR="00530B1E" w:rsidRPr="003D79B9" w:rsidRDefault="000F33AB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BC3C" w14:textId="7793F334" w:rsidR="00530B1E" w:rsidRPr="003D79B9" w:rsidRDefault="000F33AB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1762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21FE" w14:textId="75FCE93E" w:rsidR="00530B1E" w:rsidRPr="003D79B9" w:rsidRDefault="006429EE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="00F14E30" w:rsidRPr="00F14E30">
              <w:rPr>
                <w:rFonts w:ascii="Calibri" w:eastAsia="Times New Roman" w:hAnsi="Calibri" w:cs="Times New Roman"/>
                <w:color w:val="000000"/>
              </w:rPr>
              <w:t>04</w:t>
            </w:r>
            <w:r w:rsidR="00F14E30">
              <w:rPr>
                <w:rFonts w:ascii="Calibri" w:eastAsia="Times New Roman" w:hAnsi="Calibri" w:cs="Times New Roman"/>
                <w:color w:val="000000"/>
              </w:rPr>
              <w:t>.</w:t>
            </w:r>
            <w:r w:rsidR="00F14E30" w:rsidRPr="00F14E30">
              <w:rPr>
                <w:rFonts w:ascii="Calibri" w:eastAsia="Times New Roman" w:hAnsi="Calibri" w:cs="Times New Roman"/>
                <w:color w:val="000000"/>
              </w:rPr>
              <w:t>1977</w:t>
            </w:r>
          </w:p>
        </w:tc>
      </w:tr>
      <w:tr w:rsidR="00530B1E" w:rsidRPr="003D79B9" w14:paraId="474B50DB" w14:textId="77777777" w:rsidTr="000D7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C542" w14:textId="77777777" w:rsidR="00530B1E" w:rsidRPr="003D79B9" w:rsidRDefault="00530B1E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79B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6166" w14:textId="7E22A1AD" w:rsidR="00530B1E" w:rsidRPr="003D79B9" w:rsidRDefault="00001F1C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1732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5987" w14:textId="4365CD21" w:rsidR="00530B1E" w:rsidRPr="003D79B9" w:rsidRDefault="00B63910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B63910">
              <w:rPr>
                <w:rFonts w:ascii="Calibri" w:eastAsia="Times New Roman" w:hAnsi="Calibri" w:cs="Times New Roman"/>
                <w:color w:val="000000"/>
              </w:rPr>
              <w:t>86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B63910">
              <w:rPr>
                <w:rFonts w:ascii="Calibri" w:eastAsia="Times New Roman" w:hAnsi="Calibri" w:cs="Times New Roman"/>
                <w:color w:val="000000"/>
              </w:rPr>
              <w:t>1023</w:t>
            </w:r>
          </w:p>
        </w:tc>
      </w:tr>
      <w:tr w:rsidR="00530B1E" w:rsidRPr="003D79B9" w14:paraId="63E6B0F6" w14:textId="77777777" w:rsidTr="000D7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BFF8" w14:textId="77777777" w:rsidR="00530B1E" w:rsidRPr="003D79B9" w:rsidRDefault="00530B1E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D79B9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61D7" w14:textId="2B362851" w:rsidR="00530B1E" w:rsidRPr="003D79B9" w:rsidRDefault="00372D93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1652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394B" w14:textId="5DB3A786" w:rsidR="00530B1E" w:rsidRPr="003D79B9" w:rsidRDefault="001F44B2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1F44B2">
              <w:rPr>
                <w:rFonts w:ascii="Calibri" w:eastAsia="Times New Roman" w:hAnsi="Calibri" w:cs="Times New Roman"/>
                <w:color w:val="000000"/>
              </w:rPr>
              <w:t>27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1F44B2">
              <w:rPr>
                <w:rFonts w:ascii="Calibri" w:eastAsia="Times New Roman" w:hAnsi="Calibri" w:cs="Times New Roman"/>
                <w:color w:val="000000"/>
              </w:rPr>
              <w:t>9882</w:t>
            </w:r>
          </w:p>
        </w:tc>
      </w:tr>
      <w:tr w:rsidR="000D77AA" w:rsidRPr="003D79B9" w14:paraId="17A97A4C" w14:textId="77777777" w:rsidTr="000D7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7AC7B" w14:textId="77777777" w:rsidR="000D77AA" w:rsidRPr="003D79B9" w:rsidRDefault="000D77AA" w:rsidP="000D77A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0904D" w14:textId="77777777" w:rsidR="000D77AA" w:rsidRDefault="000D77AA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C947D" w14:textId="77777777" w:rsidR="000D77AA" w:rsidRDefault="000D77AA" w:rsidP="00705DE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221C297" w14:textId="77777777" w:rsidR="000D77AA" w:rsidRDefault="000D77AA">
      <w:pPr>
        <w:rPr>
          <w:lang w:eastAsia="zh-CN"/>
        </w:rPr>
      </w:pPr>
    </w:p>
    <w:p w14:paraId="14330675" w14:textId="77777777" w:rsidR="000D77AA" w:rsidRDefault="000D77AA">
      <w:pPr>
        <w:rPr>
          <w:lang w:eastAsia="zh-CN"/>
        </w:rPr>
      </w:pPr>
    </w:p>
    <w:p w14:paraId="048B63B1" w14:textId="77777777" w:rsidR="000D77AA" w:rsidRDefault="000D77AA">
      <w:pPr>
        <w:rPr>
          <w:lang w:eastAsia="zh-CN"/>
        </w:rPr>
      </w:pPr>
    </w:p>
    <w:p w14:paraId="78E37F26" w14:textId="0AA14986" w:rsidR="00530B1E" w:rsidRPr="006524A7" w:rsidRDefault="000D77AA">
      <w:pPr>
        <w:rPr>
          <w:lang w:eastAsia="zh-CN"/>
        </w:rPr>
      </w:pPr>
      <w:r>
        <w:rPr>
          <w:noProof/>
          <w:lang w:eastAsia="en-US"/>
        </w:rPr>
        <w:drawing>
          <wp:inline distT="0" distB="0" distL="0" distR="0" wp14:anchorId="688E49C8" wp14:editId="5185EA17">
            <wp:extent cx="5372100" cy="3529965"/>
            <wp:effectExtent l="0" t="0" r="12700" b="260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57D6FF" w14:textId="77777777" w:rsidR="000D77AA" w:rsidRDefault="000D77AA"/>
    <w:sectPr w:rsidR="000D77AA" w:rsidSect="00355A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3D4"/>
    <w:rsid w:val="00001F1C"/>
    <w:rsid w:val="000D77AA"/>
    <w:rsid w:val="000F33AB"/>
    <w:rsid w:val="00133946"/>
    <w:rsid w:val="00197A0F"/>
    <w:rsid w:val="001D4A22"/>
    <w:rsid w:val="001D555B"/>
    <w:rsid w:val="001F44B2"/>
    <w:rsid w:val="001F64A6"/>
    <w:rsid w:val="00210138"/>
    <w:rsid w:val="0022143B"/>
    <w:rsid w:val="00247888"/>
    <w:rsid w:val="00261534"/>
    <w:rsid w:val="00312980"/>
    <w:rsid w:val="00326687"/>
    <w:rsid w:val="00355AF2"/>
    <w:rsid w:val="00372D93"/>
    <w:rsid w:val="003C1585"/>
    <w:rsid w:val="00441200"/>
    <w:rsid w:val="004735ED"/>
    <w:rsid w:val="004A25DF"/>
    <w:rsid w:val="004E1207"/>
    <w:rsid w:val="004E5724"/>
    <w:rsid w:val="00516592"/>
    <w:rsid w:val="00530B1E"/>
    <w:rsid w:val="0056379A"/>
    <w:rsid w:val="00582137"/>
    <w:rsid w:val="005918BB"/>
    <w:rsid w:val="006429EE"/>
    <w:rsid w:val="006524A7"/>
    <w:rsid w:val="007605CF"/>
    <w:rsid w:val="007C190B"/>
    <w:rsid w:val="00862650"/>
    <w:rsid w:val="00897888"/>
    <w:rsid w:val="008A482D"/>
    <w:rsid w:val="00A519FD"/>
    <w:rsid w:val="00A71CC1"/>
    <w:rsid w:val="00A80440"/>
    <w:rsid w:val="00AA5857"/>
    <w:rsid w:val="00B63910"/>
    <w:rsid w:val="00BB5A2A"/>
    <w:rsid w:val="00BC56F0"/>
    <w:rsid w:val="00C243D4"/>
    <w:rsid w:val="00C45A3B"/>
    <w:rsid w:val="00CE2008"/>
    <w:rsid w:val="00CE674D"/>
    <w:rsid w:val="00E23B5C"/>
    <w:rsid w:val="00F14E30"/>
    <w:rsid w:val="00F3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629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2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A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A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2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A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A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FrancisMeng:Downloads:Assignment12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FrancisMeng:Downloads:Assignment12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trendline>
            <c:spPr>
              <a:ln>
                <a:solidFill>
                  <a:schemeClr val="accent2"/>
                </a:solidFill>
              </a:ln>
            </c:spPr>
            <c:trendlineType val="poly"/>
            <c:order val="3"/>
            <c:dispRSqr val="0"/>
            <c:dispEq val="1"/>
            <c:trendlineLbl>
              <c:layout/>
              <c:numFmt formatCode="General" sourceLinked="0"/>
            </c:trendlineLbl>
          </c:trendline>
          <c:val>
            <c:numRef>
              <c:f>Sheet1!$C$2:$C$13</c:f>
              <c:numCache>
                <c:formatCode>General</c:formatCode>
                <c:ptCount val="12"/>
                <c:pt idx="0">
                  <c:v>0.0008</c:v>
                </c:pt>
                <c:pt idx="1">
                  <c:v>0.0016</c:v>
                </c:pt>
                <c:pt idx="2">
                  <c:v>0.0048</c:v>
                </c:pt>
                <c:pt idx="3">
                  <c:v>0.0192</c:v>
                </c:pt>
                <c:pt idx="4">
                  <c:v>0.096</c:v>
                </c:pt>
                <c:pt idx="5">
                  <c:v>0.576</c:v>
                </c:pt>
                <c:pt idx="6">
                  <c:v>4.032</c:v>
                </c:pt>
                <c:pt idx="7">
                  <c:v>32.256</c:v>
                </c:pt>
                <c:pt idx="8">
                  <c:v>290.304</c:v>
                </c:pt>
                <c:pt idx="9">
                  <c:v>2903.04</c:v>
                </c:pt>
                <c:pt idx="10">
                  <c:v>31933.44</c:v>
                </c:pt>
                <c:pt idx="11">
                  <c:v>383201.28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3415000"/>
        <c:axId val="2103799704"/>
      </c:lineChart>
      <c:catAx>
        <c:axId val="2113415000"/>
        <c:scaling>
          <c:orientation val="minMax"/>
        </c:scaling>
        <c:delete val="0"/>
        <c:axPos val="b"/>
        <c:majorTickMark val="out"/>
        <c:minorTickMark val="none"/>
        <c:tickLblPos val="nextTo"/>
        <c:crossAx val="2103799704"/>
        <c:crosses val="autoZero"/>
        <c:auto val="1"/>
        <c:lblAlgn val="ctr"/>
        <c:lblOffset val="100"/>
        <c:noMultiLvlLbl val="0"/>
      </c:catAx>
      <c:valAx>
        <c:axId val="2103799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34150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71211630461086"/>
          <c:y val="0.0194279546681058"/>
          <c:w val="0.87016548463357"/>
          <c:h val="0.86868141752113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Sheet1!$B$22</c:f>
              <c:strCache>
                <c:ptCount val="1"/>
                <c:pt idx="0">
                  <c:v>factorial 9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Sheet1!$A$66:$A$73</c:f>
              <c:numCache>
                <c:formatCode>General</c:formatCode>
                <c:ptCount val="8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20.0</c:v>
                </c:pt>
                <c:pt idx="6">
                  <c:v>50.0</c:v>
                </c:pt>
                <c:pt idx="7">
                  <c:v>100.0</c:v>
                </c:pt>
              </c:numCache>
            </c:numRef>
          </c:xVal>
          <c:yVal>
            <c:numRef>
              <c:f>Sheet1!$B$66:$B$73</c:f>
              <c:numCache>
                <c:formatCode>General</c:formatCode>
                <c:ptCount val="8"/>
                <c:pt idx="0">
                  <c:v>3058.0</c:v>
                </c:pt>
                <c:pt idx="1">
                  <c:v>2495.0</c:v>
                </c:pt>
                <c:pt idx="2">
                  <c:v>2072.0</c:v>
                </c:pt>
                <c:pt idx="3">
                  <c:v>2134.0</c:v>
                </c:pt>
                <c:pt idx="4">
                  <c:v>2025.0</c:v>
                </c:pt>
                <c:pt idx="5">
                  <c:v>1762.0</c:v>
                </c:pt>
                <c:pt idx="6">
                  <c:v>1732.0</c:v>
                </c:pt>
                <c:pt idx="7">
                  <c:v>1652.0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Sheet1!$C$22</c:f>
              <c:strCache>
                <c:ptCount val="1"/>
                <c:pt idx="0">
                  <c:v>-log_BASE(n!)+700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Sheet1!$A$66:$A$73</c:f>
              <c:numCache>
                <c:formatCode>General</c:formatCode>
                <c:ptCount val="8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20.0</c:v>
                </c:pt>
                <c:pt idx="6">
                  <c:v>50.0</c:v>
                </c:pt>
                <c:pt idx="7">
                  <c:v>100.0</c:v>
                </c:pt>
              </c:numCache>
            </c:numRef>
          </c:xVal>
          <c:yVal>
            <c:numRef>
              <c:f>Sheet1!$C$66:$C$73</c:f>
              <c:numCache>
                <c:formatCode>General</c:formatCode>
                <c:ptCount val="8"/>
                <c:pt idx="0">
                  <c:v>3279.0</c:v>
                </c:pt>
                <c:pt idx="1">
                  <c:v>2574.863</c:v>
                </c:pt>
                <c:pt idx="2">
                  <c:v>2289.55</c:v>
                </c:pt>
                <c:pt idx="3">
                  <c:v>2138.48</c:v>
                </c:pt>
                <c:pt idx="4">
                  <c:v>2042.99</c:v>
                </c:pt>
                <c:pt idx="5">
                  <c:v>1704.1977</c:v>
                </c:pt>
                <c:pt idx="6">
                  <c:v>1586.1023</c:v>
                </c:pt>
                <c:pt idx="7">
                  <c:v>1527.9882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4708632"/>
        <c:axId val="2119808712"/>
      </c:scatterChart>
      <c:valAx>
        <c:axId val="2114708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9808712"/>
        <c:crosses val="autoZero"/>
        <c:crossBetween val="midCat"/>
      </c:valAx>
      <c:valAx>
        <c:axId val="2119808712"/>
        <c:scaling>
          <c:orientation val="minMax"/>
          <c:min val="6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4708632"/>
        <c:crosses val="autoZero"/>
        <c:crossBetween val="midCat"/>
      </c:valAx>
      <c:spPr>
        <a:noFill/>
        <a:ln cap="flat">
          <a:solidFill>
            <a:schemeClr val="accent1"/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224</Words>
  <Characters>1283</Characters>
  <Application>Microsoft Macintosh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Meng</dc:creator>
  <cp:keywords/>
  <dc:description/>
  <cp:lastModifiedBy>Francis Meng</cp:lastModifiedBy>
  <cp:revision>37</cp:revision>
  <dcterms:created xsi:type="dcterms:W3CDTF">2014-04-15T01:11:00Z</dcterms:created>
  <dcterms:modified xsi:type="dcterms:W3CDTF">2014-04-15T04:42:00Z</dcterms:modified>
</cp:coreProperties>
</file>