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rFonts w:ascii="Calibri" w:hAnsi="Calibri"/>
          <w:color w:val="4a5568"/>
          <w:sz w:val="20"/>
        </w:rPr>
        <w:t xml:space="preserve">Republic of the Philippines</w:t>
        <w:br/>
      </w:r>
      <w:r>
        <w:rPr>
          <w:rFonts w:ascii="Arial" w:hAnsi="Arial"/>
          <w:b/>
          <w:color w:val="0f2c59"/>
          <w:sz w:val="26"/>
        </w:rPr>
        <w:t xml:space="preserve">WESTERN MINDANAO STATE UNIVERSITY</w:t>
        <w:br/>
      </w:r>
      <w:r>
        <w:rPr>
          <w:rFonts w:ascii="Arial" w:hAnsi="Arial"/>
          <w:b/>
          <w:color w:val="1a56db"/>
          <w:sz w:val="22"/>
        </w:rPr>
        <w:t xml:space="preserve">COLLEGE OF COMPUTING STUDIES</w:t>
        <w:br/>
      </w:r>
      <w:r>
        <w:rPr>
          <w:rFonts w:ascii="Calibri" w:hAnsi="Calibri"/>
          <w:b/>
          <w:color w:val="2d3748"/>
          <w:sz w:val="21"/>
        </w:rPr>
        <w:t xml:space="preserve">DEPARTMENT OF INFORMATION TECHNOLOGY</w:t>
        <w:br/>
      </w:r>
      <w:r>
        <w:rPr>
          <w:rFonts w:ascii="Calibri" w:hAnsi="Calibri"/>
          <w:i/>
          <w:color w:val="718096"/>
          <w:sz w:val="19"/>
        </w:rPr>
        <w:t xml:space="preserve">Normal Road, Baliwasan, Zamboanga City 7000</w:t>
      </w:r>
      <w:r/>
    </w:p>
    <w:p>
      <w:pPr>
        <w:pBdr>
          <w:bottom w:val="single" w:color="0f2c59" w:sz="18" w:space="1"/>
        </w:pBdr>
        <w:spacing w:after="280" w:before="80"/>
        <w:ind/>
        <w:rPr/>
      </w:pPr>
      <w:r/>
      <w:r/>
    </w:p>
    <w:p>
      <w:pPr>
        <w:pBdr/>
        <w:spacing w:after="200" w:before="0"/>
        <w:ind/>
        <w:rPr>
          <w:rFonts w:ascii="Arial" w:hAnsi="Arial"/>
          <w:b/>
          <w:bCs/>
          <w:sz w:val="20"/>
          <w:szCs w:val="20"/>
        </w:rPr>
      </w:pPr>
      <w:r>
        <w:rPr>
          <w:rFonts w:ascii="Arial" w:hAnsi="Arial"/>
          <w:b/>
          <w:sz w:val="20"/>
        </w:rPr>
        <w:t xml:space="preserve">DATE: October 9, 2026</w:t>
      </w:r>
      <w:r/>
    </w:p>
    <w:p w14:paraId="49222BF3">
      <w:pPr>
        <w:pBdr/>
        <w:spacing w:after="200" w:before="0"/>
        <w:ind/>
        <w:rPr/>
      </w:pPr>
      <w:r>
        <w:rPr>
          <w:rFonts w:ascii="Arial" w:hAnsi="Arial"/>
          <w:b/>
          <w:sz w:val="20"/>
        </w:rPr>
      </w:r>
      <w:r>
        <w:rPr>
          <w:rFonts w:ascii="Calibri" w:hAnsi="Calibri"/>
          <w:b/>
          <w:color w:val="0f2c59"/>
          <w:sz w:val="21"/>
        </w:rPr>
        <w:br/>
      </w:r>
      <w:r>
        <w:rPr>
          <w:rFonts w:ascii="Calibri" w:hAnsi="Calibri"/>
          <w:sz w:val="21"/>
        </w:rPr>
        <w:t xml:space="preserve">As requested, we are pleased to submit this cle</w:t>
      </w:r>
      <w:r>
        <w:rPr>
          <w:rFonts w:ascii="Calibri" w:hAnsi="Calibri"/>
          <w:sz w:val="21"/>
        </w:rPr>
        <w:t xml:space="preserve">ar and straightforward Work Plan, Timetable, and Data Collection Guide. This document explains the exact information and assistance we need, the artworks/sculptures to be included, and our schedule from after our Midterm Defense up until our Final Defense.</w:t>
      </w:r>
      <w:r/>
      <w:r/>
    </w:p>
    <w:tbl>
      <w:tblPr>
        <w:jc w:val="center"/>
        <w:tblW w:w="0" w:type="auto"/>
        <w:tblBorders/>
        <w:tblLayout w:type="fixed"/>
        <w:tblLook w:val="04A0" w:firstRow="1" w:lastRow="0" w:firstColumn="1" w:lastColumn="0" w:noHBand="0" w:noVBand="1"/>
      </w:tblPr>
      <w:tblGrid>
        <w:gridCol w:w="9360"/>
      </w:tblGrid>
      <w:tr>
        <w:trPr/>
        <w:tc>
          <w:tcPr>
            <w:shd w:val="clear" w:color="auto" w:fill="f8fafc"/>
            <w:tcBorders>
              <w:top w:val="none" w:color="000000" w:sz="4" w:space="0"/>
              <w:left w:val="single" w:color="0f2c59" w:sz="30" w:space="0"/>
              <w:bottom w:val="none" w:color="000000" w:sz="4" w:space="0"/>
              <w:right w:val="none" w:color="000000" w:sz="4" w:space="0"/>
            </w:tcBorders>
            <w:tcMar>
              <w:left w:w="180" w:type="dxa"/>
              <w:top w:w="140" w:type="dxa"/>
              <w:right w:w="160" w:type="dxa"/>
              <w:bottom w:w="140" w:type="dxa"/>
            </w:tcMar>
            <w:tcW w:w="9360" w:type="dxa"/>
          </w:tcPr>
          <w:p>
            <w:pPr>
              <w:pBdr/>
              <w:spacing w:after="60" w:before="0"/>
              <w:ind/>
              <w:rPr/>
            </w:pPr>
            <w:r>
              <w:rPr>
                <w:rFonts w:ascii="Arial" w:hAnsi="Arial"/>
                <w:b/>
                <w:color w:val="0f2c59"/>
                <w:sz w:val="21"/>
              </w:rPr>
              <w:t xml:space="preserve">TIMELINE OVERVIEW (MIDTERM TO FINAL DEFENSE)</w:t>
            </w:r>
            <w:r/>
          </w:p>
          <w:p>
            <w:pPr>
              <w:pBdr/>
              <w:spacing w:after="40" w:before="40"/>
              <w:ind/>
              <w:rPr/>
            </w:pPr>
            <w:r>
              <w:rPr>
                <w:rFonts w:ascii="Calibri" w:hAnsi="Calibri"/>
                <w:color w:val="2d3748"/>
                <w:sz w:val="20"/>
              </w:rPr>
              <w:t xml:space="preserve">• Midterm Defense: October 13 – 16, 2026 (Internal University Defense)</w:t>
            </w:r>
            <w:r/>
          </w:p>
          <w:p>
            <w:pPr>
              <w:pBdr/>
              <w:spacing w:after="40" w:before="40"/>
              <w:ind/>
              <w:rPr/>
            </w:pPr>
            <w:r>
              <w:rPr>
                <w:rFonts w:ascii="Calibri" w:hAnsi="Calibri"/>
                <w:color w:val="2d3748"/>
                <w:sz w:val="20"/>
              </w:rPr>
              <w:t xml:space="preserve">• Museum Data Collection &amp; Testing: October 19 – November 14, 2026 (Starts after Midterm Defense)</w:t>
            </w:r>
            <w:r/>
          </w:p>
          <w:p>
            <w:pPr>
              <w:pBdr/>
              <w:spacing w:after="40" w:before="40"/>
              <w:ind/>
              <w:rPr/>
            </w:pPr>
            <w:r>
              <w:rPr>
                <w:rFonts w:ascii="Calibri" w:hAnsi="Calibri"/>
                <w:color w:val="2d3748"/>
                <w:sz w:val="20"/>
              </w:rPr>
              <w:t xml:space="preserve">• Data Processing &amp; Final Thesis Writing: November 16 – November 23, 2026</w:t>
            </w:r>
            <w:r/>
          </w:p>
          <w:p>
            <w:pPr>
              <w:pBdr/>
              <w:spacing w:after="40" w:before="40"/>
              <w:ind/>
              <w:rPr/>
            </w:pPr>
            <w:r>
              <w:rPr>
                <w:rFonts w:ascii="Calibri" w:hAnsi="Calibri"/>
                <w:color w:val="2d3748"/>
                <w:sz w:val="20"/>
              </w:rPr>
              <w:t xml:space="preserve">• Final Capstone Defense: November 24 – 27, 2026</w:t>
            </w:r>
            <w:r/>
          </w:p>
          <w:p>
            <w:pPr>
              <w:pBdr/>
              <w:spacing w:after="40" w:before="40"/>
              <w:ind/>
              <w:rPr/>
            </w:pPr>
            <w:r>
              <w:rPr>
                <w:rFonts w:ascii="Calibri" w:hAnsi="Calibri"/>
                <w:color w:val="2d3748"/>
                <w:sz w:val="20"/>
              </w:rPr>
              <w:t xml:space="preserve">Note: All physical activities inside the museum will be completed on or before November 14, 2026.</w:t>
            </w:r>
            <w:r/>
          </w:p>
        </w:tc>
      </w:tr>
    </w:tbl>
    <w:p>
      <w:pPr>
        <w:pBdr/>
        <w:spacing/>
        <w:ind/>
        <w:rPr/>
      </w:pPr>
      <w:r/>
      <w:r/>
    </w:p>
    <w:p>
      <w:pPr>
        <w:pBdr/>
        <w:spacing w:after="80" w:before="200"/>
        <w:ind/>
        <w:rPr/>
      </w:pPr>
      <w:r>
        <w:rPr>
          <w:rFonts w:ascii="Arial" w:hAnsi="Arial"/>
          <w:b/>
          <w:color w:val="0f2c59"/>
          <w:sz w:val="22"/>
        </w:rPr>
        <w:t xml:space="preserve">1. SPECIFIC DATA TO BE COLLECTED FROM ARTS AND SCULPTURES</w:t>
      </w:r>
      <w:r/>
    </w:p>
    <w:p>
      <w:pPr>
        <w:pBdr/>
        <w:spacing w:after="80" w:before="0" w:line="276" w:lineRule="auto"/>
        <w:ind/>
        <w:rPr/>
      </w:pPr>
      <w:r>
        <w:rPr>
          <w:rFonts w:ascii="Calibri" w:hAnsi="Calibri"/>
          <w:sz w:val="20"/>
        </w:rPr>
        <w:t xml:space="preserve">For our mobile tourism app, the user will be able to point their phone camera at an artwork or sculpture, and the app will display its 3D model and in</w:t>
      </w:r>
      <w:r>
        <w:rPr>
          <w:rFonts w:ascii="Calibri" w:hAnsi="Calibri"/>
          <w:sz w:val="20"/>
        </w:rPr>
        <w:t xml:space="preserve">formation on screen using Augmented Reality (AR). For each selected art piece or sculpture, the researchers will collect the following details:</w:t>
        <w:br/>
        <w:br/>
        <w:t xml:space="preserve">1. Title – The official name of the artwork, artifact, or sculpture.</w:t>
        <w:br/>
        <w:t xml:space="preserve">2. Description – A short background, cultu</w:t>
      </w:r>
      <w:r>
        <w:rPr>
          <w:rFonts w:ascii="Calibri" w:hAnsi="Calibri"/>
          <w:sz w:val="20"/>
        </w:rPr>
        <w:t xml:space="preserve">ral significance, or story behind the piece.</w:t>
        <w:br/>
        <w:t xml:space="preserve">3. Author (Artist) – The name of the artist, craftsman, or cultural origin/tribe.</w:t>
        <w:br/>
        <w:t xml:space="preserve">4. Photograph – A regular clear picture of the artwork (taken under normal room lighting, no flash) to help the app recognize it.</w:t>
      </w:r>
      <w:r/>
    </w:p>
    <w:p>
      <w:pPr>
        <w:pBdr/>
        <w:spacing w:after="80" w:before="240"/>
        <w:ind/>
        <w:rPr/>
      </w:pPr>
      <w:r>
        <w:rPr>
          <w:rFonts w:ascii="Arial" w:hAnsi="Arial"/>
          <w:b/>
          <w:color w:val="0f2c59"/>
          <w:sz w:val="22"/>
        </w:rPr>
        <w:t xml:space="preserve">2. SCOPE AND ARTWORK CATEGORIZATION (TOTAL: 30 ARTS / SCULPTURES)</w:t>
      </w:r>
      <w:r/>
    </w:p>
    <w:p>
      <w:pPr>
        <w:pBdr/>
        <w:spacing w:after="120" w:before="0" w:line="276" w:lineRule="auto"/>
        <w:ind/>
        <w:rPr/>
      </w:pPr>
      <w:r>
        <w:rPr>
          <w:rFonts w:ascii="Calibri" w:hAnsi="Calibri"/>
          <w:sz w:val="20"/>
        </w:rPr>
        <w:t xml:space="preserve">To provide a balanced and engaging experience across the museum facilities, the study wil</w:t>
      </w:r>
      <w:r>
        <w:rPr>
          <w:rFonts w:ascii="Calibri" w:hAnsi="Calibri"/>
          <w:sz w:val="20"/>
        </w:rPr>
        <w:t xml:space="preserve">l cover the three (3) main exhibition buildings of the National Museum of the Philippines – Zamboanga at Fort Pilar:</w:t>
        <w:br/>
        <w:br/>
        <w:t xml:space="preserve">• Building 1 (Structure 1 / S1): 10 Arts / Sculptures</w:t>
        <w:br/>
        <w:t xml:space="preserve">• Building 2 (Structure 2 / S2): 10 Arts / Sculptures</w:t>
        <w:br/>
        <w:t xml:space="preserve">• Building 3 (Structure 3 / S3</w:t>
      </w:r>
      <w:r>
        <w:rPr>
          <w:rFonts w:ascii="Calibri" w:hAnsi="Calibri"/>
          <w:sz w:val="20"/>
        </w:rPr>
        <w:t xml:space="preserve">): 10 Arts / Sculptures</w:t>
        <w:br/>
        <w:t xml:space="preserve">Total Scope: Exactly 30 selected artworks and sculptures across all 3 buildings.</w:t>
        <w:br/>
        <w:br/>
        <w:t xml:space="preserve">Rarity Categorization (To be Decided by Museum Staff):</w:t>
        <w:br/>
        <w:t xml:space="preserve">Because LAKBAY is a gamified app designed to make learning fun for tourists and youth, each of </w:t>
      </w:r>
      <w:r>
        <w:rPr>
          <w:rFonts w:ascii="Calibri" w:hAnsi="Calibri"/>
          <w:sz w:val="20"/>
        </w:rPr>
        <w:t xml:space="preserve">the 10 arts per building will have a designated rarity tier. We respectfully request the Museum Officer or designated Staff to decide and assign which artworks fall into each category, based on their cultural prominence, historical rarity, or significance:</w:t>
      </w:r>
      <w:r/>
    </w:p>
    <w:tbl>
      <w:tblPr>
        <w:jc w:val="center"/>
        <w:tblW w:w="0" w:type="auto"/>
        <w:tblBorders/>
        <w:tblLayout w:type="fixed"/>
        <w:tblLook w:val="04A0" w:firstRow="1" w:lastRow="0" w:firstColumn="1" w:lastColumn="0" w:noHBand="0" w:noVBand="1"/>
      </w:tblPr>
      <w:tblGrid>
        <w:gridCol w:w="3120"/>
        <w:gridCol w:w="3120"/>
        <w:gridCol w:w="3120"/>
      </w:tblGrid>
      <w:tr>
        <w:trPr/>
        <w:tc>
          <w:tcPr>
            <w:shd w:val="clear" w:color="auto" w:fill="0f2c59"/>
            <w:tcBorders/>
            <w:tcMar>
              <w:left w:w="120" w:type="dxa"/>
              <w:top w:w="100" w:type="dxa"/>
              <w:right w:w="120" w:type="dxa"/>
              <w:bottom w:w="100" w:type="dxa"/>
            </w:tcMar>
            <w:tcW w:w="2592" w:type="dxa"/>
          </w:tcPr>
          <w:p>
            <w:pPr>
              <w:pBdr/>
              <w:spacing/>
              <w:ind/>
              <w:rPr/>
            </w:pPr>
            <w:r>
              <w:rPr>
                <w:rFonts w:ascii="Arial" w:hAnsi="Arial"/>
                <w:b/>
                <w:color w:val="ffffff"/>
                <w:sz w:val="18"/>
              </w:rPr>
              <w:t xml:space="preserve">Category / Tier</w:t>
            </w:r>
            <w:r/>
          </w:p>
        </w:tc>
        <w:tc>
          <w:tcPr>
            <w:shd w:val="clear" w:color="auto" w:fill="0f2c59"/>
            <w:tcBorders/>
            <w:tcMar>
              <w:left w:w="120" w:type="dxa"/>
              <w:top w:w="100" w:type="dxa"/>
              <w:right w:w="120" w:type="dxa"/>
              <w:bottom w:w="100" w:type="dxa"/>
            </w:tcMar>
            <w:tcW w:w="4608" w:type="dxa"/>
          </w:tcPr>
          <w:p>
            <w:pPr>
              <w:pBdr/>
              <w:spacing/>
              <w:ind/>
              <w:rPr/>
            </w:pPr>
            <w:r>
              <w:rPr>
                <w:rFonts w:ascii="Arial" w:hAnsi="Arial"/>
                <w:b/>
                <w:color w:val="ffffff"/>
                <w:sz w:val="18"/>
              </w:rPr>
              <w:t xml:space="preserve">Suggested Meaning in the App</w:t>
            </w:r>
            <w:r/>
          </w:p>
        </w:tc>
        <w:tc>
          <w:tcPr>
            <w:shd w:val="clear" w:color="auto" w:fill="0f2c59"/>
            <w:tcBorders/>
            <w:tcMar>
              <w:left w:w="120" w:type="dxa"/>
              <w:top w:w="100" w:type="dxa"/>
              <w:right w:w="120" w:type="dxa"/>
              <w:bottom w:w="100" w:type="dxa"/>
            </w:tcMar>
            <w:tcW w:w="2160" w:type="dxa"/>
          </w:tcPr>
          <w:p>
            <w:pPr>
              <w:pBdr/>
              <w:spacing/>
              <w:ind/>
              <w:rPr/>
            </w:pPr>
            <w:r>
              <w:rPr>
                <w:rFonts w:ascii="Arial" w:hAnsi="Arial"/>
                <w:b/>
                <w:color w:val="ffffff"/>
                <w:sz w:val="18"/>
              </w:rPr>
              <w:t xml:space="preserve">Recommended Distribution per Building</w:t>
            </w:r>
            <w:r/>
          </w:p>
        </w:tc>
      </w:tr>
      <w:tr>
        <w:trPr/>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592" w:type="dxa"/>
          </w:tcPr>
          <w:p>
            <w:pPr>
              <w:pBdr/>
              <w:spacing w:after="40" w:before="0"/>
              <w:ind/>
              <w:rPr/>
            </w:pPr>
            <w:r>
              <w:rPr>
                <w:rFonts w:ascii="Calibri" w:hAnsi="Calibri"/>
                <w:b/>
                <w:color w:val="0f2c59"/>
                <w:sz w:val="19"/>
              </w:rPr>
              <w:t xml:space="preserve">COMMON</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4608" w:type="dxa"/>
          </w:tcPr>
          <w:p>
            <w:pPr>
              <w:pBdr/>
              <w:spacing w:after="40" w:before="0"/>
              <w:ind/>
              <w:rPr/>
            </w:pPr>
            <w:r>
              <w:rPr>
                <w:rFonts w:ascii="Calibri" w:hAnsi="Calibri"/>
                <w:sz w:val="19"/>
              </w:rPr>
              <w:t xml:space="preserve">Well-known, frequently displayed everyday cultural items, tools, or introductory artworks.</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160" w:type="dxa"/>
          </w:tcPr>
          <w:p>
            <w:pPr>
              <w:pBdr/>
              <w:spacing w:after="40" w:before="0"/>
              <w:ind/>
              <w:rPr/>
            </w:pPr>
            <w:r>
              <w:rPr>
                <w:rFonts w:ascii="Calibri" w:hAnsi="Calibri"/>
                <w:sz w:val="19"/>
              </w:rPr>
              <w:t xml:space="preserve">4 items per building</w:t>
            </w:r>
            <w:r/>
          </w:p>
        </w:tc>
      </w:tr>
      <w:tr>
        <w:trPr/>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592" w:type="dxa"/>
          </w:tcPr>
          <w:p>
            <w:pPr>
              <w:pBdr/>
              <w:spacing w:after="40" w:before="0"/>
              <w:ind/>
              <w:rPr/>
            </w:pPr>
            <w:r>
              <w:rPr>
                <w:rFonts w:ascii="Calibri" w:hAnsi="Calibri"/>
                <w:b/>
                <w:color w:val="0f2c59"/>
                <w:sz w:val="19"/>
              </w:rPr>
              <w:t xml:space="preserve">RARE</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4608" w:type="dxa"/>
          </w:tcPr>
          <w:p>
            <w:pPr>
              <w:pBdr/>
              <w:spacing w:after="40" w:before="0"/>
              <w:ind/>
              <w:rPr/>
            </w:pPr>
            <w:r>
              <w:rPr>
                <w:rFonts w:ascii="Calibri" w:hAnsi="Calibri"/>
                <w:sz w:val="19"/>
              </w:rPr>
              <w:t xml:space="preserve">Notable historic artifacts or fine crafted sculptures with special cultural value.</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160" w:type="dxa"/>
          </w:tcPr>
          <w:p>
            <w:pPr>
              <w:pBdr/>
              <w:spacing w:after="40" w:before="0"/>
              <w:ind/>
              <w:rPr/>
            </w:pPr>
            <w:r>
              <w:rPr>
                <w:rFonts w:ascii="Calibri" w:hAnsi="Calibri"/>
                <w:sz w:val="19"/>
              </w:rPr>
              <w:t xml:space="preserve">3 items per building</w:t>
            </w:r>
            <w:r/>
          </w:p>
        </w:tc>
      </w:tr>
      <w:tr>
        <w:trPr/>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592" w:type="dxa"/>
          </w:tcPr>
          <w:p>
            <w:pPr>
              <w:pBdr/>
              <w:spacing w:after="40" w:before="0"/>
              <w:ind/>
              <w:rPr/>
            </w:pPr>
            <w:r>
              <w:rPr>
                <w:rFonts w:ascii="Calibri" w:hAnsi="Calibri"/>
                <w:b/>
                <w:color w:val="0f2c59"/>
                <w:sz w:val="19"/>
              </w:rPr>
              <w:t xml:space="preserve">MYTHICAL</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4608" w:type="dxa"/>
          </w:tcPr>
          <w:p>
            <w:pPr>
              <w:pBdr/>
              <w:spacing w:after="40" w:before="0"/>
              <w:ind/>
              <w:rPr/>
            </w:pPr>
            <w:r>
              <w:rPr>
                <w:rFonts w:ascii="Calibri" w:hAnsi="Calibri"/>
                <w:sz w:val="19"/>
              </w:rPr>
              <w:t xml:space="preserve">Artworks or relics connected to local folklore, legendary traditions, or sacred heritage.</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160" w:type="dxa"/>
          </w:tcPr>
          <w:p>
            <w:pPr>
              <w:pBdr/>
              <w:spacing w:after="40" w:before="0"/>
              <w:ind/>
              <w:rPr/>
            </w:pPr>
            <w:r>
              <w:rPr>
                <w:rFonts w:ascii="Calibri" w:hAnsi="Calibri"/>
                <w:sz w:val="19"/>
              </w:rPr>
              <w:t xml:space="preserve">2 items per building</w:t>
            </w:r>
            <w:r/>
          </w:p>
        </w:tc>
      </w:tr>
      <w:tr>
        <w:trPr/>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592" w:type="dxa"/>
          </w:tcPr>
          <w:p>
            <w:pPr>
              <w:pBdr/>
              <w:spacing w:after="40" w:before="0"/>
              <w:ind/>
              <w:rPr/>
            </w:pPr>
            <w:r>
              <w:rPr>
                <w:rFonts w:ascii="Calibri" w:hAnsi="Calibri"/>
                <w:b/>
                <w:color w:val="0f2c59"/>
                <w:sz w:val="19"/>
              </w:rPr>
              <w:t xml:space="preserve">LEGENDARY</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4608" w:type="dxa"/>
          </w:tcPr>
          <w:p>
            <w:pPr>
              <w:pBdr/>
              <w:spacing w:after="40" w:before="0"/>
              <w:ind/>
              <w:rPr/>
            </w:pPr>
            <w:r>
              <w:rPr>
                <w:rFonts w:ascii="Calibri" w:hAnsi="Calibri"/>
                <w:sz w:val="19"/>
              </w:rPr>
              <w:t xml:space="preserve">The crown centerpiece of the building — the most iconic, priceless, or celebrated exhibit.</w:t>
            </w:r>
            <w:r/>
          </w:p>
        </w:tc>
        <w:tc>
          <w:tcPr>
            <w:tcBorders>
              <w:top w:val="single" w:color="e2e8f0" w:sz="4" w:space="0"/>
              <w:left w:val="single" w:color="e2e8f0" w:sz="4" w:space="0"/>
              <w:bottom w:val="single" w:color="e2e8f0" w:sz="4" w:space="0"/>
              <w:right w:val="single" w:color="e2e8f0" w:sz="4" w:space="0"/>
            </w:tcBorders>
            <w:tcMar>
              <w:left w:w="100" w:type="dxa"/>
              <w:top w:w="80" w:type="dxa"/>
              <w:right w:w="100" w:type="dxa"/>
              <w:bottom w:w="80" w:type="dxa"/>
            </w:tcMar>
            <w:tcW w:w="2160" w:type="dxa"/>
          </w:tcPr>
          <w:p>
            <w:pPr>
              <w:pBdr/>
              <w:spacing w:after="40" w:before="0"/>
              <w:ind/>
              <w:rPr/>
            </w:pPr>
            <w:r>
              <w:rPr>
                <w:rFonts w:ascii="Calibri" w:hAnsi="Calibri"/>
                <w:sz w:val="19"/>
              </w:rPr>
              <w:t xml:space="preserve">1 item per building</w:t>
            </w:r>
            <w:r/>
          </w:p>
        </w:tc>
      </w:tr>
    </w:tbl>
    <w:p>
      <w:pPr>
        <w:pBdr/>
        <w:spacing/>
        <w:ind/>
        <w:rPr/>
      </w:pPr>
      <w:r/>
      <w:r/>
    </w:p>
    <w:p>
      <w:pPr>
        <w:pBdr/>
        <w:spacing w:after="80" w:before="200"/>
        <w:ind/>
        <w:rPr/>
      </w:pPr>
      <w:r>
        <w:rPr>
          <w:rFonts w:ascii="Arial" w:hAnsi="Arial"/>
          <w:b/>
          <w:color w:val="0f2c59"/>
          <w:sz w:val="22"/>
        </w:rPr>
        <w:t xml:space="preserve">3. SPECIFIC ASSISTANCE AND ACCESS NEEDED FROM THE MUSEUM</w:t>
      </w:r>
      <w:r/>
    </w:p>
    <w:p>
      <w:pPr>
        <w:pBdr/>
        <w:spacing w:after="120" w:before="0" w:line="276" w:lineRule="auto"/>
        <w:ind/>
        <w:rPr/>
      </w:pPr>
      <w:r>
        <w:rPr>
          <w:rFonts w:ascii="Calibri" w:hAnsi="Calibri"/>
          <w:sz w:val="20"/>
        </w:rPr>
        <w:t xml:space="preserve">To make </w:t>
      </w:r>
      <w:r>
        <w:rPr>
          <w:rFonts w:ascii="Calibri" w:hAnsi="Calibri"/>
          <w:sz w:val="20"/>
        </w:rPr>
        <w:t xml:space="preserve">this smooth and easy for museum personnel, here are the exact three (3) things we need assistance with:</w:t>
        <w:br/>
        <w:br/>
        <w:t xml:space="preserve">1. Exhibit Selection &amp; Information (Titles, Descriptions, Authors):</w:t>
        <w:br/>
        <w:t xml:space="preserve">   • A museum staff or docent to help identify which 10 artworks/sculptures in S1, </w:t>
      </w:r>
      <w:r>
        <w:rPr>
          <w:rFonts w:ascii="Calibri" w:hAnsi="Calibri"/>
          <w:sz w:val="20"/>
        </w:rPr>
        <w:t xml:space="preserve">S2, and S3 are best to include.</w:t>
        <w:br/>
        <w:t xml:space="preserve">   • Sharing existing placards, brochures, or notes showing the Title, Description, and Author/Origin.</w:t>
        <w:br/>
        <w:t xml:space="preserve">   • Assigning the rarity category (Common, Rare, Mythical, Legendary) for each item.</w:t>
        <w:br/>
        <w:br/>
        <w:t xml:space="preserve">2. Photo Taking of the Selected Ar</w:t>
      </w:r>
      <w:r>
        <w:rPr>
          <w:rFonts w:ascii="Calibri" w:hAnsi="Calibri"/>
          <w:sz w:val="20"/>
        </w:rPr>
        <w:t xml:space="preserve">tworks:</w:t>
        <w:br/>
        <w:t xml:space="preserve">   • Permission for researchers to take standard, non-flash photos of the 30 chosen artworks.</w:t>
        <w:br/>
        <w:t xml:space="preserve">   • Strictly NO touching, NO moving of artifacts, NO camera flash, and NO disruption to other visitors.</w:t>
        <w:br/>
        <w:br/>
        <w:t xml:space="preserve">3. Short Testing with Visitors (November):</w:t>
        <w:br/>
        <w:t xml:space="preserve">   • </w:t>
      </w:r>
      <w:r>
        <w:rPr>
          <w:rFonts w:ascii="Calibri" w:hAnsi="Calibri"/>
          <w:sz w:val="20"/>
        </w:rPr>
        <w:t xml:space="preserve">Permission to let voluntary visitors (approx. 30 respondents) try scanning the arts with the app on their phone, and answering a short 5-minute feedback questionnaire.</w:t>
        <w:br/>
        <w:t xml:space="preserve">   • Permission to set up a small table or stand in an open spot to assist participants.</w:t>
      </w:r>
      <w:r/>
    </w:p>
    <w:p>
      <w:pPr>
        <w:pBdr/>
        <w:spacing w:after="80" w:before="240"/>
        <w:ind/>
        <w:rPr/>
      </w:pPr>
      <w:r>
        <w:rPr>
          <w:rFonts w:ascii="Arial" w:hAnsi="Arial"/>
          <w:b/>
          <w:color w:val="0f2c59"/>
          <w:sz w:val="22"/>
        </w:rPr>
        <w:t xml:space="preserve">4. PROPOSED TIMETABLE OF ACTIVITIES</w:t>
      </w:r>
      <w:r/>
    </w:p>
    <w:p>
      <w:pPr>
        <w:pBdr/>
        <w:spacing w:after="120" w:before="0" w:line="276" w:lineRule="auto"/>
        <w:ind/>
        <w:rPr/>
      </w:pPr>
      <w:r>
        <w:rPr>
          <w:rFonts w:ascii="Calibri" w:hAnsi="Calibri"/>
          <w:sz w:val="20"/>
        </w:rPr>
        <w:t xml:space="preserve">Our data collection begins right after our Midterm Defense (Oct 13–16) and will be completely finished by mid-November, well before our Final Defense (Nov 24–27):</w:t>
      </w:r>
      <w:r/>
    </w:p>
    <w:tbl>
      <w:tblPr>
        <w:jc w:val="center"/>
        <w:tblW w:w="0" w:type="auto"/>
        <w:tblBorders/>
        <w:tblLayout w:type="fixed"/>
        <w:tblLook w:val="04A0" w:firstRow="1" w:lastRow="0" w:firstColumn="1" w:lastColumn="0" w:noHBand="0" w:noVBand="1"/>
      </w:tblPr>
      <w:tblGrid>
        <w:gridCol w:w="2340"/>
        <w:gridCol w:w="2340"/>
        <w:gridCol w:w="2340"/>
        <w:gridCol w:w="2340"/>
      </w:tblGrid>
      <w:tr>
        <w:trPr/>
        <w:tc>
          <w:tcPr>
            <w:shd w:val="clear" w:color="auto" w:fill="0f2c59"/>
            <w:tcBorders/>
            <w:tcMar>
              <w:left w:w="100" w:type="dxa"/>
              <w:top w:w="100" w:type="dxa"/>
              <w:right w:w="100" w:type="dxa"/>
              <w:bottom w:w="100" w:type="dxa"/>
            </w:tcMar>
            <w:tcW w:w="2592" w:type="dxa"/>
          </w:tcPr>
          <w:p>
            <w:pPr>
              <w:pBdr/>
              <w:spacing/>
              <w:ind/>
              <w:rPr/>
            </w:pPr>
            <w:r>
              <w:rPr>
                <w:rFonts w:ascii="Arial" w:hAnsi="Arial"/>
                <w:b/>
                <w:color w:val="ffffff"/>
                <w:sz w:val="18"/>
              </w:rPr>
              <w:t xml:space="preserve">Activity / Step</w:t>
            </w:r>
            <w:r/>
          </w:p>
        </w:tc>
        <w:tc>
          <w:tcPr>
            <w:shd w:val="clear" w:color="auto" w:fill="0f2c59"/>
            <w:tcBorders/>
            <w:tcMar>
              <w:left w:w="100" w:type="dxa"/>
              <w:top w:w="100" w:type="dxa"/>
              <w:right w:w="100" w:type="dxa"/>
              <w:bottom w:w="100" w:type="dxa"/>
            </w:tcMar>
            <w:tcW w:w="1872" w:type="dxa"/>
          </w:tcPr>
          <w:p>
            <w:pPr>
              <w:pBdr/>
              <w:spacing/>
              <w:ind/>
              <w:rPr/>
            </w:pPr>
            <w:r>
              <w:rPr>
                <w:rFonts w:ascii="Arial" w:hAnsi="Arial"/>
                <w:b/>
                <w:color w:val="ffffff"/>
                <w:sz w:val="18"/>
              </w:rPr>
              <w:t xml:space="preserve">Target Dates</w:t>
            </w:r>
            <w:r/>
          </w:p>
        </w:tc>
        <w:tc>
          <w:tcPr>
            <w:shd w:val="clear" w:color="auto" w:fill="0f2c59"/>
            <w:tcBorders/>
            <w:tcMar>
              <w:left w:w="100" w:type="dxa"/>
              <w:top w:w="100" w:type="dxa"/>
              <w:right w:w="100" w:type="dxa"/>
              <w:bottom w:w="100" w:type="dxa"/>
            </w:tcMar>
            <w:tcW w:w="3168" w:type="dxa"/>
          </w:tcPr>
          <w:p>
            <w:pPr>
              <w:pBdr/>
              <w:spacing/>
              <w:ind/>
              <w:rPr/>
            </w:pPr>
            <w:r>
              <w:rPr>
                <w:rFonts w:ascii="Arial" w:hAnsi="Arial"/>
                <w:b/>
                <w:color w:val="ffffff"/>
                <w:sz w:val="18"/>
              </w:rPr>
              <w:t xml:space="preserve">What We Will Do</w:t>
            </w:r>
            <w:r/>
          </w:p>
        </w:tc>
        <w:tc>
          <w:tcPr>
            <w:shd w:val="clear" w:color="auto" w:fill="0f2c59"/>
            <w:tcBorders/>
            <w:tcMar>
              <w:left w:w="100" w:type="dxa"/>
              <w:top w:w="100" w:type="dxa"/>
              <w:right w:w="100" w:type="dxa"/>
              <w:bottom w:w="100" w:type="dxa"/>
            </w:tcMar>
            <w:tcW w:w="1728" w:type="dxa"/>
          </w:tcPr>
          <w:p>
            <w:pPr>
              <w:pBdr/>
              <w:spacing/>
              <w:ind/>
              <w:rPr/>
            </w:pPr>
            <w:r>
              <w:rPr>
                <w:rFonts w:ascii="Arial" w:hAnsi="Arial"/>
                <w:b/>
                <w:color w:val="ffffff"/>
                <w:sz w:val="18"/>
              </w:rPr>
              <w:t xml:space="preserve">Museum Staff Role</w:t>
            </w:r>
            <w:r/>
          </w:p>
        </w:tc>
      </w:tr>
      <w:tr>
        <w:trPr/>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Midterm Defense</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b/>
                <w:sz w:val="17"/>
              </w:rPr>
              <w:t xml:space="preserve">Oct 13 – 16, 2026</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b/>
                <w:sz w:val="17"/>
              </w:rPr>
              <w:t xml:space="preserve">University midterm presentation.</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b/>
                <w:sz w:val="17"/>
              </w:rPr>
              <w:t xml:space="preserve">None (University activity)</w:t>
            </w:r>
            <w:r/>
          </w:p>
        </w:tc>
      </w:tr>
      <w:tr>
        <w:trPr/>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Step 1: Courtesy Meeting &amp; Art Selection</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sz w:val="17"/>
              </w:rPr>
              <w:t xml:space="preserve">Oct 19 – 23, 2026</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sz w:val="17"/>
              </w:rPr>
              <w:t xml:space="preserve">Visit museum; select the 30 arts (10 for S1, 10 for S2, 10 for S3); collect Titles, Descriptions, Authors, and Rarity categories.</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sz w:val="17"/>
              </w:rPr>
              <w:t xml:space="preserve">Guide researchers and categorize the arts.</w:t>
            </w:r>
            <w:r/>
          </w:p>
        </w:tc>
      </w:tr>
      <w:tr>
        <w:trPr/>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Step 2: Non-Flash Photography &amp; App Testing</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sz w:val="17"/>
              </w:rPr>
              <w:t xml:space="preserve">Oct 26 – 30, 2026</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sz w:val="17"/>
              </w:rPr>
              <w:t xml:space="preserve">Take photos of the 30 arts for the app; test camera scanning inside S1, S2, S3.</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sz w:val="17"/>
              </w:rPr>
              <w:t xml:space="preserve">Observe photo taking (off-peak hours).</w:t>
            </w:r>
            <w:r/>
          </w:p>
        </w:tc>
      </w:tr>
      <w:tr>
        <w:trPr/>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Step 3: App Calibration</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sz w:val="17"/>
              </w:rPr>
              <w:t xml:space="preserve">Nov 2 – 6, 2026</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sz w:val="17"/>
              </w:rPr>
              <w:t xml:space="preserve">Make sure the 3D models and information pop up correctly when scanned.</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sz w:val="17"/>
              </w:rPr>
              <w:t xml:space="preserve">None (Technical tuning by students).</w:t>
            </w:r>
            <w:r/>
          </w:p>
        </w:tc>
      </w:tr>
      <w:tr>
        <w:trPr/>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Step 4: Visitor Testing &amp; Survey</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sz w:val="17"/>
              </w:rPr>
              <w:t xml:space="preserve">Nov 9 – 13, 2026</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sz w:val="17"/>
              </w:rPr>
              <w:t xml:space="preserve">Let 30 voluntary visitors try scanning the arts and answer a 5-minute feedback survey.</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sz w:val="17"/>
              </w:rPr>
              <w:t xml:space="preserve">Allow visitors to test with students.</w:t>
            </w:r>
            <w:r/>
          </w:p>
        </w:tc>
      </w:tr>
      <w:tr>
        <w:trPr/>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Data Collection Done</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b/>
                <w:sz w:val="17"/>
              </w:rPr>
              <w:t xml:space="preserve">Nov 14, 2026</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b/>
                <w:sz w:val="17"/>
              </w:rPr>
              <w:t xml:space="preserve">All on-site activities at Fort Pilar are officially completed.</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b/>
                <w:sz w:val="17"/>
              </w:rPr>
              <w:t xml:space="preserve">Final exit acknowledgment.</w:t>
            </w:r>
            <w:r/>
          </w:p>
        </w:tc>
      </w:tr>
      <w:tr>
        <w:trPr/>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Thesis Writing &amp; Analysis</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sz w:val="17"/>
              </w:rPr>
              <w:t xml:space="preserve">Nov 16 – 23, 2026</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sz w:val="17"/>
              </w:rPr>
              <w:t xml:space="preserve">Tabulate survey results and finalize manuscript.</w:t>
            </w:r>
            <w:r/>
          </w:p>
        </w:tc>
        <w:tc>
          <w:tcPr>
            <w:shd w:val="clear" w:color="auto" w:fill="ffff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sz w:val="17"/>
              </w:rPr>
              <w:t xml:space="preserve">None (Preparation for defense).</w:t>
            </w:r>
            <w:r/>
          </w:p>
        </w:tc>
      </w:tr>
      <w:tr>
        <w:trPr/>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2592" w:type="dxa"/>
          </w:tcPr>
          <w:p>
            <w:pPr>
              <w:pBdr/>
              <w:spacing w:after="40" w:before="0"/>
              <w:ind/>
              <w:rPr/>
            </w:pPr>
            <w:r>
              <w:rPr>
                <w:rFonts w:ascii="Calibri" w:hAnsi="Calibri"/>
                <w:b/>
                <w:sz w:val="17"/>
              </w:rPr>
              <w:t xml:space="preserve">Final Capstone Defense</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872" w:type="dxa"/>
          </w:tcPr>
          <w:p>
            <w:pPr>
              <w:pBdr/>
              <w:spacing w:after="40" w:before="0"/>
              <w:ind/>
              <w:rPr/>
            </w:pPr>
            <w:r>
              <w:rPr>
                <w:rFonts w:ascii="Calibri" w:hAnsi="Calibri"/>
                <w:b/>
                <w:sz w:val="17"/>
              </w:rPr>
              <w:t xml:space="preserve">Nov 24 – 27, 2026</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3168" w:type="dxa"/>
          </w:tcPr>
          <w:p>
            <w:pPr>
              <w:pBdr/>
              <w:spacing w:after="40" w:before="0"/>
              <w:ind/>
              <w:rPr/>
            </w:pPr>
            <w:r>
              <w:rPr>
                <w:rFonts w:ascii="Calibri" w:hAnsi="Calibri"/>
                <w:b/>
                <w:sz w:val="17"/>
              </w:rPr>
              <w:t xml:space="preserve">Final defense presentation before faculty panel.</w:t>
            </w:r>
            <w:r/>
          </w:p>
        </w:tc>
        <w:tc>
          <w:tcPr>
            <w:shd w:val="clear" w:color="auto" w:fill="eff6ff"/>
            <w:tcBorders>
              <w:top w:val="single" w:color="cbd5e1" w:sz="4" w:space="0"/>
              <w:left w:val="single" w:color="cbd5e1" w:sz="4" w:space="0"/>
              <w:bottom w:val="single" w:color="cbd5e1" w:sz="4" w:space="0"/>
              <w:right w:val="single" w:color="cbd5e1" w:sz="4" w:space="0"/>
            </w:tcBorders>
            <w:tcMar>
              <w:left w:w="90" w:type="dxa"/>
              <w:top w:w="80" w:type="dxa"/>
              <w:right w:w="90" w:type="dxa"/>
              <w:bottom w:w="80" w:type="dxa"/>
            </w:tcMar>
            <w:tcW w:w="1728" w:type="dxa"/>
          </w:tcPr>
          <w:p>
            <w:pPr>
              <w:pBdr/>
              <w:spacing w:after="40" w:before="0"/>
              <w:ind/>
              <w:rPr/>
            </w:pPr>
            <w:r>
              <w:rPr>
                <w:rFonts w:ascii="Calibri" w:hAnsi="Calibri"/>
                <w:b/>
                <w:sz w:val="17"/>
              </w:rPr>
              <w:t xml:space="preserve">None (University defense).</w:t>
            </w:r>
            <w:r/>
          </w:p>
        </w:tc>
      </w:tr>
    </w:tbl>
    <w:p>
      <w:pPr>
        <w:pBdr/>
        <w:spacing/>
        <w:ind/>
        <w:rPr/>
      </w:pPr>
      <w:r/>
      <w:r/>
    </w:p>
    <w:p>
      <w:pPr>
        <w:pBdr/>
        <w:spacing w:after="80" w:before="240"/>
        <w:ind/>
        <w:rPr/>
      </w:pPr>
      <w:r>
        <w:rPr>
          <w:rFonts w:ascii="Arial" w:hAnsi="Arial"/>
          <w:b/>
          <w:color w:val="0f2c59"/>
          <w:sz w:val="22"/>
        </w:rPr>
        <w:t xml:space="preserve">5. SAMPLE DATA COLLECTION SHEET (FOR MUSEUM STAFF REVIEW)</w:t>
      </w:r>
      <w:r/>
    </w:p>
    <w:p>
      <w:pPr>
        <w:pBdr/>
        <w:spacing w:after="120" w:before="0"/>
        <w:ind/>
        <w:rPr/>
      </w:pPr>
      <w:r>
        <w:rPr>
          <w:rFonts w:ascii="Calibri" w:hAnsi="Calibri"/>
          <w:sz w:val="20"/>
        </w:rPr>
        <w:t xml:space="preserve">Below is the exact template we will use during our visit. For each building, the museum staff can easily fill or verify the items:</w:t>
      </w:r>
      <w:r/>
    </w:p>
    <w:tbl>
      <w:tblPr>
        <w:jc w:val="center"/>
        <w:tblW w:w="0" w:type="auto"/>
        <w:tblBorders/>
        <w:tblLayout w:type="fixed"/>
        <w:tblLook w:val="04A0" w:firstRow="1" w:lastRow="0" w:firstColumn="1" w:lastColumn="0" w:noHBand="0" w:noVBand="1"/>
      </w:tblPr>
      <w:tblGrid>
        <w:gridCol w:w="1872"/>
        <w:gridCol w:w="1872"/>
        <w:gridCol w:w="1872"/>
        <w:gridCol w:w="1872"/>
        <w:gridCol w:w="1872"/>
      </w:tblGrid>
      <w:tr>
        <w:trPr/>
        <w:tc>
          <w:tcPr>
            <w:shd w:val="clear" w:color="auto" w:fill="0f2c59"/>
            <w:tcBorders/>
            <w:tcMar>
              <w:left w:w="80" w:type="dxa"/>
              <w:top w:w="80" w:type="dxa"/>
              <w:right w:w="80" w:type="dxa"/>
              <w:bottom w:w="80" w:type="dxa"/>
            </w:tcMar>
            <w:tcW w:w="1440" w:type="dxa"/>
          </w:tcPr>
          <w:p>
            <w:pPr>
              <w:pBdr/>
              <w:spacing/>
              <w:ind/>
              <w:rPr/>
            </w:pPr>
            <w:r>
              <w:rPr>
                <w:rFonts w:ascii="Arial" w:hAnsi="Arial"/>
                <w:b/>
                <w:color w:val="ffffff"/>
                <w:sz w:val="17"/>
              </w:rPr>
              <w:t xml:space="preserve">Building</w:t>
            </w:r>
            <w:r/>
          </w:p>
        </w:tc>
        <w:tc>
          <w:tcPr>
            <w:shd w:val="clear" w:color="auto" w:fill="0f2c59"/>
            <w:tcBorders/>
            <w:tcMar>
              <w:left w:w="80" w:type="dxa"/>
              <w:top w:w="80" w:type="dxa"/>
              <w:right w:w="80" w:type="dxa"/>
              <w:bottom w:w="80" w:type="dxa"/>
            </w:tcMar>
            <w:tcW w:w="864" w:type="dxa"/>
          </w:tcPr>
          <w:p>
            <w:pPr>
              <w:pBdr/>
              <w:spacing/>
              <w:ind/>
              <w:rPr/>
            </w:pPr>
            <w:r>
              <w:rPr>
                <w:rFonts w:ascii="Arial" w:hAnsi="Arial"/>
                <w:b/>
                <w:color w:val="ffffff"/>
                <w:sz w:val="17"/>
              </w:rPr>
              <w:t xml:space="preserve">Item #</w:t>
            </w:r>
            <w:r/>
          </w:p>
        </w:tc>
        <w:tc>
          <w:tcPr>
            <w:shd w:val="clear" w:color="auto" w:fill="0f2c59"/>
            <w:tcBorders/>
            <w:tcMar>
              <w:left w:w="80" w:type="dxa"/>
              <w:top w:w="80" w:type="dxa"/>
              <w:right w:w="80" w:type="dxa"/>
              <w:bottom w:w="80" w:type="dxa"/>
            </w:tcMar>
            <w:tcW w:w="3168" w:type="dxa"/>
          </w:tcPr>
          <w:p>
            <w:pPr>
              <w:pBdr/>
              <w:spacing/>
              <w:ind/>
              <w:rPr/>
            </w:pPr>
            <w:r>
              <w:rPr>
                <w:rFonts w:ascii="Arial" w:hAnsi="Arial"/>
                <w:b/>
                <w:color w:val="ffffff"/>
                <w:sz w:val="17"/>
              </w:rPr>
              <w:t xml:space="preserve">Title of Art / Sculpture</w:t>
            </w:r>
            <w:r/>
          </w:p>
        </w:tc>
        <w:tc>
          <w:tcPr>
            <w:shd w:val="clear" w:color="auto" w:fill="0f2c59"/>
            <w:tcBorders/>
            <w:tcMar>
              <w:left w:w="80" w:type="dxa"/>
              <w:top w:w="80" w:type="dxa"/>
              <w:right w:w="80" w:type="dxa"/>
              <w:bottom w:w="80" w:type="dxa"/>
            </w:tcMar>
            <w:tcW w:w="2160" w:type="dxa"/>
          </w:tcPr>
          <w:p>
            <w:pPr>
              <w:pBdr/>
              <w:spacing/>
              <w:ind/>
              <w:rPr/>
            </w:pPr>
            <w:r>
              <w:rPr>
                <w:rFonts w:ascii="Arial" w:hAnsi="Arial"/>
                <w:b/>
                <w:color w:val="ffffff"/>
                <w:sz w:val="17"/>
              </w:rPr>
              <w:t xml:space="preserve">Author (Artist / Origin)</w:t>
            </w:r>
            <w:r/>
          </w:p>
        </w:tc>
        <w:tc>
          <w:tcPr>
            <w:shd w:val="clear" w:color="auto" w:fill="0f2c59"/>
            <w:tcBorders/>
            <w:tcMar>
              <w:left w:w="80" w:type="dxa"/>
              <w:top w:w="80" w:type="dxa"/>
              <w:right w:w="80" w:type="dxa"/>
              <w:bottom w:w="80" w:type="dxa"/>
            </w:tcMar>
            <w:tcW w:w="1728" w:type="dxa"/>
          </w:tcPr>
          <w:p>
            <w:pPr>
              <w:pBdr/>
              <w:spacing/>
              <w:ind/>
              <w:rPr/>
            </w:pPr>
            <w:r>
              <w:rPr>
                <w:rFonts w:ascii="Arial" w:hAnsi="Arial"/>
                <w:b/>
                <w:color w:val="ffffff"/>
                <w:sz w:val="17"/>
              </w:rPr>
              <w:t xml:space="preserve">Category (Decided by Museum)</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S1 (Structure 1)</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 1 to 4</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[Title of artwork / sculpture]</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Common</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S1 (Structure 1)</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 5 to 7</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[Title of artwork / sculpture]</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Rare</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S1 (Structure 1)</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 8 &amp; 9</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[Title of artwork / sculpture]</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Mythical</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S1 (Structure 1)</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 10</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[Main centerpiece artwork]</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Legendary</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S2 (Structure 2)</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Items 1 to 10</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[Same 10 items breakdown]</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Common / Rare / Myth / Leg</w:t>
            </w:r>
            <w:r/>
          </w:p>
        </w:tc>
      </w:tr>
      <w:tr>
        <w:trPr/>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440" w:type="dxa"/>
          </w:tcPr>
          <w:p>
            <w:pPr>
              <w:pBdr/>
              <w:spacing w:after="40" w:before="0"/>
              <w:ind/>
              <w:rPr/>
            </w:pPr>
            <w:r>
              <w:rPr>
                <w:rFonts w:ascii="Calibri" w:hAnsi="Calibri"/>
                <w:b/>
                <w:sz w:val="17"/>
              </w:rPr>
              <w:t xml:space="preserve">S3 (Structure 3)</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864" w:type="dxa"/>
          </w:tcPr>
          <w:p>
            <w:pPr>
              <w:pBdr/>
              <w:spacing w:after="40" w:before="0"/>
              <w:ind/>
              <w:rPr/>
            </w:pPr>
            <w:r>
              <w:rPr>
                <w:rFonts w:ascii="Calibri" w:hAnsi="Calibri"/>
                <w:sz w:val="17"/>
              </w:rPr>
              <w:t xml:space="preserve">Items 1 to 10</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3168" w:type="dxa"/>
          </w:tcPr>
          <w:p>
            <w:pPr>
              <w:pBdr/>
              <w:spacing w:after="40" w:before="0"/>
              <w:ind/>
              <w:rPr/>
            </w:pPr>
            <w:r>
              <w:rPr>
                <w:rFonts w:ascii="Calibri" w:hAnsi="Calibri"/>
                <w:sz w:val="17"/>
              </w:rPr>
              <w:t xml:space="preserve">[Same 10 items breakdown]</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2160" w:type="dxa"/>
          </w:tcPr>
          <w:p>
            <w:pPr>
              <w:pBdr/>
              <w:spacing w:after="40" w:before="0"/>
              <w:ind/>
              <w:rPr/>
            </w:pPr>
            <w:r>
              <w:rPr>
                <w:rFonts w:ascii="Calibri" w:hAnsi="Calibri"/>
                <w:sz w:val="17"/>
              </w:rPr>
              <w:t xml:space="preserve">[Artist name or tribe/period]</w:t>
            </w:r>
            <w:r/>
          </w:p>
        </w:tc>
        <w:tc>
          <w:tcPr>
            <w:tcBorders>
              <w:top w:val="single" w:color="cbd5e1" w:sz="4" w:space="0"/>
              <w:left w:val="single" w:color="cbd5e1" w:sz="4" w:space="0"/>
              <w:bottom w:val="single" w:color="cbd5e1" w:sz="4" w:space="0"/>
              <w:right w:val="single" w:color="cbd5e1" w:sz="4" w:space="0"/>
            </w:tcBorders>
            <w:tcMar>
              <w:left w:w="70" w:type="dxa"/>
              <w:top w:w="60" w:type="dxa"/>
              <w:right w:w="70" w:type="dxa"/>
              <w:bottom w:w="60" w:type="dxa"/>
            </w:tcMar>
            <w:tcW w:w="1728" w:type="dxa"/>
          </w:tcPr>
          <w:p>
            <w:pPr>
              <w:pBdr/>
              <w:spacing w:after="40" w:before="0"/>
              <w:ind/>
              <w:rPr/>
            </w:pPr>
            <w:r>
              <w:rPr>
                <w:rFonts w:ascii="Calibri" w:hAnsi="Calibri"/>
                <w:b/>
                <w:sz w:val="17"/>
              </w:rPr>
              <w:t xml:space="preserve">Common / Rare / Myth / Leg</w:t>
            </w:r>
            <w:r/>
          </w:p>
        </w:tc>
      </w:tr>
    </w:tbl>
    <w:p>
      <w:pPr>
        <w:pBdr/>
        <w:spacing/>
        <w:ind/>
        <w:rPr/>
      </w:pPr>
      <w:r/>
      <w:r/>
    </w:p>
    <w:p>
      <w:pPr>
        <w:pBdr/>
        <w:spacing w:after="80" w:before="200"/>
        <w:ind/>
        <w:rPr/>
      </w:pPr>
      <w:r>
        <w:rPr>
          <w:rFonts w:ascii="Arial" w:hAnsi="Arial"/>
          <w:b/>
          <w:color w:val="0f2c59"/>
          <w:sz w:val="22"/>
        </w:rPr>
        <w:t xml:space="preserve">6. SAFETY AND PRESERVATION COMMITMENT</w:t>
      </w:r>
      <w:r/>
    </w:p>
    <w:p>
      <w:pPr>
        <w:pBdr/>
        <w:spacing w:after="160" w:before="0" w:line="276" w:lineRule="auto"/>
        <w:ind/>
        <w:rPr/>
      </w:pPr>
      <w:r>
        <w:rPr>
          <w:rFonts w:ascii="Calibri" w:hAnsi="Calibri"/>
          <w:sz w:val="20"/>
        </w:rPr>
        <w:t xml:space="preserve">The researchers strictly commit to the museum's rules:</w:t>
        <w:br/>
        <w:t xml:space="preserve">• NO TOUCHING: No physical contact with any artwork, sculpture, or showcase </w:t>
      </w:r>
      <w:r>
        <w:rPr>
          <w:rFonts w:ascii="Calibri" w:hAnsi="Calibri"/>
          <w:sz w:val="20"/>
        </w:rPr>
        <w:t xml:space="preserve">glass.</w:t>
        <w:br/>
        <w:t xml:space="preserve">• NO FLASH: Standard ambient room lighting only; no camera flashes or heavy lights.</w:t>
        <w:br/>
        <w:t xml:space="preserve">• NO ADHESIVES: No stickers, tape, or paper labels attached to museum walls or items.</w:t>
        <w:br/>
        <w:t xml:space="preserve">• NO DISRUPTION: Testing will be quiet and respectful of other museum visitors.</w:t>
      </w:r>
      <w:r/>
    </w:p>
    <w:p>
      <w:pPr>
        <w:pBdr/>
        <w:spacing/>
        <w:ind/>
        <w:rPr/>
      </w:pPr>
      <w:r/>
      <w: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20703090202050204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rFonts w:ascii="Calibri" w:hAnsi="Calibri"/>
        <w:color w:val="888888"/>
        <w:sz w:val="17"/>
      </w:rPr>
      <w:t xml:space="preserve">LAKBAY Research Coordination — National Museum of the Philippines, Zamboanga</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rFonts w:ascii="Arial" w:hAnsi="Arial"/>
        <w:color w:val="888888"/>
        <w:sz w:val="17"/>
      </w:rPr>
      <w:t xml:space="preserve">WMSU College of Computing Studies | Capstone Research Work Plan</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ind/>
    </w:p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2026-10-09T06:31:14Z</dcterms:modified>
  <cp:category/>
</cp:coreProperties>
</file>