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Bookman Old Style" w:hAnsi="Bookman Old Style" w:eastAsia="Bookman Old Style"/>
          <w:b/>
          <w:i w:val="0"/>
          <w:sz w:val="18"/>
          <w:u w:val="single"/>
        </w:rPr>
        <w:t>OFICIO N°          -UFESC-URRHH/UGEL.T/GOB.REG.TACNA</w:t>
      </w:r>
    </w:p>
    <w:p>
      <w:r>
        <w:rPr>
          <w:rFonts w:ascii="Bookman Old Style" w:hAnsi="Bookman Old Style" w:eastAsia="Bookman Old Style"/>
          <w:b/>
          <w:i w:val="0"/>
          <w:sz w:val="18"/>
          <w:u w:val="none"/>
        </w:rPr>
        <w:t xml:space="preserve">SEÑOR: </w:t>
      </w:r>
    </w:p>
    <w:p>
      <w:r>
        <w:rPr>
          <w:rFonts w:ascii="Bookman Old Style" w:hAnsi="Bookman Old Style" w:eastAsia="Bookman Old Style"/>
          <w:b/>
          <w:i w:val="0"/>
          <w:sz w:val="18"/>
          <w:u w:val="none"/>
        </w:rPr>
        <w:t>MARINA</w:t>
      </w:r>
    </w:p>
    <w:p>
      <w:pPr>
        <w:spacing w:after="0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PROFESOR NOMBRADO</w:t>
      </w:r>
    </w:p>
    <w:p>
      <w:pPr>
        <w:spacing w:after="0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I.E. SAN FRANCISCO DE ASÍS</w:t>
      </w:r>
    </w:p>
    <w:p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 xml:space="preserve">DIRECCIÓN: </w:t>
      </w:r>
    </w:p>
    <w:p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Tacna/Tacna/TACNA</w:t>
      </w:r>
    </w:p>
    <w:p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Teléfono: 999888444</w:t>
      </w:r>
    </w:p>
    <w:p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Correo: rmalejol@unjbg.edu.pe</w:t>
      </w:r>
    </w:p>
    <w:p>
      <w:r>
        <w:rPr>
          <w:rFonts w:ascii="Bookman Old Style" w:hAnsi="Bookman Old Style" w:eastAsia="Bookman Old Style"/>
          <w:b/>
          <w:i w:val="0"/>
          <w:sz w:val="18"/>
          <w:u w:val="none"/>
        </w:rPr>
        <w:t>ASUNTO</w:t>
      </w:r>
      <w:r>
        <w:rPr>
          <w:rFonts w:ascii="Bookman Old Style" w:hAnsi="Bookman Old Style" w:eastAsia="Bookman Old Style"/>
          <w:b/>
          <w:i w:val="0"/>
          <w:sz w:val="18"/>
          <w:u w:val="none"/>
        </w:rPr>
        <w:t>:               FORMULO RESPUESTA</w:t>
      </w:r>
    </w:p>
    <w:p>
      <w:pPr>
        <w:spacing w:after="240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REFERENCIA</w:t>
      </w:r>
      <w:r>
        <w:rPr>
          <w:rFonts w:ascii="Bookman Old Style" w:hAnsi="Bookman Old Style" w:eastAsia="Bookman Old Style"/>
          <w:b/>
          <w:i w:val="0"/>
          <w:sz w:val="18"/>
          <w:u w:val="none"/>
        </w:rPr>
        <w:t>:               CUD. N° __________</w:t>
      </w:r>
    </w:p>
    <w:p>
      <w:pPr>
        <w:spacing w:after="240"/>
        <w:pBdr>
          <w:bottom w:val="single" w:sz="8" w:space="1" w:color="000000"/>
        </w:pBdr>
      </w:pP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Tengo el agrado de dirigirme a usted, para expresarle mi cordial saludo y a la vez brindar la debida atención al documento de la referencia, mediante el cual solicita .</w:t>
      </w: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Al respecto, se deberá tener presente que el literal l) del artículo 41° de la Ley N° 29944, Ley de Reforma Magisterial, reconoce el derecho al cómputo del tiempo de servicios efectivos; asimismo, para el reconocimiento por tiempo de servicios se consideran los periodos prestados bajo los regímenes señalados por la normativa vigente, incluyendo servicios en condición de contratado.</w:t>
      </w: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De acuerdo con la R.V.M. N° 112-2023-MINEDU, se regulan los procedimientos técnicos del Escalafón Magisterial, precisándose que el profesor puede solicitar el reconocimiento del tiempo de servicios prestados en instituciones educativas públicas adjuntando sus resoluciones y documentos de sustento correspondientes.</w:t>
      </w:r>
    </w:p>
    <w:p>
      <w:pPr>
        <w:spacing w:after="12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Por ello, luego de la revisión del expediente, se advierte que aún falta documentación sustentatoria para continuar con el procedimiento administrativo. Bajo su responsabilidad, deberá efectuar la subsanación correspondiente.</w:t>
      </w:r>
    </w:p>
    <w:p>
      <w:pPr>
        <w:spacing w:before="100" w:after="12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Sin otro particular, hago propicia la oportunidad para reiterarle las muestras de mi especial consideración y estima personal.</w:t>
      </w:r>
    </w:p>
    <w:p>
      <w:pPr>
        <w:spacing w:after="20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Atentamente,</w:t>
      </w:r>
    </w:p>
    <w:p>
      <w:pPr>
        <w:spacing w:after="2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GOBIERNO REGIONAL DE TACNA</w:t>
      </w:r>
    </w:p>
    <w:p>
      <w:pPr>
        <w:spacing w:after="2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__________________________________________</w:t>
      </w:r>
    </w:p>
    <w:p>
      <w:pPr>
        <w:spacing w:after="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ABOG. EDICA CARINA CANQUI ATENCIO</w:t>
      </w:r>
    </w:p>
    <w:p>
      <w:pPr>
        <w:spacing w:after="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JEFE DE LA UNIDAD DE RECURSOS HUMANOS</w:t>
      </w:r>
    </w:p>
    <w:p>
      <w:pPr>
        <w:spacing w:after="4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UGEL TACNA</w:t>
      </w:r>
    </w:p>
    <w:p>
      <w:pPr>
        <w:spacing w:before="120" w:after="0"/>
      </w:pPr>
      <w:r>
        <w:rPr>
          <w:rFonts w:ascii="Bookman Old Style" w:hAnsi="Bookman Old Style" w:eastAsia="Bookman Old Style"/>
          <w:b w:val="0"/>
          <w:i w:val="0"/>
          <w:sz w:val="14"/>
          <w:u w:val="none"/>
        </w:rPr>
        <w:t>ECCA/UGRH</w:t>
      </w:r>
    </w:p>
    <w:p>
      <w:pPr>
        <w:spacing w:after="40"/>
      </w:pPr>
      <w:r>
        <w:rPr>
          <w:rFonts w:ascii="Bookman Old Style" w:hAnsi="Bookman Old Style" w:eastAsia="Bookman Old Style"/>
          <w:b w:val="0"/>
          <w:i w:val="0"/>
          <w:sz w:val="14"/>
          <w:u w:val="none"/>
        </w:rPr>
        <w:t>MLBR/AAJPG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24" w:right="1661" w:bottom="62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before="0" w:after="0"/>
      <w:jc w:val="center"/>
      <w:pBdr>
        <w:top w:val="single" w:sz="8" w:space="1" w:color="000000"/>
      </w:pBdr>
    </w:pPr>
    <w:r>
      <w:rPr>
        <w:rFonts w:ascii="Bookman Old Style" w:hAnsi="Bookman Old Style" w:eastAsia="Bookman Old Style"/>
        <w:b w:val="0"/>
        <w:i w:val="0"/>
        <w:sz w:val="12"/>
        <w:u w:val="none"/>
      </w:rPr>
      <w:t>Unidad de Gestión Educativa Local Tacna - Asociación Los Begoñas Mz. I, Lt. 02-A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Distrito Gregorio Albarracín Lanchipa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Web: www.ugeltacna.edu.pe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Tacna - Perú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175"/>
      <w:gridCol w:w="6463"/>
    </w:tblGrid>
    <w:tr>
      <w:tc>
        <w:tcPr>
          <w:tcW w:type="dxa" w:w="4819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12000" cy="50659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50659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left w:val="nil"/>
            <w:bottom w:val="nil"/>
            <w:right w:val="nil"/>
          </w:tcBorders>
        </w:tcPr>
        <w:p>
          <w:pPr>
            <w:spacing w:before="160" w:after="0"/>
            <w:jc w:val="center"/>
          </w:pPr>
          <w:r>
            <w:rPr>
              <w:rFonts w:ascii="Bookman Old Style" w:hAnsi="Bookman Old Style" w:eastAsia="Bookman Old Style"/>
              <w:b w:val="0"/>
              <w:i w:val="0"/>
              <w:sz w:val="14"/>
              <w:u w:val="none"/>
            </w:rPr>
            <w:t>"Decenio de la igualdad de oportunidades para mujeres y hombres"</w:t>
            <w:br/>
          </w:r>
          <w:r>
            <w:rPr>
              <w:rFonts w:ascii="Bookman Old Style" w:hAnsi="Bookman Old Style" w:eastAsia="Bookman Old Style"/>
              <w:b w:val="0"/>
              <w:i w:val="0"/>
              <w:sz w:val="14"/>
              <w:u w:val="none"/>
            </w:rPr>
            <w:t>"Año de la Esperanza y el Fortalecimiento de la Democracia"</w:t>
          </w:r>
        </w:p>
      </w:tc>
    </w:tr>
  </w:tbl>
  <w:p>
    <w:pPr>
      <w:spacing w:before="20" w:after="0"/>
      <w:pBdr>
        <w:bottom w:val="single" w:sz="8" w:space="1" w:color="00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ookman Old Style" w:hAnsi="Bookman Old Style" w:eastAsia="Bookman Old Styl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