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single"/>
        </w:rPr>
        <w:t>OFICIO N°          -UFESC-URRHH/UGEL.T/GOB.REG.TACNA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 xml:space="preserve">SEÑOR: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MARIANO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PROFESOR NOMBRADO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MARIANO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 xml:space="preserve">DIRECCIÓN: 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Tacna/Tacna/TACNA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Teléfono: 98764513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Correo: va@gmail.com</w:t>
      </w:r>
    </w:p>
    <w:p>
      <w:pPr>
        <w:spacing w:before="0" w:after="0" w:line="240" w:lineRule="auto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ASUNTO</w:t>
      </w:r>
      <w:r>
        <w:rPr>
          <w:rFonts w:ascii="Bookman Old Style" w:hAnsi="Bookman Old Style" w:eastAsia="Bookman Old Style"/>
          <w:b/>
          <w:i w:val="0"/>
          <w:sz w:val="18"/>
          <w:u w:val="none"/>
        </w:rPr>
        <w:tab/>
        <w:t>: FORMULO RESPUESTA</w:t>
      </w:r>
    </w:p>
    <w:p>
      <w:pPr>
        <w:spacing w:before="0" w:line="240" w:lineRule="auto" w:after="240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REFERENCIA</w:t>
      </w: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ab/>
        <w:t>: CUD. N° ________</w:t>
      </w:r>
    </w:p>
    <w:p>
      <w:pPr>
        <w:spacing w:after="240"/>
        <w:pBdr>
          <w:bottom w:val="single" w:sz="8" w:space="1" w:color="000000"/>
        </w:pBdr>
      </w:pP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Tengo el agrado de dirigirme a usted, para expresarle mi cordial saludo y a la vez brindar la debida atención al documento de la referencia, mediante el cual solicita 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Al respecto, se deberá tener presente que el literal l) del artículo 41° de la Ley N° 29944, Ley de Reforma Magisterial, reconoce el derecho al cómputo del tiempo de servicios efectivos; asimismo, para el reconocimiento por tiempo de servicios se consideran los periodos prestados bajo los regímenes señalados por la normativa vigente, incluyendo servicios en condición de contratado.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De acuerdo con la R.V.M. N° 112-2023-MINEDU, se regulan los procedimientos técnicos del Escalafón Magisterial, precisándose que el profesor puede solicitar el reconocimiento del tiempo de servicios prestados en instituciones educativas públicas adjuntando sus resoluciones y documentos de sustento correspondientes.</w:t>
      </w:r>
    </w:p>
    <w:p>
      <w:pPr>
        <w:spacing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Por ello, luego de la revisión del expediente, se advierte que aún falta documentación sustentatoria para continuar con el procedimiento administrativo. Bajo su responsabilidad, deberá efectuar la subsanación correspondiente.</w:t>
      </w:r>
    </w:p>
    <w:p>
      <w:pPr>
        <w:spacing w:before="100"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Sin otro particular, hago propicia la oportunidad para reiterarle las muestras de mi especial consideración y estima personal.</w:t>
      </w:r>
    </w:p>
    <w:p>
      <w:pPr>
        <w:spacing w:after="20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Atentamente,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GOBIERNO REGIONAL DE TACNA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__________________________________________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ABOG. EDICA CARINA CANQUI ATENCIO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JEFE DE LA UNIDAD DE RECURSOS HUMANOS</w:t>
      </w:r>
    </w:p>
    <w:p>
      <w:pPr>
        <w:spacing w:after="4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UGEL TACNA</w:t>
      </w:r>
    </w:p>
    <w:p>
      <w:pPr>
        <w:spacing w:before="120" w:after="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ECCA/UGRH</w:t>
      </w:r>
    </w:p>
    <w:p>
      <w:pPr>
        <w:spacing w:after="4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MLBR/AAJPG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661" w:bottom="62" w:left="15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jc w:val="center"/>
      <w:pBdr>
        <w:top w:val="single" w:sz="8" w:space="1" w:color="000000"/>
      </w:pBdr>
    </w:pPr>
    <w:r>
      <w:rPr>
        <w:rFonts w:ascii="Bookman Old Style" w:hAnsi="Bookman Old Style" w:eastAsia="Bookman Old Style"/>
        <w:b w:val="0"/>
        <w:i w:val="0"/>
        <w:sz w:val="12"/>
        <w:u w:val="none"/>
      </w:rPr>
      <w:t>Unidad de Gestión Educativa Local Tacna - Asociación Los Begoñas Mz. I, Lt. 02-A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Distrito Gregorio Albarracín Lanchipa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Web: www.ugeltacna.edu.pe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Tacna - Perú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75"/>
      <w:gridCol w:w="6463"/>
    </w:tblGrid>
    <w:tr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12000" cy="50659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65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160" w:after="0"/>
            <w:jc w:val="center"/>
          </w:pP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"Decenio de la igualdad de oportunidades para mujeres y hombres"</w:t>
            <w:br/>
          </w: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"Año de la Esperanza y el Fortalecimiento de la Democracia"</w:t>
          </w:r>
        </w:p>
      </w:tc>
    </w:tr>
  </w:tbl>
  <w:p>
    <w:pPr>
      <w:spacing w:before="20" w:after="0"/>
      <w:pBdr>
        <w:bottom w:val="single" w:sz="8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ookman Old Style" w:hAnsi="Bookman Old Style" w:eastAsia="Bookman Old Styl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