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企业卡额度调整规则 (Card Limit Adjustment Rules)</w:t>
      </w:r>
    </w:p>
    <w:p>
      <w:r>
        <w:t>Document ID: K01</w:t>
      </w:r>
    </w:p>
    <w:p>
      <w:r>
        <w:t>Department: Card Operations</w:t>
      </w:r>
    </w:p>
    <w:p>
      <w:r>
        <w:t>Owner: Rachel Teo, Head of Card Operations</w:t>
      </w:r>
    </w:p>
    <w:p>
      <w:r>
        <w:t>Version: v1.0</w:t>
      </w:r>
    </w:p>
    <w:p>
      <w:r>
        <w:t>Effective Date: 2026-07-01</w:t>
      </w:r>
    </w:p>
    <w:p>
      <w:r>
        <w:t>Classification: Public</w:t>
      </w:r>
    </w:p>
    <w:p>
      <w:r>
        <w:t>Compartments: none</w:t>
      </w:r>
    </w:p>
    <w:p>
      <w:pPr>
        <w:pStyle w:val="Heading1"/>
      </w:pPr>
      <w:r>
        <w:t>1. 适用范围</w:t>
      </w:r>
    </w:p>
    <w:p>
      <w:r>
        <w:t>本规则适用于 Aspire Demo Pte Ltd 发行的所有企业卡,规范初始额度设定、临时提额、永久提额及大额授权的人工审核。card_ops 团队在 Aspire Core 中执行本规则,所有操作须在 SupportDesk 留痕。</w:t>
      </w:r>
    </w:p>
    <w:p>
      <w:pPr>
        <w:pStyle w:val="Heading1"/>
      </w:pPr>
      <w:r>
        <w:t>2. 初始额度</w:t>
      </w:r>
    </w:p>
    <w:p>
      <w:pPr>
        <w:pStyle w:val="ListBullet"/>
      </w:pPr>
      <w:r>
        <w:t>初始额度 = 账户历史流水的20%,最高不超过等值10万新元。</w:t>
      </w:r>
    </w:p>
    <w:p>
      <w:pPr>
        <w:pStyle w:val="ListBullet"/>
      </w:pPr>
      <w:r>
        <w:t>历史流水以开卡前最近12个月的账户入账总额为准;账户开立不足12个月的,按实际月数年化计算。</w:t>
      </w:r>
    </w:p>
    <w:p>
      <w:pPr>
        <w:pStyle w:val="ListBullet"/>
      </w:pPr>
      <w:r>
        <w:t>新账户若无足够流水,系统给予最低额度,客户可在使用满3个月后申请调整。</w:t>
      </w:r>
    </w:p>
    <w:p>
      <w:pPr>
        <w:pStyle w:val="ListBullet"/>
      </w:pPr>
      <w:r>
        <w:t>初始额度由 Aspire Core 自动计算,card_ops 不得手工修改,除非符合本规则第6节的例外处理。</w:t>
      </w:r>
    </w:p>
    <w:p>
      <w:pPr>
        <w:pStyle w:val="Heading1"/>
      </w:pPr>
      <w:r>
        <w:t>3. 临时提额流程</w:t>
      </w:r>
    </w:p>
    <w:p>
      <w:r>
        <w:t>客户因季节性采购、活动或项目需要,可申请有期限的临时提额。</w:t>
      </w:r>
    </w:p>
    <w:p>
      <w:pPr>
        <w:pStyle w:val="ListBullet"/>
      </w:pPr>
      <w:r>
        <w:t>申请材料:近3个月的账户流水,以及书面的用途说明(包括金额、用途、使用期限)。</w:t>
      </w:r>
    </w:p>
    <w:p>
      <w:pPr>
        <w:pStyle w:val="ListBullet"/>
      </w:pPr>
      <w:r>
        <w:t>审核时限:card_ops 须在2个工作日内完成审核并通过 SupportDesk 通知客户结果。</w:t>
      </w:r>
    </w:p>
    <w:p>
      <w:pPr>
        <w:pStyle w:val="ListBullet"/>
      </w:pPr>
      <w:r>
        <w:t>临时额度的有效期最长为90天,到期后自动恢复原额度。</w:t>
      </w:r>
    </w:p>
    <w:p>
      <w:pPr>
        <w:pStyle w:val="ListBullet"/>
      </w:pPr>
      <w:r>
        <w:t>临时提额后的总额度同样不得超过等值10万新元。</w:t>
      </w:r>
    </w:p>
    <w:p>
      <w:pPr>
        <w:pStyle w:val="ListBullet"/>
      </w:pPr>
      <w:r>
        <w:t>同一客户在连续12个月内临时提额申请不超过4次,超出须提交主管审批。</w:t>
      </w:r>
    </w:p>
    <w:p>
      <w:pPr>
        <w:pStyle w:val="Heading1"/>
      </w:pPr>
      <w:r>
        <w:t>4. 永久提额</w:t>
      </w:r>
    </w:p>
    <w:p>
      <w:pPr>
        <w:pStyle w:val="ListBullet"/>
      </w:pPr>
      <w:r>
        <w:t>永久提额须通过信用评分模型重新评估,card_ops 不得绕过模型直接批准。</w:t>
      </w:r>
    </w:p>
    <w:p>
      <w:pPr>
        <w:pStyle w:val="ListBullet"/>
      </w:pPr>
      <w:r>
        <w:t>评分低于阈值(540分)的申请予以拒绝,客户须等待90天后方可再次申请。</w:t>
      </w:r>
    </w:p>
    <w:p>
      <w:pPr>
        <w:pStyle w:val="ListBullet"/>
      </w:pPr>
      <w:r>
        <w:t>通过评估的,按评分档位对应的倍数重新核定额度,并发送书面通知,新额度在次日生效。</w:t>
      </w:r>
    </w:p>
    <w:p>
      <w:pPr>
        <w:pStyle w:val="ListBullet"/>
      </w:pPr>
      <w:r>
        <w:t>永久提额的审批结果和评分须在系统中保存,用于后续审计。</w:t>
      </w:r>
    </w:p>
    <w:p>
      <w:pPr>
        <w:pStyle w:val="Heading1"/>
      </w:pPr>
      <w:r>
        <w:t>5. 大额授权人工审核</w:t>
      </w:r>
    </w:p>
    <w:p>
      <w:pPr>
        <w:pStyle w:val="ListBullet"/>
      </w:pPr>
      <w:r>
        <w:t>单笔授权金额超过5万新元的交易,触发人工审核。</w:t>
      </w:r>
    </w:p>
    <w:p>
      <w:pPr>
        <w:pStyle w:val="ListBullet"/>
      </w:pPr>
      <w:r>
        <w:t>在审核通过前,该笔交易将被临时冻结,持卡人会收到应用内通知。</w:t>
      </w:r>
    </w:p>
    <w:p>
      <w:pPr>
        <w:pStyle w:val="ListBullet"/>
      </w:pPr>
      <w:r>
        <w:t>card_ops 审核员须核对商户信息、交易用途及近期交易模式,并在规定时间内联系客户确认。</w:t>
      </w:r>
    </w:p>
    <w:p>
      <w:pPr>
        <w:pStyle w:val="ListBullet"/>
      </w:pPr>
      <w:r>
        <w:t>审核未通过的,交易予以拒绝;怀疑欺诈的,转交风险团队按欺诈规则处理;涉及可疑资金的,按反洗钱流程转交合规团队。</w:t>
      </w:r>
    </w:p>
    <w:p>
      <w:pPr>
        <w:pStyle w:val="ListBullet"/>
      </w:pPr>
      <w:r>
        <w:t>审核记录须保存不少于5年。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处理方式</w:t>
            </w:r>
          </w:p>
        </w:tc>
        <w:tc>
          <w:tcPr>
            <w:tcW w:type="dxa" w:w="2880"/>
          </w:tcPr>
          <w:p>
            <w:r>
              <w:t>时限</w:t>
            </w:r>
          </w:p>
        </w:tc>
      </w:tr>
      <w:tr>
        <w:tc>
          <w:tcPr>
            <w:tcW w:type="dxa" w:w="2880"/>
          </w:tcPr>
          <w:p>
            <w:r>
              <w:t>初始额度</w:t>
            </w:r>
          </w:p>
        </w:tc>
        <w:tc>
          <w:tcPr>
            <w:tcW w:type="dxa" w:w="2880"/>
          </w:tcPr>
          <w:p>
            <w:r>
              <w:t>系统自动按流水20%计算,上限10万新元</w:t>
            </w:r>
          </w:p>
        </w:tc>
        <w:tc>
          <w:tcPr>
            <w:tcW w:type="dxa" w:w="2880"/>
          </w:tcPr>
          <w:p>
            <w:r>
              <w:t>开卡时</w:t>
            </w:r>
          </w:p>
        </w:tc>
      </w:tr>
      <w:tr>
        <w:tc>
          <w:tcPr>
            <w:tcW w:type="dxa" w:w="2880"/>
          </w:tcPr>
          <w:p>
            <w:r>
              <w:t>临时提额</w:t>
            </w:r>
          </w:p>
        </w:tc>
        <w:tc>
          <w:tcPr>
            <w:tcW w:type="dxa" w:w="2880"/>
          </w:tcPr>
          <w:p>
            <w:r>
              <w:t>近3个月流水 + 用途说明</w:t>
            </w:r>
          </w:p>
        </w:tc>
        <w:tc>
          <w:tcPr>
            <w:tcW w:type="dxa" w:w="2880"/>
          </w:tcPr>
          <w:p>
            <w:r>
              <w:t>2个工作日</w:t>
            </w:r>
          </w:p>
        </w:tc>
      </w:tr>
      <w:tr>
        <w:tc>
          <w:tcPr>
            <w:tcW w:type="dxa" w:w="2880"/>
          </w:tcPr>
          <w:p>
            <w:r>
              <w:t>永久提额</w:t>
            </w:r>
          </w:p>
        </w:tc>
        <w:tc>
          <w:tcPr>
            <w:tcW w:type="dxa" w:w="2880"/>
          </w:tcPr>
          <w:p>
            <w:r>
              <w:t>信用评分模型重评;低于阈值拒绝</w:t>
            </w:r>
          </w:p>
        </w:tc>
        <w:tc>
          <w:tcPr>
            <w:tcW w:type="dxa" w:w="2880"/>
          </w:tcPr>
          <w:p>
            <w:r>
              <w:t>评分完成后1个工作日通知</w:t>
            </w:r>
          </w:p>
        </w:tc>
      </w:tr>
      <w:tr>
        <w:tc>
          <w:tcPr>
            <w:tcW w:type="dxa" w:w="2880"/>
          </w:tcPr>
          <w:p>
            <w:r>
              <w:t>单笔超5万新元</w:t>
            </w:r>
          </w:p>
        </w:tc>
        <w:tc>
          <w:tcPr>
            <w:tcW w:type="dxa" w:w="2880"/>
          </w:tcPr>
          <w:p>
            <w:r>
              <w:t>人工审核,通过前冻结</w:t>
            </w:r>
          </w:p>
        </w:tc>
        <w:tc>
          <w:tcPr>
            <w:tcW w:type="dxa" w:w="2880"/>
          </w:tcPr>
          <w:p>
            <w:r>
              <w:t>当日</w:t>
            </w:r>
          </w:p>
        </w:tc>
      </w:tr>
    </w:tbl>
    <w:p>
      <w:pPr>
        <w:pStyle w:val="Heading1"/>
      </w:pPr>
      <w:r>
        <w:t>6. 例外处理</w:t>
      </w:r>
    </w:p>
    <w:p>
      <w:pPr>
        <w:pStyle w:val="ListBullet"/>
      </w:pPr>
      <w:r>
        <w:t>系统故障或数据错误导致额度计算有误的,经 card_ops 主管书面批准后可手工更正,并附证据。</w:t>
      </w:r>
    </w:p>
    <w:p>
      <w:pPr>
        <w:pStyle w:val="ListBullet"/>
      </w:pPr>
      <w:r>
        <w:t>政府或监管要求下的紧急调整,须经合规团队书面确认。</w:t>
      </w:r>
    </w:p>
    <w:p>
      <w:pPr>
        <w:pStyle w:val="ListBullet"/>
      </w:pPr>
      <w:r>
        <w:t>任何超出10万新元上限的请求,一律不予受理,不设例外。</w:t>
      </w:r>
    </w:p>
    <w:p>
      <w:pPr>
        <w:pStyle w:val="ListBullet"/>
      </w:pPr>
      <w:r>
        <w:t>例外处理每月由主管汇总,提交风险团队复核;例外占比应低于总申请量的3%。</w:t>
      </w:r>
    </w:p>
    <w:p>
      <w:pPr>
        <w:pStyle w:val="ListBullet"/>
      </w:pPr>
      <w:r>
        <w:t>如客户对决定有异议,可按投诉处理流程提出,card_ops 须在2个工作日内回复进展。</w:t>
      </w:r>
    </w:p>
    <w:p>
      <w:pPr>
        <w:pStyle w:val="Heading1"/>
      </w:pPr>
      <w:r>
        <w:t>7. 记录与培训</w:t>
      </w:r>
    </w:p>
    <w:p>
      <w:r>
        <w:t>所有额度调整申请、审核意见、客户沟通记录均须在 SupportDesk 保存。新入职 card_ops 人员须在上岗前完成本规则培训并通过测验,每年复训一次。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