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CASA 开户 KYC 要求 (CASA KYC Requirements)</w:t>
      </w:r>
    </w:p>
    <w:p>
      <w:r>
        <w:t>Document ID: C02</w:t>
      </w:r>
    </w:p>
    <w:p>
      <w:r>
        <w:t>Department: Compliance</w:t>
      </w:r>
    </w:p>
    <w:p>
      <w:r>
        <w:t>Owner: Grace Lim, Head of Compliance</w:t>
      </w:r>
    </w:p>
    <w:p>
      <w:r>
        <w:t>Version: v1.2</w:t>
      </w:r>
    </w:p>
    <w:p>
      <w:r>
        <w:t>Effective Date: 2026-03-01</w:t>
      </w:r>
    </w:p>
    <w:p>
      <w:r>
        <w:t>Classification: Internal</w:t>
      </w:r>
    </w:p>
    <w:p>
      <w:r>
        <w:t>Compartments: aml</w:t>
      </w:r>
    </w:p>
    <w:p>
      <w:pPr>
        <w:pStyle w:val="Heading1"/>
      </w:pPr>
      <w:r>
        <w:t>1. 目的 (Purpose)</w:t>
      </w:r>
    </w:p>
    <w:p>
      <w:r>
        <w:t>本文件规定个人及企业活期储蓄账户(CASA)开户时必须收集和核验的 KYC 材料,供客户经理、客服及合规官使用。所有开户申请须符合《KYC/AML 政策》v3.0。</w:t>
      </w:r>
    </w:p>
    <w:p>
      <w:pPr>
        <w:pStyle w:val="Heading1"/>
      </w:pPr>
      <w:r>
        <w:t>2. 个人账户材料</w:t>
      </w:r>
    </w:p>
    <w:p>
      <w:pPr>
        <w:pStyle w:val="ListBullet"/>
      </w:pPr>
      <w:r>
        <w:t>有效的身份证件(护照、新加坡身份证或工作准证),证件须清晰、完整。</w:t>
      </w:r>
    </w:p>
    <w:p>
      <w:pPr>
        <w:pStyle w:val="ListBullet"/>
      </w:pPr>
      <w:r>
        <w:t>3个月内签发的地址证明,如水电费账单、银行对账单或政府信函。</w:t>
      </w:r>
    </w:p>
    <w:p>
      <w:pPr>
        <w:pStyle w:val="ListBullet"/>
      </w:pPr>
      <w:r>
        <w:t>收入来源说明,包括雇主信息或其他收入来源的简要陈述。</w:t>
      </w:r>
    </w:p>
    <w:p>
      <w:pPr>
        <w:pStyle w:val="ListBullet"/>
      </w:pPr>
      <w:r>
        <w:t>通过 MyInfo 授权取得的信息可替代部分纸质材料,但合规官仍须复核。</w:t>
      </w:r>
    </w:p>
    <w:p>
      <w:pPr>
        <w:pStyle w:val="Heading1"/>
      </w:pPr>
      <w:r>
        <w:t>3. 企业账户材料</w:t>
      </w:r>
    </w:p>
    <w:p>
      <w:r>
        <w:t>企业账户除上述董事个人材料外,另须提供:</w:t>
      </w:r>
    </w:p>
    <w:p>
      <w:pPr>
        <w:pStyle w:val="ListBullet"/>
      </w:pPr>
      <w:r>
        <w:t>公司注册证书(ACRA 商业资料或同等文件)。</w:t>
      </w:r>
    </w:p>
    <w:p>
      <w:pPr>
        <w:pStyle w:val="ListBullet"/>
      </w:pPr>
      <w:r>
        <w:t>董事及股东名册,须列明持股比例,用于识别持股25%以上的UBO。</w:t>
      </w:r>
    </w:p>
    <w:p>
      <w:pPr>
        <w:pStyle w:val="ListBullet"/>
      </w:pPr>
      <w:r>
        <w:t>营业执照(如行业需要)。</w:t>
      </w:r>
    </w:p>
    <w:p>
      <w:pPr>
        <w:pStyle w:val="ListBullet"/>
      </w:pPr>
      <w:r>
        <w:t>最近12个月的银行流水,用于了解业务规模及资金来源。</w:t>
      </w:r>
    </w:p>
    <w:p>
      <w:pPr>
        <w:pStyle w:val="Heading1"/>
      </w:pPr>
      <w:r>
        <w:t>4. 非居民企业</w:t>
      </w:r>
    </w:p>
    <w:p>
      <w:r>
        <w:t>非居民企业须额外提交税务居民证明,说明其税务居民所在司法管辖区。无法提供者须由合规官评估后决定是否按高风险处理。</w:t>
      </w:r>
    </w:p>
    <w:p>
      <w:pPr>
        <w:pStyle w:val="Heading1"/>
      </w:pPr>
      <w:r>
        <w:t>5. 证件有效期</w:t>
      </w:r>
    </w:p>
    <w:p>
      <w:r>
        <w:t>证件有效期不足3个月的,客户须先更新证件,方可开户。客户服务人员不得以口头承诺代替更新。</w:t>
      </w:r>
    </w:p>
    <w:p>
      <w:pPr>
        <w:pStyle w:val="Heading1"/>
      </w:pPr>
      <w:r>
        <w:t>6. 核验要求</w:t>
      </w:r>
    </w:p>
    <w:p>
      <w:r>
        <w:t>合规官须核验文件原件或认证副本。认证副本须由律师、公证人或受认可的机构认证,并注明日期。电子版文件须通过受信任的渠道上传,并保留来源日志。</w:t>
      </w:r>
    </w:p>
    <w:p>
      <w:pPr>
        <w:pStyle w:val="Heading1"/>
      </w:pPr>
      <w:r>
        <w:t>7. 处理时限与升级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环节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目标时限</w:t>
            </w:r>
          </w:p>
        </w:tc>
      </w:tr>
      <w:tr>
        <w:tc>
          <w:tcPr>
            <w:tcW w:type="dxa" w:w="2880"/>
          </w:tcPr>
          <w:p>
            <w:r>
              <w:t>材料完整性检查</w:t>
            </w:r>
          </w:p>
        </w:tc>
        <w:tc>
          <w:tcPr>
            <w:tcW w:type="dxa" w:w="2880"/>
          </w:tcPr>
          <w:p>
            <w:r>
              <w:t>客户支持</w:t>
            </w:r>
          </w:p>
        </w:tc>
        <w:tc>
          <w:tcPr>
            <w:tcW w:type="dxa" w:w="2880"/>
          </w:tcPr>
          <w:p>
            <w:r>
              <w:t>1个工作日</w:t>
            </w:r>
          </w:p>
        </w:tc>
      </w:tr>
      <w:tr>
        <w:tc>
          <w:tcPr>
            <w:tcW w:type="dxa" w:w="2880"/>
          </w:tcPr>
          <w:p>
            <w:r>
              <w:t>标准风险客户核验</w:t>
            </w:r>
          </w:p>
        </w:tc>
        <w:tc>
          <w:tcPr>
            <w:tcW w:type="dxa" w:w="2880"/>
          </w:tcPr>
          <w:p>
            <w:r>
              <w:t>合规官</w:t>
            </w:r>
          </w:p>
        </w:tc>
        <w:tc>
          <w:tcPr>
            <w:tcW w:type="dxa" w:w="2880"/>
          </w:tcPr>
          <w:p>
            <w:r>
              <w:t>3个工作日</w:t>
            </w:r>
          </w:p>
        </w:tc>
      </w:tr>
      <w:tr>
        <w:tc>
          <w:tcPr>
            <w:tcW w:type="dxa" w:w="2880"/>
          </w:tcPr>
          <w:p>
            <w:r>
              <w:t>高风险客户加强尽调</w:t>
            </w:r>
          </w:p>
        </w:tc>
        <w:tc>
          <w:tcPr>
            <w:tcW w:type="dxa" w:w="2880"/>
          </w:tcPr>
          <w:p>
            <w:r>
              <w:t>合规官及MLRO</w:t>
            </w:r>
          </w:p>
        </w:tc>
        <w:tc>
          <w:tcPr>
            <w:tcW w:type="dxa" w:w="2880"/>
          </w:tcPr>
          <w:p>
            <w:r>
              <w:t>5个工作日</w:t>
            </w:r>
          </w:p>
        </w:tc>
      </w:tr>
      <w:tr>
        <w:tc>
          <w:tcPr>
            <w:tcW w:type="dxa" w:w="2880"/>
          </w:tcPr>
          <w:p>
            <w:r>
              <w:t>补件通知客户</w:t>
            </w:r>
          </w:p>
        </w:tc>
        <w:tc>
          <w:tcPr>
            <w:tcW w:type="dxa" w:w="2880"/>
          </w:tcPr>
          <w:p>
            <w:r>
              <w:t>客户支持</w:t>
            </w:r>
          </w:p>
        </w:tc>
        <w:tc>
          <w:tcPr>
            <w:tcW w:type="dxa" w:w="2880"/>
          </w:tcPr>
          <w:p>
            <w:r>
              <w:t>核验发现缺失后1个工作日内</w:t>
            </w:r>
          </w:p>
        </w:tc>
      </w:tr>
    </w:tbl>
    <w:p>
      <w:pPr>
        <w:pStyle w:val="Heading1"/>
      </w:pPr>
      <w:r>
        <w:t>8. 拒绝开户情形</w:t>
      </w:r>
    </w:p>
    <w:p>
      <w:pPr>
        <w:pStyle w:val="ListBullet"/>
      </w:pPr>
      <w:r>
        <w:t>无法确认UBO身份。</w:t>
      </w:r>
    </w:p>
    <w:p>
      <w:pPr>
        <w:pStyle w:val="ListBullet"/>
      </w:pPr>
      <w:r>
        <w:t>制裁筛查出现确认匹配。</w:t>
      </w:r>
    </w:p>
    <w:p>
      <w:pPr>
        <w:pStyle w:val="ListBullet"/>
      </w:pPr>
      <w:r>
        <w:t>客户拒绝提供资金来源信息。</w:t>
      </w:r>
    </w:p>
    <w:p>
      <w:pPr>
        <w:pStyle w:val="ListBullet"/>
      </w:pPr>
      <w:r>
        <w:t>文件疑似伪造,须同时报告MLRO。</w:t>
      </w:r>
    </w:p>
    <w:p>
      <w:r>
        <w:t>拒绝开户的决定及理由须记录于 SupportDesk 工单,但不得向客户披露涉及可疑交易报告的任何信息。</w:t>
      </w:r>
    </w:p>
    <w:p>
      <w:pPr>
        <w:pStyle w:val="Heading1"/>
      </w:pPr>
      <w:r>
        <w:t>9. 记录保存</w:t>
      </w:r>
    </w:p>
    <w:p>
      <w:r>
        <w:t>开户材料及核验记录须自账户关闭之日起保存至少5年。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