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KYC/AML 政策 (KYC/AML Policy) v3.0</w:t>
      </w:r>
    </w:p>
    <w:p>
      <w:r>
        <w:t>Document ID: C01</w:t>
      </w:r>
    </w:p>
    <w:p>
      <w:r>
        <w:t>Department: Compliance</w:t>
      </w:r>
    </w:p>
    <w:p>
      <w:r>
        <w:t>Owner: Grace Lim, Head of Compliance</w:t>
      </w:r>
    </w:p>
    <w:p>
      <w:r>
        <w:t>Version: v3.0</w:t>
      </w:r>
    </w:p>
    <w:p>
      <w:r>
        <w:t>Effective Date: 2026-07-01</w:t>
      </w:r>
    </w:p>
    <w:p>
      <w:r>
        <w:t>Classification: Internal</w:t>
      </w:r>
    </w:p>
    <w:p>
      <w:r>
        <w:t>Compartments: aml</w:t>
      </w:r>
    </w:p>
    <w:p>
      <w:r>
        <w:t>Status: CURRENT - supersedes v2.0</w:t>
      </w:r>
    </w:p>
    <w:p>
      <w:pPr>
        <w:pStyle w:val="Heading1"/>
      </w:pPr>
      <w:r>
        <w:t>1. 目的与适用范围 (Purpose and Scope)</w:t>
      </w:r>
    </w:p>
    <w:p>
      <w:r>
        <w:t>本政策规定 Aspire Demo Pte Ltd 在客户准入、持续监控及可疑交易报告方面的反洗钱及打击恐怖融资(AML/CFT)要求,依据新加坡金融管理局(MAS)相关通知制定。本政策适用于全体员工、承包商及 Aspire Core 平台上的所有客户账户,自2026年7月1日起生效,取代 v2.0 版本。</w:t>
      </w:r>
    </w:p>
    <w:p>
      <w:pPr>
        <w:pStyle w:val="Heading1"/>
      </w:pPr>
      <w:r>
        <w:t>2. 三级客户尽职调查 (Three-tier CDD)</w:t>
      </w:r>
    </w:p>
    <w:p>
      <w:r>
        <w:t>公司采用基于风险的三级尽职调查(CDD)制度,客户风险评级由 Aspire Core 的风险评分模型初评,合规官可人工调整。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级别</w:t>
            </w:r>
          </w:p>
        </w:tc>
        <w:tc>
          <w:tcPr>
            <w:tcW w:type="dxa" w:w="2160"/>
          </w:tcPr>
          <w:p>
            <w:r>
              <w:t>适用客户</w:t>
            </w:r>
          </w:p>
        </w:tc>
        <w:tc>
          <w:tcPr>
            <w:tcW w:type="dxa" w:w="2160"/>
          </w:tcPr>
          <w:p>
            <w:r>
              <w:t>主要措施</w:t>
            </w:r>
          </w:p>
        </w:tc>
        <w:tc>
          <w:tcPr>
            <w:tcW w:type="dxa" w:w="2160"/>
          </w:tcPr>
          <w:p>
            <w:r>
              <w:t>复审频率</w:t>
            </w:r>
          </w:p>
        </w:tc>
      </w:tr>
      <w:tr>
        <w:tc>
          <w:tcPr>
            <w:tcW w:type="dxa" w:w="2160"/>
          </w:tcPr>
          <w:p>
            <w:r>
              <w:t>一级:简化尽职调查 (SDD)</w:t>
            </w:r>
          </w:p>
        </w:tc>
        <w:tc>
          <w:tcPr>
            <w:tcW w:type="dxa" w:w="2160"/>
          </w:tcPr>
          <w:p>
            <w:r>
              <w:t>低风险客户,如上市公司、受监管金融机构</w:t>
            </w:r>
          </w:p>
        </w:tc>
        <w:tc>
          <w:tcPr>
            <w:tcW w:type="dxa" w:w="2160"/>
          </w:tcPr>
          <w:p>
            <w:r>
              <w:t>核验身份文件、公司注册信息</w:t>
            </w:r>
          </w:p>
        </w:tc>
        <w:tc>
          <w:tcPr>
            <w:tcW w:type="dxa" w:w="2160"/>
          </w:tcPr>
          <w:p>
            <w:r>
              <w:t>每年</w:t>
            </w:r>
          </w:p>
        </w:tc>
      </w:tr>
      <w:tr>
        <w:tc>
          <w:tcPr>
            <w:tcW w:type="dxa" w:w="2160"/>
          </w:tcPr>
          <w:p>
            <w:r>
              <w:t>二级:标准尽职调查 (CDD)</w:t>
            </w:r>
          </w:p>
        </w:tc>
        <w:tc>
          <w:tcPr>
            <w:tcW w:type="dxa" w:w="2160"/>
          </w:tcPr>
          <w:p>
            <w:r>
              <w:t>中等风险客户,大多数中小企业</w:t>
            </w:r>
          </w:p>
        </w:tc>
        <w:tc>
          <w:tcPr>
            <w:tcW w:type="dxa" w:w="2160"/>
          </w:tcPr>
          <w:p>
            <w:r>
              <w:t>身份核验、UBO识别、制裁与PEP筛查、业务性质了解</w:t>
            </w:r>
          </w:p>
        </w:tc>
        <w:tc>
          <w:tcPr>
            <w:tcW w:type="dxa" w:w="2160"/>
          </w:tcPr>
          <w:p>
            <w:r>
              <w:t>每年</w:t>
            </w:r>
          </w:p>
        </w:tc>
      </w:tr>
      <w:tr>
        <w:tc>
          <w:tcPr>
            <w:tcW w:type="dxa" w:w="2160"/>
          </w:tcPr>
          <w:p>
            <w:r>
              <w:t>三级:加强尽职调查 (EDD)</w:t>
            </w:r>
          </w:p>
        </w:tc>
        <w:tc>
          <w:tcPr>
            <w:tcW w:type="dxa" w:w="2160"/>
          </w:tcPr>
          <w:p>
            <w:r>
              <w:t>高风险客户,含高风险行业、PEP、高风险司法管辖区</w:t>
            </w:r>
          </w:p>
        </w:tc>
        <w:tc>
          <w:tcPr>
            <w:tcW w:type="dxa" w:w="2160"/>
          </w:tcPr>
          <w:p>
            <w:r>
              <w:t>在二级基础上增加资金来源证明、高级管理层批准、合规官二次审批、加强监控</w:t>
            </w:r>
          </w:p>
        </w:tc>
        <w:tc>
          <w:tcPr>
            <w:tcW w:type="dxa" w:w="2160"/>
          </w:tcPr>
          <w:p>
            <w:r>
              <w:t>每6个月</w:t>
            </w:r>
          </w:p>
        </w:tc>
      </w:tr>
    </w:tbl>
    <w:p>
      <w:pPr>
        <w:pStyle w:val="Heading1"/>
      </w:pPr>
      <w:r>
        <w:t>3. 最终受益人 (UBO) 识别</w:t>
      </w:r>
    </w:p>
    <w:p>
      <w:pPr>
        <w:pStyle w:val="ListBullet"/>
      </w:pPr>
      <w:r>
        <w:t>凡直接或间接持有客户公司股权或表决权25%以上的自然人,均须识别为最终受益人(UBO)。</w:t>
      </w:r>
    </w:p>
    <w:p>
      <w:pPr>
        <w:pStyle w:val="ListBullet"/>
      </w:pPr>
      <w:r>
        <w:t>若无人达到25%,则识别实际控制人,如董事或高级管理人员,并记录理由。</w:t>
      </w:r>
    </w:p>
    <w:p>
      <w:pPr>
        <w:pStyle w:val="ListBullet"/>
      </w:pPr>
      <w:r>
        <w:t>UBO须提供有效身份证件及住址证明,并接受制裁筛查和PEP排查。</w:t>
      </w:r>
    </w:p>
    <w:p>
      <w:pPr>
        <w:pStyle w:val="ListBullet"/>
      </w:pPr>
      <w:r>
        <w:t>股权结构超过三层的,须取得股权结构图并由合规官核验。</w:t>
      </w:r>
    </w:p>
    <w:p>
      <w:pPr>
        <w:pStyle w:val="Heading1"/>
      </w:pPr>
      <w:r>
        <w:t>4. 制裁筛查与PEP排查</w:t>
      </w:r>
    </w:p>
    <w:p>
      <w:r>
        <w:t>所有客户、UBO、董事及主要交易对手须在开户时及之后持续筛查,名单范围包括 OFAC、联合国(UN)及欧盟(EU)制裁名单。政治公众人物(PEP)及其家庭成员和关系密切人士须进行PEP排查,确认为PEP的客户自动适用三级尽职调查。具体筛查参数见《制裁筛查程序》。</w:t>
      </w:r>
    </w:p>
    <w:p>
      <w:pPr>
        <w:pStyle w:val="Heading1"/>
      </w:pPr>
      <w:r>
        <w:t>5. 高风险行业</w:t>
      </w:r>
    </w:p>
    <w:p>
      <w:r>
        <w:t>博彩、虚拟资产、军工贸易属于高风险行业。此类客户须提交资金来源证明,并由合规官进行二次审批后方可开户或维持业务关系。未经二次审批的申请不得激活账户。</w:t>
      </w:r>
    </w:p>
    <w:p>
      <w:pPr>
        <w:pStyle w:val="Heading1"/>
      </w:pPr>
      <w:r>
        <w:t>6. 可疑交易与SAR报告</w:t>
      </w:r>
    </w:p>
    <w:p>
      <w:r>
        <w:t>下列情形视为可疑交易:(a) 单笔超过等值5万新元的跨境转账;(b) 短期内频繁的小额拆分转账,明显意图规避限额。员工发现上述情形须立即报告MLRO。公司须在确认可疑后24小时内向MAS提交可疑交易报告(SAR)。严禁向客户泄露已提交或拟提交SAR的信息(通风报信禁止)。</w:t>
      </w:r>
    </w:p>
    <w:p>
      <w:pPr>
        <w:pStyle w:val="Heading1"/>
      </w:pPr>
      <w:r>
        <w:t>7. 复审周期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复审周期</w:t>
            </w:r>
          </w:p>
        </w:tc>
      </w:tr>
      <w:tr>
        <w:tc>
          <w:tcPr>
            <w:tcW w:type="dxa" w:w="4320"/>
          </w:tcPr>
          <w:p>
            <w:r>
              <w:t>高风险</w:t>
            </w:r>
          </w:p>
        </w:tc>
        <w:tc>
          <w:tcPr>
            <w:tcW w:type="dxa" w:w="4320"/>
          </w:tcPr>
          <w:p>
            <w:r>
              <w:t>每6个月</w:t>
            </w:r>
          </w:p>
        </w:tc>
      </w:tr>
      <w:tr>
        <w:tc>
          <w:tcPr>
            <w:tcW w:type="dxa" w:w="4320"/>
          </w:tcPr>
          <w:p>
            <w:r>
              <w:t>中风险</w:t>
            </w:r>
          </w:p>
        </w:tc>
        <w:tc>
          <w:tcPr>
            <w:tcW w:type="dxa" w:w="4320"/>
          </w:tcPr>
          <w:p>
            <w:r>
              <w:t>每年</w:t>
            </w:r>
          </w:p>
        </w:tc>
      </w:tr>
      <w:tr>
        <w:tc>
          <w:tcPr>
            <w:tcW w:type="dxa" w:w="4320"/>
          </w:tcPr>
          <w:p>
            <w:r>
              <w:t>低风险</w:t>
            </w:r>
          </w:p>
        </w:tc>
        <w:tc>
          <w:tcPr>
            <w:tcW w:type="dxa" w:w="4320"/>
          </w:tcPr>
          <w:p>
            <w:r>
              <w:t>每年</w:t>
            </w:r>
          </w:p>
        </w:tc>
      </w:tr>
    </w:tbl>
    <w:p>
      <w:r>
        <w:t>触发式复审:股权变更、负责人变更、制裁名单命中、交易模式异常时须立即启动复审,不受上述周期限制。</w:t>
      </w:r>
    </w:p>
    <w:p>
      <w:pPr>
        <w:pStyle w:val="Heading1"/>
      </w:pPr>
      <w:r>
        <w:t>8. 记录保存</w:t>
      </w:r>
    </w:p>
    <w:p>
      <w:r>
        <w:t>客户身份资料、尽职调查记录、交易记录及SAR相关文件须自业务关系结束或交易完成之日起保存至少5年。SAR案件档案属于机密级别,仅限 aml 隔离区成员访问。</w:t>
      </w:r>
    </w:p>
    <w:p>
      <w:pPr>
        <w:pStyle w:val="Heading1"/>
      </w:pPr>
      <w:r>
        <w:t>9. 培训与治理</w:t>
      </w:r>
    </w:p>
    <w:p>
      <w:r>
        <w:t>全体员工须每年完成合规培训,详见年度合规培训计划。本政策每年至少审阅一次,由合规负责人提出修订,经MLRO和管理层批准。与 v2.0 相比,v3.0 的主要变化为:SAR 提交时限由72小时缩短至24小时;跨境转账可疑门槛由等值10万新元降至5万新元;高风险客户复审由每12个月改为每6个月;尽职调查由二级扩展为三级。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