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Sanctions Screening Procedure</w:t>
      </w:r>
    </w:p>
    <w:p>
      <w:r>
        <w:t>Document ID: C03</w:t>
      </w:r>
    </w:p>
    <w:p>
      <w:r>
        <w:t>Department: Compliance</w:t>
      </w:r>
    </w:p>
    <w:p>
      <w:r>
        <w:t>Owner: Wei Jie Ong, MLRO</w:t>
      </w:r>
    </w:p>
    <w:p>
      <w:r>
        <w:t>Version: v1.4</w:t>
      </w:r>
    </w:p>
    <w:p>
      <w:r>
        <w:t>Effective Date: 2026-04-01</w:t>
      </w:r>
    </w:p>
    <w:p>
      <w:r>
        <w:t>Classification: Confidential</w:t>
      </w:r>
    </w:p>
    <w:p>
      <w:r>
        <w:t>Compartments: aml</w:t>
      </w:r>
    </w:p>
    <w:p>
      <w:pPr>
        <w:pStyle w:val="Heading1"/>
      </w:pPr>
      <w:r>
        <w:t>1. Purpose</w:t>
      </w:r>
    </w:p>
    <w:p>
      <w:r>
        <w:t>This procedure describes how Aspire screens customers, beneficial owners, directors and payment counterparties against sanctions lists, and how potential matches are reviewed and escalated. It supports the KYC/AML Policy v3.0. Screening is performed in the fictional screening tool SanctionShield, integrated with Aspire Core.</w:t>
      </w:r>
    </w:p>
    <w:p>
      <w:pPr>
        <w:pStyle w:val="Heading1"/>
      </w:pPr>
      <w:r>
        <w:t>2. Lists screened</w:t>
      </w:r>
    </w:p>
    <w:p>
      <w:pPr>
        <w:pStyle w:val="ListBullet"/>
      </w:pPr>
      <w:r>
        <w:t>OFAC (US Treasury) Specially Designated Nationals and Consolidated lists</w:t>
      </w:r>
    </w:p>
    <w:p>
      <w:pPr>
        <w:pStyle w:val="ListBullet"/>
      </w:pPr>
      <w:r>
        <w:t>United Nations Security Council consolidated list</w:t>
      </w:r>
    </w:p>
    <w:p>
      <w:pPr>
        <w:pStyle w:val="ListBullet"/>
      </w:pPr>
      <w:r>
        <w:t>European Union consolidated financial sanctions list</w:t>
      </w:r>
    </w:p>
    <w:p>
      <w:pPr>
        <w:pStyle w:val="ListBullet"/>
      </w:pPr>
      <w:r>
        <w:t>MAS targeted financial sanctions lists and any internal watchlist maintained by the MLRO</w:t>
      </w:r>
    </w:p>
    <w:p>
      <w:r>
        <w:t>SanctionShield refreshes all lists daily at 02:00 SGT. A refresh failure raises an alert to the Compliance Operations team on Aspire Hub, and screening continues against the last good list for no more than 24 hours before the MLRO must be notified.</w:t>
      </w:r>
    </w:p>
    <w:p>
      <w:pPr>
        <w:pStyle w:val="Heading1"/>
      </w:pPr>
      <w:r>
        <w:t>3. When screening occurs</w:t>
      </w:r>
    </w:p>
    <w:tbl>
      <w:tblPr>
        <w:tblStyle w:val="TableGrid"/>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Subjects screened</w:t>
            </w:r>
          </w:p>
        </w:tc>
        <w:tc>
          <w:tcPr>
            <w:tcW w:type="dxa" w:w="2880"/>
          </w:tcPr>
          <w:p>
            <w:r>
              <w:t>Timing</w:t>
            </w:r>
          </w:p>
        </w:tc>
      </w:tr>
      <w:tr>
        <w:tc>
          <w:tcPr>
            <w:tcW w:type="dxa" w:w="2880"/>
          </w:tcPr>
          <w:p>
            <w:r>
              <w:t>Onboarding</w:t>
            </w:r>
          </w:p>
        </w:tc>
        <w:tc>
          <w:tcPr>
            <w:tcW w:type="dxa" w:w="2880"/>
          </w:tcPr>
          <w:p>
            <w:r>
              <w:t>Company, directors, UBOs (25% or more), authorised signatories</w:t>
            </w:r>
          </w:p>
        </w:tc>
        <w:tc>
          <w:tcPr>
            <w:tcW w:type="dxa" w:w="2880"/>
          </w:tcPr>
          <w:p>
            <w:r>
              <w:t>Before account activation</w:t>
            </w:r>
          </w:p>
        </w:tc>
      </w:tr>
      <w:tr>
        <w:tc>
          <w:tcPr>
            <w:tcW w:type="dxa" w:w="2880"/>
          </w:tcPr>
          <w:p>
            <w:r>
              <w:t>Daily rescreen</w:t>
            </w:r>
          </w:p>
        </w:tc>
        <w:tc>
          <w:tcPr>
            <w:tcW w:type="dxa" w:w="2880"/>
          </w:tcPr>
          <w:p>
            <w:r>
              <w:t>All active customers and linked parties</w:t>
            </w:r>
          </w:p>
        </w:tc>
        <w:tc>
          <w:tcPr>
            <w:tcW w:type="dxa" w:w="2880"/>
          </w:tcPr>
          <w:p>
            <w:r>
              <w:t>After each 02:00 SGT list refresh (delta rescreen)</w:t>
            </w:r>
          </w:p>
        </w:tc>
      </w:tr>
      <w:tr>
        <w:tc>
          <w:tcPr>
            <w:tcW w:type="dxa" w:w="2880"/>
          </w:tcPr>
          <w:p>
            <w:r>
              <w:t>Payments</w:t>
            </w:r>
          </w:p>
        </w:tc>
        <w:tc>
          <w:tcPr>
            <w:tcW w:type="dxa" w:w="2880"/>
          </w:tcPr>
          <w:p>
            <w:r>
              <w:t>Beneficiary name, bank and country on cross-border transfers</w:t>
            </w:r>
          </w:p>
        </w:tc>
        <w:tc>
          <w:tcPr>
            <w:tcW w:type="dxa" w:w="2880"/>
          </w:tcPr>
          <w:p>
            <w:r>
              <w:t>Real time, before release</w:t>
            </w:r>
          </w:p>
        </w:tc>
      </w:tr>
      <w:tr>
        <w:tc>
          <w:tcPr>
            <w:tcW w:type="dxa" w:w="2880"/>
          </w:tcPr>
          <w:p>
            <w:r>
              <w:t>Change event</w:t>
            </w:r>
          </w:p>
        </w:tc>
        <w:tc>
          <w:tcPr>
            <w:tcW w:type="dxa" w:w="2880"/>
          </w:tcPr>
          <w:p>
            <w:r>
              <w:t>New director, shareholder change, address change</w:t>
            </w:r>
          </w:p>
        </w:tc>
        <w:tc>
          <w:tcPr>
            <w:tcW w:type="dxa" w:w="2880"/>
          </w:tcPr>
          <w:p>
            <w:r>
              <w:t>Within 1 working day</w:t>
            </w:r>
          </w:p>
        </w:tc>
      </w:tr>
    </w:tbl>
    <w:p>
      <w:pPr>
        <w:pStyle w:val="Heading1"/>
      </w:pPr>
      <w:r>
        <w:t>4. Matching rules</w:t>
      </w:r>
    </w:p>
    <w:p>
      <w:r>
        <w:t>SanctionShield uses fuzzy name matching with a threshold of 85 percent similarity. Scores of 85 percent and above generate an alert; scores below 85 percent are logged but not alerted. Matching considers transliteration, name order, aliases and date of birth or incorporation date where available. The threshold is reviewed by the MLRO every 6 months using tuning results; any change needs MLRO approval and a change record.</w:t>
      </w:r>
    </w:p>
    <w:p>
      <w:pPr>
        <w:pStyle w:val="Heading1"/>
      </w:pPr>
      <w:r>
        <w:t>5. Alert handling</w:t>
      </w:r>
    </w:p>
    <w:p>
      <w:pPr>
        <w:pStyle w:val="ListBullet"/>
      </w:pPr>
      <w:r>
        <w:t>Level 1 review by a compliance analyst within 1 working day: compare name, date of birth, nationality, address and identifiers against the list entry.</w:t>
      </w:r>
    </w:p>
    <w:p>
      <w:pPr>
        <w:pStyle w:val="ListBullet"/>
      </w:pPr>
      <w:r>
        <w:t>Classify as false positive (with documented reason), potential match or true match.</w:t>
      </w:r>
    </w:p>
    <w:p>
      <w:pPr>
        <w:pStyle w:val="ListBullet"/>
      </w:pPr>
      <w:r>
        <w:t>Potential matches go to a compliance officer for a second review within 1 working day.</w:t>
      </w:r>
    </w:p>
    <w:p>
      <w:pPr>
        <w:pStyle w:val="ListBullet"/>
      </w:pPr>
      <w:r>
        <w:t>True matches are escalated to the MLRO within 2 hours of confirmation, by phone and on Aspire Hub, and the account is immediately frozen for outgoing payments.</w:t>
      </w:r>
    </w:p>
    <w:p>
      <w:pPr>
        <w:pStyle w:val="Heading1"/>
      </w:pPr>
      <w:r>
        <w:t>6. True match actions</w:t>
      </w:r>
    </w:p>
    <w:p>
      <w:r>
        <w:t>On a confirmed true match the MLRO decides on asset freezing, rejection or exit, and whether to file a suspicious transaction report within 24 hours of determination, following the STR Filing Guideline. Staff must not inform the customer (tipping-off prohibition). Frozen assets are reported to the relevant authority as required by Singapore law.</w:t>
      </w:r>
    </w:p>
    <w:p>
      <w:pPr>
        <w:pStyle w:val="Heading1"/>
      </w:pPr>
      <w:r>
        <w:t>7. Record keeping and quality</w:t>
      </w:r>
    </w:p>
    <w:p>
      <w:r>
        <w:t>Every alert, decision and rationale is retained for at least 5 years. The Compliance Quality team samples 5 percent of closed false positives each month, and results are reported to the MLRO. Target: 95 percent of alerts reviewed within the stated time. Staff who handle alerts complete sanctions training annually.</w:t>
      </w:r>
    </w:p>
    <w:p>
      <w:pPr>
        <w:pStyle w:val="Heading1"/>
      </w:pPr>
      <w:r>
        <w:t>8. Roles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Compliance analyst</w:t>
            </w:r>
          </w:p>
        </w:tc>
        <w:tc>
          <w:tcPr>
            <w:tcW w:type="dxa" w:w="4320"/>
          </w:tcPr>
          <w:p>
            <w:r>
              <w:t>Level 1 alert review</w:t>
            </w:r>
          </w:p>
        </w:tc>
      </w:tr>
      <w:tr>
        <w:tc>
          <w:tcPr>
            <w:tcW w:type="dxa" w:w="4320"/>
          </w:tcPr>
          <w:p>
            <w:r>
              <w:t>Compliance officer</w:t>
            </w:r>
          </w:p>
        </w:tc>
        <w:tc>
          <w:tcPr>
            <w:tcW w:type="dxa" w:w="4320"/>
          </w:tcPr>
          <w:p>
            <w:r>
              <w:t>Second review, onboarding decisions</w:t>
            </w:r>
          </w:p>
        </w:tc>
      </w:tr>
      <w:tr>
        <w:tc>
          <w:tcPr>
            <w:tcW w:type="dxa" w:w="4320"/>
          </w:tcPr>
          <w:p>
            <w:r>
              <w:t>MLRO</w:t>
            </w:r>
          </w:p>
        </w:tc>
        <w:tc>
          <w:tcPr>
            <w:tcW w:type="dxa" w:w="4320"/>
          </w:tcPr>
          <w:p>
            <w:r>
              <w:t>True match decisions, threshold approval, regulator contact</w:t>
            </w:r>
          </w:p>
        </w:tc>
      </w:tr>
      <w:tr>
        <w:tc>
          <w:tcPr>
            <w:tcW w:type="dxa" w:w="4320"/>
          </w:tcPr>
          <w:p>
            <w:r>
              <w:t>Engineering (Aspire Core)</w:t>
            </w:r>
          </w:p>
        </w:tc>
        <w:tc>
          <w:tcPr>
            <w:tcW w:type="dxa" w:w="4320"/>
          </w:tcPr>
          <w:p>
            <w:r>
              <w:t>Maintain integration, monitor list refresh job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