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KYC/AML 政策 (KYC/AML Policy) v2.0 - 已归档</w:t>
      </w:r>
    </w:p>
    <w:p>
      <w:r>
        <w:t>Document ID: C01a</w:t>
      </w:r>
    </w:p>
    <w:p>
      <w:r>
        <w:t>Department: Compliance</w:t>
      </w:r>
    </w:p>
    <w:p>
      <w:r>
        <w:t>Owner: Grace Lim, Head of Compliance</w:t>
      </w:r>
    </w:p>
    <w:p>
      <w:r>
        <w:t>Version: v2.0</w:t>
      </w:r>
    </w:p>
    <w:p>
      <w:r>
        <w:t>Effective Date: 2024-01-01</w:t>
      </w:r>
    </w:p>
    <w:p>
      <w:r>
        <w:t>Classification: Internal</w:t>
      </w:r>
    </w:p>
    <w:p>
      <w:r>
        <w:t>Compartments: aml</w:t>
      </w:r>
    </w:p>
    <w:p>
      <w:r>
        <w:t>Status: STATUS: ARCHIVED - superseded by v3.0 on 2026-07-01</w:t>
      </w:r>
    </w:p>
    <w:p>
      <w:r>
        <w:t>STATUS: ARCHIVED - superseded by v3.0 on 2026-07-01. 本文件仅供历史查阅,请勿作为现行依据。</w:t>
      </w:r>
    </w:p>
    <w:p>
      <w:pPr>
        <w:pStyle w:val="Heading1"/>
      </w:pPr>
      <w:r>
        <w:t>1. 目的与适用范围</w:t>
      </w:r>
    </w:p>
    <w:p>
      <w:r>
        <w:t>本政策规定公司在客户准入与可疑交易报告方面的反洗钱要求,适用于全体员工及客户账户。本版本自2024年1月1日起生效,已于2026年7月1日被 v3.0 取代。</w:t>
      </w:r>
    </w:p>
    <w:p>
      <w:pPr>
        <w:pStyle w:val="Heading1"/>
      </w:pPr>
      <w:r>
        <w:t>2. 二级尽职调查</w:t>
      </w:r>
    </w:p>
    <w:p>
      <w:r>
        <w:t>本版本仅设两级尽职调查。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级别</w:t>
            </w:r>
          </w:p>
        </w:tc>
        <w:tc>
          <w:tcPr>
            <w:tcW w:type="dxa" w:w="2880"/>
          </w:tcPr>
          <w:p>
            <w:r>
              <w:t>适用客户</w:t>
            </w:r>
          </w:p>
        </w:tc>
        <w:tc>
          <w:tcPr>
            <w:tcW w:type="dxa" w:w="2880"/>
          </w:tcPr>
          <w:p>
            <w:r>
              <w:t>主要措施</w:t>
            </w:r>
          </w:p>
        </w:tc>
      </w:tr>
      <w:tr>
        <w:tc>
          <w:tcPr>
            <w:tcW w:type="dxa" w:w="2880"/>
          </w:tcPr>
          <w:p>
            <w:r>
              <w:t>标准尽职调查</w:t>
            </w:r>
          </w:p>
        </w:tc>
        <w:tc>
          <w:tcPr>
            <w:tcW w:type="dxa" w:w="2880"/>
          </w:tcPr>
          <w:p>
            <w:r>
              <w:t>低、中风险客户</w:t>
            </w:r>
          </w:p>
        </w:tc>
        <w:tc>
          <w:tcPr>
            <w:tcW w:type="dxa" w:w="2880"/>
          </w:tcPr>
          <w:p>
            <w:r>
              <w:t>身份核验、UBO识别、制裁筛查</w:t>
            </w:r>
          </w:p>
        </w:tc>
      </w:tr>
      <w:tr>
        <w:tc>
          <w:tcPr>
            <w:tcW w:type="dxa" w:w="2880"/>
          </w:tcPr>
          <w:p>
            <w:r>
              <w:t>加强尽职调查</w:t>
            </w:r>
          </w:p>
        </w:tc>
        <w:tc>
          <w:tcPr>
            <w:tcW w:type="dxa" w:w="2880"/>
          </w:tcPr>
          <w:p>
            <w:r>
              <w:t>高风险客户</w:t>
            </w:r>
          </w:p>
        </w:tc>
        <w:tc>
          <w:tcPr>
            <w:tcW w:type="dxa" w:w="2880"/>
          </w:tcPr>
          <w:p>
            <w:r>
              <w:t>在标准措施之外增加资金来源说明及高级管理层批准</w:t>
            </w:r>
          </w:p>
        </w:tc>
      </w:tr>
    </w:tbl>
    <w:p>
      <w:pPr>
        <w:pStyle w:val="Heading1"/>
      </w:pPr>
      <w:r>
        <w:t>3. 最终受益人 (UBO)</w:t>
      </w:r>
    </w:p>
    <w:p>
      <w:pPr>
        <w:pStyle w:val="ListBullet"/>
      </w:pPr>
      <w:r>
        <w:t>持股25%以上的自然人须识别为UBO。</w:t>
      </w:r>
    </w:p>
    <w:p>
      <w:pPr>
        <w:pStyle w:val="ListBullet"/>
      </w:pPr>
      <w:r>
        <w:t>UBO须提供身份证件并接受筛查。</w:t>
      </w:r>
    </w:p>
    <w:p>
      <w:pPr>
        <w:pStyle w:val="Heading1"/>
      </w:pPr>
      <w:r>
        <w:t>4. 制裁筛查</w:t>
      </w:r>
    </w:p>
    <w:p>
      <w:r>
        <w:t>客户及UBO须对照 OFAC 及联合国制裁名单进行筛查(当时版本尚未明确要求欧盟名单的持续筛查)。筛查在开户时进行,名单每周更新。</w:t>
      </w:r>
    </w:p>
    <w:p>
      <w:pPr>
        <w:pStyle w:val="Heading1"/>
      </w:pPr>
      <w:r>
        <w:t>5. 高风险行业</w:t>
      </w:r>
    </w:p>
    <w:p>
      <w:r>
        <w:t>博彩及虚拟资产客户视为高风险行业,须提交资金来源说明并由部门主管审批。</w:t>
      </w:r>
    </w:p>
    <w:p>
      <w:pPr>
        <w:pStyle w:val="Heading1"/>
      </w:pPr>
      <w:r>
        <w:t>6. 可疑交易与SAR报告</w:t>
      </w:r>
    </w:p>
    <w:p>
      <w:r>
        <w:t>单笔超过等值10万新元的跨境转账,或经确认的频繁小额拆分转账,视为可疑交易。公司须在72小时内提交SAR至MAS。严禁向客户泄露报告信息。</w:t>
      </w:r>
    </w:p>
    <w:p>
      <w:pPr>
        <w:pStyle w:val="Heading1"/>
      </w:pPr>
      <w:r>
        <w:t>7. 复审周期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复审周期</w:t>
            </w:r>
          </w:p>
        </w:tc>
      </w:tr>
      <w:tr>
        <w:tc>
          <w:tcPr>
            <w:tcW w:type="dxa" w:w="4320"/>
          </w:tcPr>
          <w:p>
            <w:r>
              <w:t>高风险</w:t>
            </w:r>
          </w:p>
        </w:tc>
        <w:tc>
          <w:tcPr>
            <w:tcW w:type="dxa" w:w="4320"/>
          </w:tcPr>
          <w:p>
            <w:r>
              <w:t>每12个月</w:t>
            </w:r>
          </w:p>
        </w:tc>
      </w:tr>
      <w:tr>
        <w:tc>
          <w:tcPr>
            <w:tcW w:type="dxa" w:w="4320"/>
          </w:tcPr>
          <w:p>
            <w:r>
              <w:t>中低风险</w:t>
            </w:r>
          </w:p>
        </w:tc>
        <w:tc>
          <w:tcPr>
            <w:tcW w:type="dxa" w:w="4320"/>
          </w:tcPr>
          <w:p>
            <w:r>
              <w:t>每24个月</w:t>
            </w:r>
          </w:p>
        </w:tc>
      </w:tr>
    </w:tbl>
    <w:p>
      <w:pPr>
        <w:pStyle w:val="Heading1"/>
      </w:pPr>
      <w:r>
        <w:t>8. 记录保存</w:t>
      </w:r>
    </w:p>
    <w:p>
      <w:r>
        <w:t>相关记录须保存至少5年。</w:t>
      </w:r>
    </w:p>
    <w:p>
      <w:pPr>
        <w:pStyle w:val="Heading1"/>
      </w:pPr>
      <w:r>
        <w:t>9. 归档说明</w:t>
      </w:r>
    </w:p>
    <w:p>
      <w:r>
        <w:t>本版本已被 v3.0 取代。与本版本相比,v3.0 将SAR时限缩短为24小时,门槛降至5万新元,高风险复审改为每6个月,并引入三级尽职调查。如与 v3.0 冲突,以 v3.0 为准。本文件保留用于审计追溯,保存期限同第8节。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