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Revenue Recognition Policy</w:t>
      </w:r>
    </w:p>
    <w:p>
      <w:r>
        <w:t>Document ID: F03</w:t>
      </w:r>
    </w:p>
    <w:p>
      <w:r>
        <w:t>Department: Finance</w:t>
      </w:r>
    </w:p>
    <w:p>
      <w:r>
        <w:t>Owner: Priya Nair, Financial Controller</w:t>
      </w:r>
    </w:p>
    <w:p>
      <w:r>
        <w:t>Version: v1.0</w:t>
      </w:r>
    </w:p>
    <w:p>
      <w:r>
        <w:t>Effective Date: 2026-01-01</w:t>
      </w:r>
    </w:p>
    <w:p>
      <w:r>
        <w:t>Classification: Internal</w:t>
      </w:r>
    </w:p>
    <w:p>
      <w:r>
        <w:t>Compartments: finance</w:t>
      </w:r>
    </w:p>
    <w:p>
      <w:pPr>
        <w:pStyle w:val="Heading1"/>
      </w:pPr>
      <w:r>
        <w:t>1. Purpose and Framework</w:t>
      </w:r>
    </w:p>
    <w:p>
      <w:r>
        <w:t>This policy describes how Aspire Demo Pte Ltd recognises revenue under SFRS(I) 15, Revenue from Contracts with Customers, which is aligned with IFRS 15. It applies to all revenue streams in Singapore, Vietnam and Indonesia and is owned by the Financial Controller, with annual review by the Audit and Risk Committee.</w:t>
      </w:r>
    </w:p>
    <w:p>
      <w:pPr>
        <w:pStyle w:val="Heading1"/>
      </w:pPr>
      <w:r>
        <w:t>2. The Five-Step Model</w:t>
      </w:r>
    </w:p>
    <w:p>
      <w:pPr>
        <w:pStyle w:val="ListBullet"/>
      </w:pPr>
      <w:r>
        <w:t>Step 1 - Identify the contract: a written or electronic agreement (customer terms accepted at onboarding) with approved commercial terms, enforceable rights and probable collection.</w:t>
      </w:r>
    </w:p>
    <w:p>
      <w:pPr>
        <w:pStyle w:val="ListBullet"/>
      </w:pPr>
      <w:r>
        <w:t>Step 2 - Identify performance obligations: each distinct service, such as account maintenance, card issuance, payment processing, FX conversion, and software access.</w:t>
      </w:r>
    </w:p>
    <w:p>
      <w:pPr>
        <w:pStyle w:val="ListBullet"/>
      </w:pPr>
      <w:r>
        <w:t>Step 3 - Determine the transaction price: fees net of discounts, rebates and cashback; variable consideration is estimated using the expected value method and constrained.</w:t>
      </w:r>
    </w:p>
    <w:p>
      <w:pPr>
        <w:pStyle w:val="ListBullet"/>
      </w:pPr>
      <w:r>
        <w:t>Step 4 - Allocate the price to obligations using relative standalone selling prices (list price is used where a service is sold separately).</w:t>
      </w:r>
    </w:p>
    <w:p>
      <w:pPr>
        <w:pStyle w:val="ListBullet"/>
      </w:pPr>
      <w:r>
        <w:t>Step 5 - Recognise revenue when (or as) each obligation is satisfied, either at a point in time or over time.</w:t>
      </w:r>
    </w:p>
    <w:p>
      <w:pPr>
        <w:pStyle w:val="Heading1"/>
      </w:pPr>
      <w:r>
        <w:t>3. Revenue Streams</w:t>
      </w:r>
    </w:p>
    <w:tbl>
      <w:tblPr>
        <w:tblStyle w:val="TableGrid"/>
        <w:tblW w:type="auto" w:w="0"/>
        <w:tblLook w:firstColumn="1" w:firstRow="1" w:lastColumn="0" w:lastRow="0" w:noHBand="0" w:noVBand="1" w:val="04A0"/>
      </w:tblPr>
      <w:tblGrid>
        <w:gridCol w:w="2880"/>
        <w:gridCol w:w="2880"/>
        <w:gridCol w:w="2880"/>
      </w:tblGrid>
      <w:tr>
        <w:tc>
          <w:tcPr>
            <w:tcW w:type="dxa" w:w="2880"/>
          </w:tcPr>
          <w:p>
            <w:r>
              <w:t>Stream</w:t>
            </w:r>
          </w:p>
        </w:tc>
        <w:tc>
          <w:tcPr>
            <w:tcW w:type="dxa" w:w="2880"/>
          </w:tcPr>
          <w:p>
            <w:r>
              <w:t>Nature</w:t>
            </w:r>
          </w:p>
        </w:tc>
        <w:tc>
          <w:tcPr>
            <w:tcW w:type="dxa" w:w="2880"/>
          </w:tcPr>
          <w:p>
            <w:r>
              <w:t>Recognition</w:t>
            </w:r>
          </w:p>
        </w:tc>
      </w:tr>
      <w:tr>
        <w:tc>
          <w:tcPr>
            <w:tcW w:type="dxa" w:w="2880"/>
          </w:tcPr>
          <w:p>
            <w:r>
              <w:t>Interchange income</w:t>
            </w:r>
          </w:p>
        </w:tc>
        <w:tc>
          <w:tcPr>
            <w:tcW w:type="dxa" w:w="2880"/>
          </w:tcPr>
          <w:p>
            <w:r>
              <w:t>Fees earned from card networks when customers spend on Aspire cards</w:t>
            </w:r>
          </w:p>
        </w:tc>
        <w:tc>
          <w:tcPr>
            <w:tcW w:type="dxa" w:w="2880"/>
          </w:tcPr>
          <w:p>
            <w:r>
              <w:t>Point in time, on transaction settlement date; reported gross of scheme fees where Aspire acts as principal, with scheme and processor costs in cost of revenue; net of customer cashback and rewards</w:t>
            </w:r>
          </w:p>
        </w:tc>
      </w:tr>
      <w:tr>
        <w:tc>
          <w:tcPr>
            <w:tcW w:type="dxa" w:w="2880"/>
          </w:tcPr>
          <w:p>
            <w:r>
              <w:t>Subscription fees</w:t>
            </w:r>
          </w:p>
        </w:tc>
        <w:tc>
          <w:tcPr>
            <w:tcW w:type="dxa" w:w="2880"/>
          </w:tcPr>
          <w:p>
            <w:r>
              <w:t>Monthly or annual plans (Starter, Growth, Scale)</w:t>
            </w:r>
          </w:p>
        </w:tc>
        <w:tc>
          <w:tcPr>
            <w:tcW w:type="dxa" w:w="2880"/>
          </w:tcPr>
          <w:p>
            <w:r>
              <w:t>Over time, straight-line across the subscription period; annual plans billed upfront are held in deferred revenue and released monthly</w:t>
            </w:r>
          </w:p>
        </w:tc>
      </w:tr>
      <w:tr>
        <w:tc>
          <w:tcPr>
            <w:tcW w:type="dxa" w:w="2880"/>
          </w:tcPr>
          <w:p>
            <w:r>
              <w:t>FX margin</w:t>
            </w:r>
          </w:p>
        </w:tc>
        <w:tc>
          <w:tcPr>
            <w:tcW w:type="dxa" w:w="2880"/>
          </w:tcPr>
          <w:p>
            <w:r>
              <w:t>Spread between interbank rate and customer rate on conversions</w:t>
            </w:r>
          </w:p>
        </w:tc>
        <w:tc>
          <w:tcPr>
            <w:tcW w:type="dxa" w:w="2880"/>
          </w:tcPr>
          <w:p>
            <w:r>
              <w:t>Point in time on execution of each conversion; recognised at trade date, net of liquidity provider cost</w:t>
            </w:r>
          </w:p>
        </w:tc>
      </w:tr>
      <w:tr>
        <w:tc>
          <w:tcPr>
            <w:tcW w:type="dxa" w:w="2880"/>
          </w:tcPr>
          <w:p>
            <w:r>
              <w:t>SaaS and API fees</w:t>
            </w:r>
          </w:p>
        </w:tc>
        <w:tc>
          <w:tcPr>
            <w:tcW w:type="dxa" w:w="2880"/>
          </w:tcPr>
          <w:p>
            <w:r>
              <w:t>Spend management software seats, ERP integrations and API usage</w:t>
            </w:r>
          </w:p>
        </w:tc>
        <w:tc>
          <w:tcPr>
            <w:tcW w:type="dxa" w:w="2880"/>
          </w:tcPr>
          <w:p>
            <w:r>
              <w:t>Seats over time; usage-based API fees as usage occurs; one-off implementation fees over the expected customer life, usually 24 months, unless distinct</w:t>
            </w:r>
          </w:p>
        </w:tc>
      </w:tr>
      <w:tr>
        <w:tc>
          <w:tcPr>
            <w:tcW w:type="dxa" w:w="2880"/>
          </w:tcPr>
          <w:p>
            <w:r>
              <w:t>Other income</w:t>
            </w:r>
          </w:p>
        </w:tc>
        <w:tc>
          <w:tcPr>
            <w:tcW w:type="dxa" w:w="2880"/>
          </w:tcPr>
          <w:p>
            <w:r>
              <w:t>Late fees, interest on customer-funded balances where permitted</w:t>
            </w:r>
          </w:p>
        </w:tc>
        <w:tc>
          <w:tcPr>
            <w:tcW w:type="dxa" w:w="2880"/>
          </w:tcPr>
          <w:p>
            <w:r>
              <w:t>When earned; interest by effective interest method</w:t>
            </w:r>
          </w:p>
        </w:tc>
      </w:tr>
    </w:tbl>
    <w:p>
      <w:pPr>
        <w:pStyle w:val="Heading1"/>
      </w:pPr>
      <w:r>
        <w:t>4. Specific Judgements</w:t>
      </w:r>
    </w:p>
    <w:p>
      <w:r>
        <w:t>Principal versus agent: Aspire is a principal for subscription and SaaS fees. For interchange, Aspire acts as principal for the card programme because it controls the service to the cardholder, and therefore presents interchange income gross. Promotional credits and sign-up bonuses of up to SGD 200 per new customer are treated as a reduction of the transaction price and amortised over 12 months. Contracts with multiple elements, such as a Scale plan with bundled FX credits, are allocated using relative standalone selling price; the FX credits are recognised when used or on expiry after 12 months.</w:t>
      </w:r>
    </w:p>
    <w:p>
      <w:r>
        <w:t>Contract modifications are treated as separate contracts when they add distinct services at standalone prices; otherwise prospectively. Refunds and chargebacks are estimated with a historical refund rate of 0.3 percent of interchange income and recorded as a refund liability. Revenue is not recognised for accounts that are frozen for AML or fraud investigation until the investigation is cleared.</w:t>
      </w:r>
    </w:p>
    <w:p>
      <w:pPr>
        <w:pStyle w:val="Heading1"/>
      </w:pPr>
      <w:r>
        <w:t>5. Month-End Close Calendar</w:t>
      </w:r>
    </w:p>
    <w:p>
      <w:r>
        <w:t>The close runs on a T+5 calendar, where T is the last calendar day of the month. All dates are working days.</w:t>
      </w:r>
    </w:p>
    <w:tbl>
      <w:tblPr>
        <w:tblStyle w:val="TableGrid"/>
        <w:tblW w:type="auto" w:w="0"/>
        <w:tblLook w:firstColumn="1" w:firstRow="1" w:lastColumn="0" w:lastRow="0" w:noHBand="0" w:noVBand="1" w:val="04A0"/>
      </w:tblPr>
      <w:tblGrid>
        <w:gridCol w:w="2880"/>
        <w:gridCol w:w="2880"/>
        <w:gridCol w:w="2880"/>
      </w:tblGrid>
      <w:tr>
        <w:tc>
          <w:tcPr>
            <w:tcW w:type="dxa" w:w="2880"/>
          </w:tcPr>
          <w:p>
            <w:r>
              <w:t>Day</w:t>
            </w:r>
          </w:p>
        </w:tc>
        <w:tc>
          <w:tcPr>
            <w:tcW w:type="dxa" w:w="2880"/>
          </w:tcPr>
          <w:p>
            <w:r>
              <w:t>Activity</w:t>
            </w:r>
          </w:p>
        </w:tc>
        <w:tc>
          <w:tcPr>
            <w:tcW w:type="dxa" w:w="2880"/>
          </w:tcPr>
          <w:p>
            <w:r>
              <w:t>Owner</w:t>
            </w:r>
          </w:p>
        </w:tc>
      </w:tr>
      <w:tr>
        <w:tc>
          <w:tcPr>
            <w:tcW w:type="dxa" w:w="2880"/>
          </w:tcPr>
          <w:p>
            <w:r>
              <w:t>T+1</w:t>
            </w:r>
          </w:p>
        </w:tc>
        <w:tc>
          <w:tcPr>
            <w:tcW w:type="dxa" w:w="2880"/>
          </w:tcPr>
          <w:p>
            <w:r>
              <w:t>Card network settlement files loaded and interchange accrual completed; subscription billing run reconciled</w:t>
            </w:r>
          </w:p>
        </w:tc>
        <w:tc>
          <w:tcPr>
            <w:tcW w:type="dxa" w:w="2880"/>
          </w:tcPr>
          <w:p>
            <w:r>
              <w:t>Revenue Accounting</w:t>
            </w:r>
          </w:p>
        </w:tc>
      </w:tr>
      <w:tr>
        <w:tc>
          <w:tcPr>
            <w:tcW w:type="dxa" w:w="2880"/>
          </w:tcPr>
          <w:p>
            <w:r>
              <w:t>T+2</w:t>
            </w:r>
          </w:p>
        </w:tc>
        <w:tc>
          <w:tcPr>
            <w:tcW w:type="dxa" w:w="2880"/>
          </w:tcPr>
          <w:p>
            <w:r>
              <w:t>Deferred revenue roll-forward; FX trade-date revenue reconciled to treasury system</w:t>
            </w:r>
          </w:p>
        </w:tc>
        <w:tc>
          <w:tcPr>
            <w:tcW w:type="dxa" w:w="2880"/>
          </w:tcPr>
          <w:p>
            <w:r>
              <w:t>Revenue Accounting and Treasury</w:t>
            </w:r>
          </w:p>
        </w:tc>
      </w:tr>
      <w:tr>
        <w:tc>
          <w:tcPr>
            <w:tcW w:type="dxa" w:w="2880"/>
          </w:tcPr>
          <w:p>
            <w:r>
              <w:t>T+3</w:t>
            </w:r>
          </w:p>
        </w:tc>
        <w:tc>
          <w:tcPr>
            <w:tcW w:type="dxa" w:w="2880"/>
          </w:tcPr>
          <w:p>
            <w:r>
              <w:t>Accruals, prepayments, payroll and cost allocations posted</w:t>
            </w:r>
          </w:p>
        </w:tc>
        <w:tc>
          <w:tcPr>
            <w:tcW w:type="dxa" w:w="2880"/>
          </w:tcPr>
          <w:p>
            <w:r>
              <w:t>General Ledger team</w:t>
            </w:r>
          </w:p>
        </w:tc>
      </w:tr>
      <w:tr>
        <w:tc>
          <w:tcPr>
            <w:tcW w:type="dxa" w:w="2880"/>
          </w:tcPr>
          <w:p>
            <w:r>
              <w:t>T+4</w:t>
            </w:r>
          </w:p>
        </w:tc>
        <w:tc>
          <w:tcPr>
            <w:tcW w:type="dxa" w:w="2880"/>
          </w:tcPr>
          <w:p>
            <w:r>
              <w:t>Flux analysis (variance above 10 percent or SGD 100,000 explained); intercompany eliminated</w:t>
            </w:r>
          </w:p>
        </w:tc>
        <w:tc>
          <w:tcPr>
            <w:tcW w:type="dxa" w:w="2880"/>
          </w:tcPr>
          <w:p>
            <w:r>
              <w:t>Financial Controller</w:t>
            </w:r>
          </w:p>
        </w:tc>
      </w:tr>
      <w:tr>
        <w:tc>
          <w:tcPr>
            <w:tcW w:type="dxa" w:w="2880"/>
          </w:tcPr>
          <w:p>
            <w:r>
              <w:t>T+5</w:t>
            </w:r>
          </w:p>
        </w:tc>
        <w:tc>
          <w:tcPr>
            <w:tcW w:type="dxa" w:w="2880"/>
          </w:tcPr>
          <w:p>
            <w:r>
              <w:t>Final review, CFO sign-off and release of management accounts to the Executive team</w:t>
            </w:r>
          </w:p>
        </w:tc>
        <w:tc>
          <w:tcPr>
            <w:tcW w:type="dxa" w:w="2880"/>
          </w:tcPr>
          <w:p>
            <w:r>
              <w:t>CFO</w:t>
            </w:r>
          </w:p>
        </w:tc>
      </w:tr>
    </w:tbl>
    <w:p>
      <w:pPr>
        <w:pStyle w:val="Heading1"/>
      </w:pPr>
      <w:r>
        <w:t>6. Controls and Disclosure</w:t>
      </w:r>
    </w:p>
    <w:p>
      <w:pPr>
        <w:pStyle w:val="ListBullet"/>
      </w:pPr>
      <w:r>
        <w:t>Daily three-way reconciliation of card network, ledger and bank settlement; breaks above SGD 5,000 are investigated within 2 days.</w:t>
      </w:r>
    </w:p>
    <w:p>
      <w:pPr>
        <w:pStyle w:val="ListBullet"/>
      </w:pPr>
      <w:r>
        <w:t>Manual revenue journals above SGD 50,000 require CFO approval.</w:t>
      </w:r>
    </w:p>
    <w:p>
      <w:pPr>
        <w:pStyle w:val="ListBullet"/>
      </w:pPr>
      <w:r>
        <w:t>Quarterly review of the refund rate and standalone selling prices.</w:t>
      </w:r>
    </w:p>
    <w:p>
      <w:pPr>
        <w:pStyle w:val="ListBullet"/>
      </w:pPr>
      <w:r>
        <w:t>Revenue by stream and deferred revenue balances are disclosed in the quarterly management accounts and to external auditors; contract liabilities were SGD 2.9M at the end of Q3 FY2026.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