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Performance Review Guide</w:t>
      </w:r>
    </w:p>
    <w:p>
      <w:r>
        <w:t>Document ID: H03</w:t>
      </w:r>
    </w:p>
    <w:p>
      <w:r>
        <w:t>Department: HR</w:t>
      </w:r>
    </w:p>
    <w:p>
      <w:r>
        <w:t>Owner: Amelia Koh, Head of HR Operations</w:t>
      </w:r>
    </w:p>
    <w:p>
      <w:r>
        <w:t>Version: v1.0</w:t>
      </w:r>
    </w:p>
    <w:p>
      <w:r>
        <w:t>Effective Date: 2026-01-01</w:t>
      </w:r>
    </w:p>
    <w:p>
      <w:r>
        <w:t>Classification: Confidential</w:t>
      </w:r>
    </w:p>
    <w:p>
      <w:r>
        <w:t>Compartments: hr</w:t>
      </w:r>
    </w:p>
    <w:p>
      <w:pPr>
        <w:pStyle w:val="Heading1"/>
      </w:pPr>
      <w:r>
        <w:t>1. Overview</w:t>
      </w:r>
    </w:p>
    <w:p>
      <w:r>
        <w:t>Aspire Demo Pte Ltd runs a bi-annual performance cycle. The mid-year review takes place in June and the year-end review in December. The mid-year review is developmental and does not change pay; the year-end review determines the final rating that feeds merit increases (effective 1 April) and bonus payouts. All employees who joined before 1 April of the cycle year take part; later joiners are reviewed in the next cycle.</w:t>
      </w:r>
    </w:p>
    <w:p>
      <w:pPr>
        <w:pStyle w:val="Heading1"/>
      </w:pPr>
      <w:r>
        <w:t>2. Cycle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Mid-year (June)</w:t>
            </w:r>
          </w:p>
        </w:tc>
        <w:tc>
          <w:tcPr>
            <w:tcW w:type="dxa" w:w="2880"/>
          </w:tcPr>
          <w:p>
            <w:r>
              <w:t>Year-end (December)</w:t>
            </w:r>
          </w:p>
        </w:tc>
      </w:tr>
      <w:tr>
        <w:tc>
          <w:tcPr>
            <w:tcW w:type="dxa" w:w="2880"/>
          </w:tcPr>
          <w:p>
            <w:r>
              <w:t>Goal check-in and self-assessment</w:t>
            </w:r>
          </w:p>
        </w:tc>
        <w:tc>
          <w:tcPr>
            <w:tcW w:type="dxa" w:w="2880"/>
          </w:tcPr>
          <w:p>
            <w:r>
              <w:t>Weeks 1 of June</w:t>
            </w:r>
          </w:p>
        </w:tc>
        <w:tc>
          <w:tcPr>
            <w:tcW w:type="dxa" w:w="2880"/>
          </w:tcPr>
          <w:p>
            <w:r>
              <w:t>Week 1 of December</w:t>
            </w:r>
          </w:p>
        </w:tc>
      </w:tr>
      <w:tr>
        <w:tc>
          <w:tcPr>
            <w:tcW w:type="dxa" w:w="2880"/>
          </w:tcPr>
          <w:p>
            <w:r>
              <w:t>Manager assessment</w:t>
            </w:r>
          </w:p>
        </w:tc>
        <w:tc>
          <w:tcPr>
            <w:tcW w:type="dxa" w:w="2880"/>
          </w:tcPr>
          <w:p>
            <w:r>
              <w:t>Weeks 2 of June</w:t>
            </w:r>
          </w:p>
        </w:tc>
        <w:tc>
          <w:tcPr>
            <w:tcW w:type="dxa" w:w="2880"/>
          </w:tcPr>
          <w:p>
            <w:r>
              <w:t>Week 2 of December</w:t>
            </w:r>
          </w:p>
        </w:tc>
      </w:tr>
      <w:tr>
        <w:tc>
          <w:tcPr>
            <w:tcW w:type="dxa" w:w="2880"/>
          </w:tcPr>
          <w:p>
            <w:r>
              <w:t>Calibration</w:t>
            </w:r>
          </w:p>
        </w:tc>
        <w:tc>
          <w:tcPr>
            <w:tcW w:type="dxa" w:w="2880"/>
          </w:tcPr>
          <w:p>
            <w:r>
              <w:t>Week 3 of June (rating indicative)</w:t>
            </w:r>
          </w:p>
        </w:tc>
        <w:tc>
          <w:tcPr>
            <w:tcW w:type="dxa" w:w="2880"/>
          </w:tcPr>
          <w:p>
            <w:r>
              <w:t>Week 3 of December (rating final)</w:t>
            </w:r>
          </w:p>
        </w:tc>
      </w:tr>
      <w:tr>
        <w:tc>
          <w:tcPr>
            <w:tcW w:type="dxa" w:w="2880"/>
          </w:tcPr>
          <w:p>
            <w:r>
              <w:t>Review conversations</w:t>
            </w:r>
          </w:p>
        </w:tc>
        <w:tc>
          <w:tcPr>
            <w:tcW w:type="dxa" w:w="2880"/>
          </w:tcPr>
          <w:p>
            <w:r>
              <w:t>Week 4 of June</w:t>
            </w:r>
          </w:p>
        </w:tc>
        <w:tc>
          <w:tcPr>
            <w:tcW w:type="dxa" w:w="2880"/>
          </w:tcPr>
          <w:p>
            <w:r>
              <w:t>Week 4 of December (by 20 Dec)</w:t>
            </w:r>
          </w:p>
        </w:tc>
      </w:tr>
      <w:tr>
        <w:tc>
          <w:tcPr>
            <w:tcW w:type="dxa" w:w="2880"/>
          </w:tcPr>
          <w:p>
            <w:r>
              <w:t>HR lock and records</w:t>
            </w:r>
          </w:p>
        </w:tc>
        <w:tc>
          <w:tcPr>
            <w:tcW w:type="dxa" w:w="2880"/>
          </w:tcPr>
          <w:p>
            <w:r>
              <w:t>30 June</w:t>
            </w:r>
          </w:p>
        </w:tc>
        <w:tc>
          <w:tcPr>
            <w:tcW w:type="dxa" w:w="2880"/>
          </w:tcPr>
          <w:p>
            <w:r>
              <w:t>31 December</w:t>
            </w:r>
          </w:p>
        </w:tc>
      </w:tr>
    </w:tbl>
    <w:p>
      <w:pPr>
        <w:pStyle w:val="Heading1"/>
      </w:pPr>
      <w:r>
        <w:t>3. Five-Point Rating Scale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Rating</w:t>
            </w:r>
          </w:p>
        </w:tc>
        <w:tc>
          <w:tcPr>
            <w:tcW w:type="dxa" w:w="2160"/>
          </w:tcPr>
          <w:p>
            <w:r>
              <w:t>Label</w:t>
            </w:r>
          </w:p>
        </w:tc>
        <w:tc>
          <w:tcPr>
            <w:tcW w:type="dxa" w:w="2160"/>
          </w:tcPr>
          <w:p>
            <w:r>
              <w:t>Description</w:t>
            </w:r>
          </w:p>
        </w:tc>
        <w:tc>
          <w:tcPr>
            <w:tcW w:type="dxa" w:w="2160"/>
          </w:tcPr>
          <w:p>
            <w:r>
              <w:t>Guideline distribution</w:t>
            </w:r>
          </w:p>
        </w:tc>
      </w:tr>
      <w:tr>
        <w:tc>
          <w:tcPr>
            <w:tcW w:type="dxa" w:w="2160"/>
          </w:tcPr>
          <w:p>
            <w:r>
              <w:t>5</w:t>
            </w:r>
          </w:p>
        </w:tc>
        <w:tc>
          <w:tcPr>
            <w:tcW w:type="dxa" w:w="2160"/>
          </w:tcPr>
          <w:p>
            <w:r>
              <w:t>Outstanding</w:t>
            </w:r>
          </w:p>
        </w:tc>
        <w:tc>
          <w:tcPr>
            <w:tcW w:type="dxa" w:w="2160"/>
          </w:tcPr>
          <w:p>
            <w:r>
              <w:t>Consistently exceeds all goals; exceptional impact beyond role</w:t>
            </w:r>
          </w:p>
        </w:tc>
        <w:tc>
          <w:tcPr>
            <w:tcW w:type="dxa" w:w="2160"/>
          </w:tcPr>
          <w:p>
            <w:r>
              <w:t>5% of employees</w:t>
            </w:r>
          </w:p>
        </w:tc>
      </w:tr>
      <w:tr>
        <w:tc>
          <w:tcPr>
            <w:tcW w:type="dxa" w:w="2160"/>
          </w:tcPr>
          <w:p>
            <w:r>
              <w:t>4</w:t>
            </w:r>
          </w:p>
        </w:tc>
        <w:tc>
          <w:tcPr>
            <w:tcW w:type="dxa" w:w="2160"/>
          </w:tcPr>
          <w:p>
            <w:r>
              <w:t>Exceeds expectations</w:t>
            </w:r>
          </w:p>
        </w:tc>
        <w:tc>
          <w:tcPr>
            <w:tcW w:type="dxa" w:w="2160"/>
          </w:tcPr>
          <w:p>
            <w:r>
              <w:t>Regularly surpasses goals</w:t>
            </w:r>
          </w:p>
        </w:tc>
        <w:tc>
          <w:tcPr>
            <w:tcW w:type="dxa" w:w="2160"/>
          </w:tcPr>
          <w:p>
            <w:r>
              <w:t>20%</w:t>
            </w:r>
          </w:p>
        </w:tc>
      </w:tr>
      <w:tr>
        <w:tc>
          <w:tcPr>
            <w:tcW w:type="dxa" w:w="2160"/>
          </w:tcPr>
          <w:p>
            <w:r>
              <w:t>3</w:t>
            </w:r>
          </w:p>
        </w:tc>
        <w:tc>
          <w:tcPr>
            <w:tcW w:type="dxa" w:w="2160"/>
          </w:tcPr>
          <w:p>
            <w:r>
              <w:t>Meets expectations</w:t>
            </w:r>
          </w:p>
        </w:tc>
        <w:tc>
          <w:tcPr>
            <w:tcW w:type="dxa" w:w="2160"/>
          </w:tcPr>
          <w:p>
            <w:r>
              <w:t>Fully achieves goals and values</w:t>
            </w:r>
          </w:p>
        </w:tc>
        <w:tc>
          <w:tcPr>
            <w:tcW w:type="dxa" w:w="2160"/>
          </w:tcPr>
          <w:p>
            <w:r>
              <w:t>55%</w:t>
            </w:r>
          </w:p>
        </w:tc>
      </w:tr>
      <w:tr>
        <w:tc>
          <w:tcPr>
            <w:tcW w:type="dxa" w:w="2160"/>
          </w:tcPr>
          <w:p>
            <w:r>
              <w:t>2</w:t>
            </w:r>
          </w:p>
        </w:tc>
        <w:tc>
          <w:tcPr>
            <w:tcW w:type="dxa" w:w="2160"/>
          </w:tcPr>
          <w:p>
            <w:r>
              <w:t>Needs improvement</w:t>
            </w:r>
          </w:p>
        </w:tc>
        <w:tc>
          <w:tcPr>
            <w:tcW w:type="dxa" w:w="2160"/>
          </w:tcPr>
          <w:p>
            <w:r>
              <w:t>Partially meets goals; development needed</w:t>
            </w:r>
          </w:p>
        </w:tc>
        <w:tc>
          <w:tcPr>
            <w:tcW w:type="dxa" w:w="2160"/>
          </w:tcPr>
          <w:p>
            <w:r>
              <w:t>15%</w:t>
            </w:r>
          </w:p>
        </w:tc>
      </w:tr>
      <w:tr>
        <w:tc>
          <w:tcPr>
            <w:tcW w:type="dxa" w:w="2160"/>
          </w:tcPr>
          <w:p>
            <w:r>
              <w:t>1</w:t>
            </w:r>
          </w:p>
        </w:tc>
        <w:tc>
          <w:tcPr>
            <w:tcW w:type="dxa" w:w="2160"/>
          </w:tcPr>
          <w:p>
            <w:r>
              <w:t>Unsatisfactory</w:t>
            </w:r>
          </w:p>
        </w:tc>
        <w:tc>
          <w:tcPr>
            <w:tcW w:type="dxa" w:w="2160"/>
          </w:tcPr>
          <w:p>
            <w:r>
              <w:t>Does not meet minimum requirements</w:t>
            </w:r>
          </w:p>
        </w:tc>
        <w:tc>
          <w:tcPr>
            <w:tcW w:type="dxa" w:w="2160"/>
          </w:tcPr>
          <w:p>
            <w:r>
              <w:t>5%</w:t>
            </w:r>
          </w:p>
        </w:tc>
      </w:tr>
    </w:tbl>
    <w:p>
      <w:r>
        <w:t>The distribution is a guideline, not a forced quota. Departments with fewer than 15 employees are calibrated together with an adjacent department. Deviations of more than 10 percentage points from the guideline at department level need written justification to the HR Business Partner.</w:t>
      </w:r>
    </w:p>
    <w:p>
      <w:pPr>
        <w:pStyle w:val="Heading1"/>
      </w:pPr>
      <w:r>
        <w:t>4. Goals and Evidence</w:t>
      </w:r>
    </w:p>
    <w:p>
      <w:r>
        <w:t>Each employee sets 3 to 5 goals in the HR system by 31 January, weighted 70 percent on results (objectives and key results) and 30 percent on behaviours aligned to Aspire values: Customer First, Own It, Be Rigorous, Move Together. Managers must record at least two pieces of evidence for any rating of 1, 2 or 5. Peer feedback from at least three colleagues is collected for grades G6 and above.</w:t>
      </w:r>
    </w:p>
    <w:p>
      <w:pPr>
        <w:pStyle w:val="Heading1"/>
      </w:pPr>
      <w:r>
        <w:t>5. Calibration Process</w:t>
      </w:r>
    </w:p>
    <w:p>
      <w:pPr>
        <w:pStyle w:val="ListBullet"/>
      </w:pPr>
      <w:r>
        <w:t>Step 1: Managers submit proposed ratings to their Head of Department 3 working days before calibration.</w:t>
      </w:r>
    </w:p>
    <w:p>
      <w:pPr>
        <w:pStyle w:val="ListBullet"/>
      </w:pPr>
      <w:r>
        <w:t>Step 2: Calibration sessions are chaired by the Head of Department with the HR Business Partner as facilitator; each rating of 5 and 1 is discussed individually.</w:t>
      </w:r>
    </w:p>
    <w:p>
      <w:pPr>
        <w:pStyle w:val="ListBullet"/>
      </w:pPr>
      <w:r>
        <w:t>Step 3: Cross-department calibration for G7 and above is held by the Executive Committee, chaired by the CEO, with the Chief People Officer.</w:t>
      </w:r>
    </w:p>
    <w:p>
      <w:pPr>
        <w:pStyle w:val="ListBullet"/>
      </w:pPr>
      <w:r>
        <w:t>Step 4: Changes are documented; managers are informed before any conversation with employees.</w:t>
      </w:r>
    </w:p>
    <w:p>
      <w:pPr>
        <w:pStyle w:val="ListBullet"/>
      </w:pPr>
      <w:r>
        <w:t>Step 5: HR audits results for bias across gender, nationality, age band and part-time status and reports to the Executive Committee.</w:t>
      </w:r>
    </w:p>
    <w:p>
      <w:pPr>
        <w:pStyle w:val="Heading1"/>
      </w:pPr>
      <w:r>
        <w:t>6. Performance Improvement Plan (PIP)</w:t>
      </w:r>
    </w:p>
    <w:p>
      <w:r>
        <w:t>A PIP is considered for employees rated 2 (repeatedly) or 1. The PIP lasts 60 days, with a check-in every 2 weeks. It requires a written plan containing specific measurable targets, support provided and consequences, approved by the HR Business Partner and Head of Department before delivery. At the end of day 60 the outcome is one of: successful completion (PIP closed, normal merit eligibility resumes next cycle), extension of up to 30 days once in exceptional cases, or termination of employment in line with the employment contract and the Tripartite Guidelines on Fair Employment Practices. Employees on a PIP are not eligible for merit increases or bonuses in the cycle, and may not transfer internally. Employees may appeal within 5 working days to the Head of HR.</w:t>
      </w:r>
    </w:p>
    <w:p>
      <w:pPr>
        <w:pStyle w:val="Heading1"/>
      </w:pPr>
      <w:r>
        <w:t>7. Appeals and Confidentiality</w:t>
      </w:r>
    </w:p>
    <w:p>
      <w:r>
        <w:t>Employees who disagree with a final rating may raise a formal appeal with HR within 10 working days of the review conversation. A panel of one HR Business Partner and one Head of Department outside the reporting line responds within 15 working days. Individual ratings are confidential to the employee, manager, HR and the calibration panel.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