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Contract Review Checklist</w:t>
      </w:r>
    </w:p>
    <w:p>
      <w:r>
        <w:t>Document ID: L03</w:t>
      </w:r>
    </w:p>
    <w:p>
      <w:r>
        <w:t>Department: Legal</w:t>
      </w:r>
    </w:p>
    <w:p>
      <w:r>
        <w:t>Owner: Grace Tan, Senior Legal Counsel</w:t>
      </w:r>
    </w:p>
    <w:p>
      <w:r>
        <w:t>Version: v1.0</w:t>
      </w:r>
    </w:p>
    <w:p>
      <w:r>
        <w:t>Effective Date: 2026-03-15</w:t>
      </w:r>
    </w:p>
    <w:p>
      <w:r>
        <w:t>Classification: Internal</w:t>
      </w:r>
    </w:p>
    <w:p>
      <w:r>
        <w:t>Compartments: legal</w:t>
      </w:r>
    </w:p>
    <w:p>
      <w:r>
        <w:t>Use this checklist for every new or renewed vendor contract with annual value above SGD 20,000, or any contract involving customer data or a critical service. Complete the table, attach it to the Legal review ticket and obtain sign-off per section 4. Reviewed by Legal Counsel before signature; target turnaround is 5 business days.</w:t>
      </w:r>
    </w:p>
    <w:p>
      <w:pPr>
        <w:pStyle w:val="Heading1"/>
      </w:pPr>
      <w:r>
        <w:t>1. Review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Minimum requirement</w:t>
            </w:r>
          </w:p>
        </w:tc>
        <w:tc>
          <w:tcPr>
            <w:tcW w:type="dxa" w:w="2160"/>
          </w:tcPr>
          <w:p>
            <w:r>
              <w:t>Pass / Fail / N/A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Data protection</w:t>
            </w:r>
          </w:p>
        </w:tc>
        <w:tc>
          <w:tcPr>
            <w:tcW w:type="dxa" w:w="2160"/>
          </w:tcPr>
          <w:p>
            <w:r>
              <w:t>Data processing terms compliant with PDPA; breach notice to Aspire within 24 hours; data location disclosed; deletion within 30 days of exit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SLA / uptime</w:t>
            </w:r>
          </w:p>
        </w:tc>
        <w:tc>
          <w:tcPr>
            <w:tcW w:type="dxa" w:w="2160"/>
          </w:tcPr>
          <w:p>
            <w:r>
              <w:t>Uptime of 99.9% monthly for production services with service credits; support response for critical issues within 1 hour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Liability cap</w:t>
            </w:r>
          </w:p>
        </w:tc>
        <w:tc>
          <w:tcPr>
            <w:tcW w:type="dxa" w:w="2160"/>
          </w:tcPr>
          <w:p>
            <w:r>
              <w:t>Cap at or above 12 months' fees; uncapped for data breach, confidentiality and IP indemnity, or a super-cap of at least SGD 2M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Exit and transition</w:t>
            </w:r>
          </w:p>
        </w:tc>
        <w:tc>
          <w:tcPr>
            <w:tcW w:type="dxa" w:w="2160"/>
          </w:tcPr>
          <w:p>
            <w:r>
              <w:t>Exit assistance for at least 6 months; data returned in standard format; no termination fees for regulatory reasons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Subcontractors</w:t>
            </w:r>
          </w:p>
        </w:tc>
        <w:tc>
          <w:tcPr>
            <w:tcW w:type="dxa" w:w="2160"/>
          </w:tcPr>
          <w:p>
            <w:r>
              <w:t>Prior written consent or notice 30 days before changes; vendor remains liable; flow-down of obligations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 rights</w:t>
            </w:r>
          </w:p>
        </w:tc>
        <w:tc>
          <w:tcPr>
            <w:tcW w:type="dxa" w:w="2160"/>
          </w:tcPr>
          <w:p>
            <w:r>
              <w:t>Aspire, its auditors and MAS may audit and access the vendor, with onsite rights on 10 business days' notice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MAS outsourcing</w:t>
            </w:r>
          </w:p>
        </w:tc>
        <w:tc>
          <w:tcPr>
            <w:tcW w:type="dxa" w:w="2160"/>
          </w:tcPr>
          <w:p>
            <w:r>
              <w:t>Compliance with MAS Guidelines on Outsourcing: business continuity plan, right of regulator access, confidentiality of customer information, notification of material incidents within 24 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Termination rights</w:t>
            </w:r>
          </w:p>
        </w:tc>
        <w:tc>
          <w:tcPr>
            <w:tcW w:type="dxa" w:w="2160"/>
          </w:tcPr>
          <w:p>
            <w:r>
              <w:t>Aspire may terminate for convenience on 90 days' notice, for breach on 30 days, and immediately if required by MAS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ISO 27001 or SOC 2 Type II report provided annually; penetration test summary; encryption at rest and in transit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Governing law</w:t>
            </w:r>
          </w:p>
        </w:tc>
        <w:tc>
          <w:tcPr>
            <w:tcW w:type="dxa" w:w="2160"/>
          </w:tcPr>
          <w:p>
            <w:r>
              <w:t>Singapore law preferred; any other jurisdiction needs General Counsel approval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2. Red-flag clauses</w:t>
      </w:r>
    </w:p>
    <w:p>
      <w:pPr>
        <w:pStyle w:val="ListBullet"/>
      </w:pPr>
      <w:r>
        <w:t>Auto-renewal for more than 12 months with notice period over 90 days.</w:t>
      </w:r>
    </w:p>
    <w:p>
      <w:pPr>
        <w:pStyle w:val="ListBullet"/>
      </w:pPr>
      <w:r>
        <w:t>Unilateral right of the vendor to change fees or terms without consent.</w:t>
      </w:r>
    </w:p>
    <w:p>
      <w:pPr>
        <w:pStyle w:val="ListBullet"/>
      </w:pPr>
      <w:r>
        <w:t>Liability cap below 12 months of fees, or excluding data breach losses entirely.</w:t>
      </w:r>
    </w:p>
    <w:p>
      <w:pPr>
        <w:pStyle w:val="ListBullet"/>
      </w:pPr>
      <w:r>
        <w:t>Vendor right to use Aspire or customer data for its own purposes, including model training.</w:t>
      </w:r>
    </w:p>
    <w:p>
      <w:pPr>
        <w:pStyle w:val="ListBullet"/>
      </w:pPr>
      <w:r>
        <w:t>Data stored or processed in a location not disclosed or outside approved jurisdictions.</w:t>
      </w:r>
    </w:p>
    <w:p>
      <w:pPr>
        <w:pStyle w:val="ListBullet"/>
      </w:pPr>
      <w:r>
        <w:t>Exclusive dealing or minimum volume commitments not agreed by Finance.</w:t>
      </w:r>
    </w:p>
    <w:p>
      <w:pPr>
        <w:pStyle w:val="ListBullet"/>
      </w:pPr>
      <w:r>
        <w:t>No right for MAS or Aspire to audit.</w:t>
      </w:r>
    </w:p>
    <w:p>
      <w:pPr>
        <w:pStyle w:val="ListBullet"/>
      </w:pPr>
      <w:r>
        <w:t>Termination by vendor on less than 90 days' notice for a critical service.</w:t>
      </w:r>
    </w:p>
    <w:p>
      <w:pPr>
        <w:pStyle w:val="Heading1"/>
      </w:pPr>
      <w:r>
        <w:t>3. Risk rating</w:t>
      </w:r>
    </w:p>
    <w:p>
      <w:r>
        <w:t>Rate the vendor Low, Medium or High. A vendor is High if it processes customer personal data, supports payment processing or would cause disruption exceeding 4 hours if it failed. Material outsourcing arrangements require notification to MAS, which Compliance files before go-live.</w:t>
      </w:r>
    </w:p>
    <w:p>
      <w:pPr>
        <w:pStyle w:val="Heading1"/>
      </w:pPr>
      <w:r>
        <w:t>4. Sign-off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contract value (TCV)</w:t>
            </w:r>
          </w:p>
        </w:tc>
        <w:tc>
          <w:tcPr>
            <w:tcW w:type="dxa" w:w="4320"/>
          </w:tcPr>
          <w:p>
            <w:r>
              <w:t>Required approvals</w:t>
            </w:r>
          </w:p>
        </w:tc>
      </w:tr>
      <w:tr>
        <w:tc>
          <w:tcPr>
            <w:tcW w:type="dxa" w:w="4320"/>
          </w:tcPr>
          <w:p>
            <w:r>
              <w:t>Up to SGD 50,000</w:t>
            </w:r>
          </w:p>
        </w:tc>
        <w:tc>
          <w:tcPr>
            <w:tcW w:type="dxa" w:w="4320"/>
          </w:tcPr>
          <w:p>
            <w:r>
              <w:t>Department head and Legal Counsel</w:t>
            </w:r>
          </w:p>
        </w:tc>
      </w:tr>
      <w:tr>
        <w:tc>
          <w:tcPr>
            <w:tcW w:type="dxa" w:w="4320"/>
          </w:tcPr>
          <w:p>
            <w:r>
              <w:t>SGD 50,001 to SGD 250,000</w:t>
            </w:r>
          </w:p>
        </w:tc>
        <w:tc>
          <w:tcPr>
            <w:tcW w:type="dxa" w:w="4320"/>
          </w:tcPr>
          <w:p>
            <w:r>
              <w:t>Department head, Legal Counsel and Finance Director</w:t>
            </w:r>
          </w:p>
        </w:tc>
      </w:tr>
      <w:tr>
        <w:tc>
          <w:tcPr>
            <w:tcW w:type="dxa" w:w="4320"/>
          </w:tcPr>
          <w:p>
            <w:r>
              <w:t>SGD 250,001 to SGD 1,000,000</w:t>
            </w:r>
          </w:p>
        </w:tc>
        <w:tc>
          <w:tcPr>
            <w:tcW w:type="dxa" w:w="4320"/>
          </w:tcPr>
          <w:p>
            <w:r>
              <w:t>Above plus Chief Financial Officer</w:t>
            </w:r>
          </w:p>
        </w:tc>
      </w:tr>
      <w:tr>
        <w:tc>
          <w:tcPr>
            <w:tcW w:type="dxa" w:w="4320"/>
          </w:tcPr>
          <w:p>
            <w:r>
              <w:t>Above SGD 1,000,000</w:t>
            </w:r>
          </w:p>
        </w:tc>
        <w:tc>
          <w:tcPr>
            <w:tcW w:type="dxa" w:w="4320"/>
          </w:tcPr>
          <w:p>
            <w:r>
              <w:t>Above plus CEO and Board notification</w:t>
            </w:r>
          </w:p>
        </w:tc>
      </w:tr>
      <w:tr>
        <w:tc>
          <w:tcPr>
            <w:tcW w:type="dxa" w:w="4320"/>
          </w:tcPr>
          <w:p>
            <w:r>
              <w:t>Any High-risk or material outsourcing vendor</w:t>
            </w:r>
          </w:p>
        </w:tc>
        <w:tc>
          <w:tcPr>
            <w:tcW w:type="dxa" w:w="4320"/>
          </w:tcPr>
          <w:p>
            <w:r>
              <w:t>Above plus Chief Compliance Officer and CISO, regardless of value</w:t>
            </w:r>
          </w:p>
        </w:tc>
      </w:tr>
    </w:tbl>
    <w:p>
      <w:pPr>
        <w:pStyle w:val="Heading1"/>
      </w:pPr>
      <w:r>
        <w:t>5. Procedure</w:t>
      </w:r>
    </w:p>
    <w:p>
      <w:pPr>
        <w:pStyle w:val="ListBullet"/>
      </w:pPr>
      <w:r>
        <w:t>Business owner submits the contract, order form and vendor due diligence questionnaire in the Legal ticket.</w:t>
      </w:r>
    </w:p>
    <w:p>
      <w:pPr>
        <w:pStyle w:val="ListBullet"/>
      </w:pPr>
      <w:r>
        <w:t>Security completes a vendor security review for High-risk vendors within 10 business days.</w:t>
      </w:r>
    </w:p>
    <w:p>
      <w:pPr>
        <w:pStyle w:val="ListBullet"/>
      </w:pPr>
      <w:r>
        <w:t>Legal Counsel completes the checklist and negotiates deviations; any failed item needs a documented risk acceptance signed by the approvers above.</w:t>
      </w:r>
    </w:p>
    <w:p>
      <w:pPr>
        <w:pStyle w:val="ListBullet"/>
      </w:pPr>
      <w:r>
        <w:t>Executed contracts are stored in the contract register with renewal dates; Legal alerts owners 120 days before renewal.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