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Press Release Template and Approval Workflow</w:t>
      </w:r>
    </w:p>
    <w:p>
      <w:r>
        <w:t>Document ID: M04</w:t>
      </w:r>
    </w:p>
    <w:p>
      <w:r>
        <w:t>Department: Marketing</w:t>
      </w:r>
    </w:p>
    <w:p>
      <w:r>
        <w:t>Owner: Hannah Lim, Corporate Communications Manager</w:t>
      </w:r>
    </w:p>
    <w:p>
      <w:r>
        <w:t>Version: v1.0</w:t>
      </w:r>
    </w:p>
    <w:p>
      <w:r>
        <w:t>Effective Date: 2026-09-01</w:t>
      </w:r>
    </w:p>
    <w:p>
      <w:r>
        <w:t>Classification: Public</w:t>
      </w:r>
    </w:p>
    <w:p>
      <w:r>
        <w:t>Compartments: none</w:t>
      </w:r>
    </w:p>
    <w:p>
      <w:pPr>
        <w:pStyle w:val="Heading1"/>
      </w:pPr>
      <w:r>
        <w:t>1. Template</w:t>
      </w:r>
    </w:p>
    <w:p>
      <w:r>
        <w:t>FOR IMMEDIATE RELEASE / EMBARGOED UNTIL [DATE, TIME SGT]</w:t>
      </w:r>
    </w:p>
    <w:p>
      <w:r>
        <w:t>Headline: [Aspire Announces ... in 12 words or fewer]</w:t>
      </w:r>
    </w:p>
    <w:p>
      <w:r>
        <w:t>Sub-headline: [One sentence adding the key benefit or number]</w:t>
      </w:r>
    </w:p>
    <w:p>
      <w:r>
        <w:t>[CITY, Country], [Date] - Aspire Demo Pte Ltd ('Aspire'), the financial operating system for growing businesses in Southeast Asia, today announced [what]. The [product or partnership] will [benefit] for [audience], starting [date].</w:t>
      </w:r>
    </w:p>
    <w:p>
      <w:r>
        <w:t>Paragraph 2: [Why now: customer need or market context with a cited statistic and source.]</w:t>
      </w:r>
    </w:p>
    <w:p>
      <w:r>
        <w:t>Quote 1: "[Quote]", said [Spokesperson name], [Title], Aspire.</w:t>
      </w:r>
    </w:p>
    <w:p>
      <w:r>
        <w:t>Quote 2 (partner or customer, optional): "[Quote]", said [Name], [Title], [Organisation]. Written approval from the quoted person is mandatory.</w:t>
      </w:r>
    </w:p>
    <w:p>
      <w:r>
        <w:t>Paragraph 4: [Availability, pricing reference and how to get started. Pricing must match the current Pricing and Fee Schedule.]</w:t>
      </w:r>
    </w:p>
    <w:p>
      <w:pPr>
        <w:pStyle w:val="Heading1"/>
      </w:pPr>
      <w:r>
        <w:t>2. Boilerplate (About Aspire)</w:t>
      </w:r>
    </w:p>
    <w:p>
      <w:r>
        <w:t>Aspire Demo Pte Ltd is a Singapore-headquartered financial technology company that provides business accounts, corporate cards, spend management and payables for small and medium enterprises. Founded in Singapore, Aspire serves thousands of businesses and has about 420 employees across offices in Singapore, Ho Chi Minh City and Jakarta. Aspire is regulated by the Monetary Authority of Singapore. For more information, visit [website placeholder].</w:t>
      </w:r>
    </w:p>
    <w:p>
      <w:r>
        <w:t>Media contact: [Name], Corporate Communications, [placeholder email], [placeholder phone].</w:t>
      </w:r>
    </w:p>
    <w:p>
      <w:pPr>
        <w:pStyle w:val="Heading1"/>
      </w:pPr>
      <w:r>
        <w:t>3. Approval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Owner</w:t>
            </w:r>
          </w:p>
        </w:tc>
        <w:tc>
          <w:tcPr>
            <w:tcW w:type="dxa" w:w="2160"/>
          </w:tcPr>
          <w:p>
            <w:r>
              <w:t>SLA</w:t>
            </w:r>
          </w:p>
        </w:tc>
        <w:tc>
          <w:tcPr>
            <w:tcW w:type="dxa" w:w="2160"/>
          </w:tcPr>
          <w:p>
            <w:r>
              <w:t>Output</w:t>
            </w:r>
          </w:p>
        </w:tc>
      </w:tr>
      <w:tr>
        <w:tc>
          <w:tcPr>
            <w:tcW w:type="dxa" w:w="2160"/>
          </w:tcPr>
          <w:p>
            <w:r>
              <w:t>1. Draft</w:t>
            </w:r>
          </w:p>
        </w:tc>
        <w:tc>
          <w:tcPr>
            <w:tcW w:type="dxa" w:w="2160"/>
          </w:tcPr>
          <w:p>
            <w:r>
              <w:t>Marketing (Corporate Communications)</w:t>
            </w:r>
          </w:p>
        </w:tc>
        <w:tc>
          <w:tcPr>
            <w:tcW w:type="dxa" w:w="2160"/>
          </w:tcPr>
          <w:p>
            <w:r>
              <w:t>n/a</w:t>
            </w:r>
          </w:p>
        </w:tc>
        <w:tc>
          <w:tcPr>
            <w:tcW w:type="dxa" w:w="2160"/>
          </w:tcPr>
          <w:p>
            <w:r>
              <w:t>Draft v0.1 in template</w:t>
            </w:r>
          </w:p>
        </w:tc>
      </w:tr>
      <w:tr>
        <w:tc>
          <w:tcPr>
            <w:tcW w:type="dxa" w:w="2160"/>
          </w:tcPr>
          <w:p>
            <w:r>
              <w:t>2. Fact check</w:t>
            </w:r>
          </w:p>
        </w:tc>
        <w:tc>
          <w:tcPr>
            <w:tcW w:type="dxa" w:w="2160"/>
          </w:tcPr>
          <w:p>
            <w:r>
              <w:t>Product or business owner</w:t>
            </w:r>
          </w:p>
        </w:tc>
        <w:tc>
          <w:tcPr>
            <w:tcW w:type="dxa" w:w="2160"/>
          </w:tcPr>
          <w:p>
            <w:r>
              <w:t>1 business day</w:t>
            </w:r>
          </w:p>
        </w:tc>
        <w:tc>
          <w:tcPr>
            <w:tcW w:type="dxa" w:w="2160"/>
          </w:tcPr>
          <w:p>
            <w:r>
              <w:t>Numbers and claims confirmed</w:t>
            </w:r>
          </w:p>
        </w:tc>
      </w:tr>
      <w:tr>
        <w:tc>
          <w:tcPr>
            <w:tcW w:type="dxa" w:w="2160"/>
          </w:tcPr>
          <w:p>
            <w:r>
              <w:t>3. Legal review</w:t>
            </w:r>
          </w:p>
        </w:tc>
        <w:tc>
          <w:tcPr>
            <w:tcW w:type="dxa" w:w="2160"/>
          </w:tcPr>
          <w:p>
            <w:r>
              <w:t>Legal Counsel</w:t>
            </w:r>
          </w:p>
        </w:tc>
        <w:tc>
          <w:tcPr>
            <w:tcW w:type="dxa" w:w="2160"/>
          </w:tcPr>
          <w:p>
            <w:r>
              <w:t>2 business days</w:t>
            </w:r>
          </w:p>
        </w:tc>
        <w:tc>
          <w:tcPr>
            <w:tcW w:type="dxa" w:w="2160"/>
          </w:tcPr>
          <w:p>
            <w:r>
              <w:t>Legal approval comment</w:t>
            </w:r>
          </w:p>
        </w:tc>
      </w:tr>
      <w:tr>
        <w:tc>
          <w:tcPr>
            <w:tcW w:type="dxa" w:w="2160"/>
          </w:tcPr>
          <w:p>
            <w:r>
              <w:t>4. Compliance review</w:t>
            </w:r>
          </w:p>
        </w:tc>
        <w:tc>
          <w:tcPr>
            <w:tcW w:type="dxa" w:w="2160"/>
          </w:tcPr>
          <w:p>
            <w:r>
              <w:t>Compliance Officer</w:t>
            </w:r>
          </w:p>
        </w:tc>
        <w:tc>
          <w:tcPr>
            <w:tcW w:type="dxa" w:w="2160"/>
          </w:tcPr>
          <w:p>
            <w:r>
              <w:t>2 business days</w:t>
            </w:r>
          </w:p>
        </w:tc>
        <w:tc>
          <w:tcPr>
            <w:tcW w:type="dxa" w:w="2160"/>
          </w:tcPr>
          <w:p>
            <w:r>
              <w:t>Regulatory wording cleared</w:t>
            </w:r>
          </w:p>
        </w:tc>
      </w:tr>
      <w:tr>
        <w:tc>
          <w:tcPr>
            <w:tcW w:type="dxa" w:w="2160"/>
          </w:tcPr>
          <w:p>
            <w:r>
              <w:t>5. Executive sign-off</w:t>
            </w:r>
          </w:p>
        </w:tc>
        <w:tc>
          <w:tcPr>
            <w:tcW w:type="dxa" w:w="2160"/>
          </w:tcPr>
          <w:p>
            <w:r>
              <w:t>Chief Marketing Officer, plus CEO for M&amp;A or regulatory news</w:t>
            </w:r>
          </w:p>
        </w:tc>
        <w:tc>
          <w:tcPr>
            <w:tcW w:type="dxa" w:w="2160"/>
          </w:tcPr>
          <w:p>
            <w:r>
              <w:t>1 business day</w:t>
            </w:r>
          </w:p>
        </w:tc>
        <w:tc>
          <w:tcPr>
            <w:tcW w:type="dxa" w:w="2160"/>
          </w:tcPr>
          <w:p>
            <w:r>
              <w:t>Final version</w:t>
            </w:r>
          </w:p>
        </w:tc>
      </w:tr>
      <w:tr>
        <w:tc>
          <w:tcPr>
            <w:tcW w:type="dxa" w:w="2160"/>
          </w:tcPr>
          <w:p>
            <w:r>
              <w:t>6. Distribution</w:t>
            </w:r>
          </w:p>
        </w:tc>
        <w:tc>
          <w:tcPr>
            <w:tcW w:type="dxa" w:w="2160"/>
          </w:tcPr>
          <w:p>
            <w:r>
              <w:t>Corporate Communications</w:t>
            </w:r>
          </w:p>
        </w:tc>
        <w:tc>
          <w:tcPr>
            <w:tcW w:type="dxa" w:w="2160"/>
          </w:tcPr>
          <w:p>
            <w:r>
              <w:t>At embargo time</w:t>
            </w:r>
          </w:p>
        </w:tc>
        <w:tc>
          <w:tcPr>
            <w:tcW w:type="dxa" w:w="2160"/>
          </w:tcPr>
          <w:p>
            <w:r>
              <w:t>Release sent to media list</w:t>
            </w:r>
          </w:p>
        </w:tc>
      </w:tr>
    </w:tbl>
    <w:p>
      <w:r>
        <w:t>Steps 3 and 4 run in parallel. No release goes out without both approvals recorded in the Aspire Hub ticket. Releases touching licensing, MAS matters, incidents or acquisitions require the CEO's sign-off and a Legal check of listing and confidentiality obligations. Standard end-to-end lead time is 5 business days; urgent releases may be fast-tracked to 24 hours only with the CMO and General Counsel approving.</w:t>
      </w:r>
    </w:p>
    <w:p>
      <w:pPr>
        <w:pStyle w:val="Heading1"/>
      </w:pPr>
      <w:r>
        <w:t>4. Embargo rules</w:t>
      </w:r>
    </w:p>
    <w:p>
      <w:pPr>
        <w:pStyle w:val="ListBullet"/>
      </w:pPr>
      <w:r>
        <w:t>Embargoed copy may only be shared with named journalists under a written embargo notice.</w:t>
      </w:r>
    </w:p>
    <w:p>
      <w:pPr>
        <w:pStyle w:val="ListBullet"/>
      </w:pPr>
      <w:r>
        <w:t>Standard embargo time is 09:00 SGT on a weekday, avoiding public holidays.</w:t>
      </w:r>
    </w:p>
    <w:p>
      <w:pPr>
        <w:pStyle w:val="ListBullet"/>
      </w:pPr>
      <w:r>
        <w:t>Do not share financial results or customer numbers before they are published internally.</w:t>
      </w:r>
    </w:p>
    <w:p>
      <w:pPr>
        <w:pStyle w:val="ListBullet"/>
      </w:pPr>
      <w:r>
        <w:t>If an embargo is broken, notify Corporate Communications within 1 hour; the release may be brought forward.</w:t>
      </w:r>
    </w:p>
    <w:p>
      <w:pPr>
        <w:pStyle w:val="ListBullet"/>
      </w:pPr>
      <w:r>
        <w:t>Employees must not post about embargoed news on personal social media before release.</w:t>
      </w:r>
    </w:p>
    <w:p>
      <w:pPr>
        <w:pStyle w:val="Heading1"/>
      </w:pPr>
      <w:r>
        <w:t>5. Approved spokespersons by role</w:t>
      </w:r>
    </w:p>
    <w:tbl>
      <w:tblPr>
        <w:tblStyle w:val="TableGrid"/>
        <w:tblW w:type="auto" w:w="0"/>
        <w:tblLook w:firstColumn="1" w:firstRow="1" w:lastColumn="0" w:lastRow="0" w:noHBand="0" w:noVBand="1" w:val="04A0"/>
      </w:tblPr>
      <w:tblGrid>
        <w:gridCol w:w="4320"/>
        <w:gridCol w:w="4320"/>
      </w:tblGrid>
      <w:tr>
        <w:tc>
          <w:tcPr>
            <w:tcW w:type="dxa" w:w="4320"/>
          </w:tcPr>
          <w:p>
            <w:r>
              <w:t>Topic</w:t>
            </w:r>
          </w:p>
        </w:tc>
        <w:tc>
          <w:tcPr>
            <w:tcW w:type="dxa" w:w="4320"/>
          </w:tcPr>
          <w:p>
            <w:r>
              <w:t>Spokesperson role</w:t>
            </w:r>
          </w:p>
        </w:tc>
      </w:tr>
      <w:tr>
        <w:tc>
          <w:tcPr>
            <w:tcW w:type="dxa" w:w="4320"/>
          </w:tcPr>
          <w:p>
            <w:r>
              <w:t>Company strategy, funding, M&amp;A</w:t>
            </w:r>
          </w:p>
        </w:tc>
        <w:tc>
          <w:tcPr>
            <w:tcW w:type="dxa" w:w="4320"/>
          </w:tcPr>
          <w:p>
            <w:r>
              <w:t>Chief Executive Officer</w:t>
            </w:r>
          </w:p>
        </w:tc>
      </w:tr>
      <w:tr>
        <w:tc>
          <w:tcPr>
            <w:tcW w:type="dxa" w:w="4320"/>
          </w:tcPr>
          <w:p>
            <w:r>
              <w:t>Products and pricing</w:t>
            </w:r>
          </w:p>
        </w:tc>
        <w:tc>
          <w:tcPr>
            <w:tcW w:type="dxa" w:w="4320"/>
          </w:tcPr>
          <w:p>
            <w:r>
              <w:t>Chief Product Officer</w:t>
            </w:r>
          </w:p>
        </w:tc>
      </w:tr>
      <w:tr>
        <w:tc>
          <w:tcPr>
            <w:tcW w:type="dxa" w:w="4320"/>
          </w:tcPr>
          <w:p>
            <w:r>
              <w:t>Regulatory and licensing</w:t>
            </w:r>
          </w:p>
        </w:tc>
        <w:tc>
          <w:tcPr>
            <w:tcW w:type="dxa" w:w="4320"/>
          </w:tcPr>
          <w:p>
            <w:r>
              <w:t>Chief Compliance Officer or Head of Regulatory Affairs</w:t>
            </w:r>
          </w:p>
        </w:tc>
      </w:tr>
      <w:tr>
        <w:tc>
          <w:tcPr>
            <w:tcW w:type="dxa" w:w="4320"/>
          </w:tcPr>
          <w:p>
            <w:r>
              <w:t>Security and incidents</w:t>
            </w:r>
          </w:p>
        </w:tc>
        <w:tc>
          <w:tcPr>
            <w:tcW w:type="dxa" w:w="4320"/>
          </w:tcPr>
          <w:p>
            <w:r>
              <w:t>Chief Technology Officer, with Corporate Communications</w:t>
            </w:r>
          </w:p>
        </w:tc>
      </w:tr>
      <w:tr>
        <w:tc>
          <w:tcPr>
            <w:tcW w:type="dxa" w:w="4320"/>
          </w:tcPr>
          <w:p>
            <w:r>
              <w:t>Vietnam and Indonesia markets</w:t>
            </w:r>
          </w:p>
        </w:tc>
        <w:tc>
          <w:tcPr>
            <w:tcW w:type="dxa" w:w="4320"/>
          </w:tcPr>
          <w:p>
            <w:r>
              <w:t>Country Manager</w:t>
            </w:r>
          </w:p>
        </w:tc>
      </w:tr>
      <w:tr>
        <w:tc>
          <w:tcPr>
            <w:tcW w:type="dxa" w:w="4320"/>
          </w:tcPr>
          <w:p>
            <w:r>
              <w:t>Customer stories</w:t>
            </w:r>
          </w:p>
        </w:tc>
        <w:tc>
          <w:tcPr>
            <w:tcW w:type="dxa" w:w="4320"/>
          </w:tcPr>
          <w:p>
            <w:r>
              <w:t>Head of Customer Success</w:t>
            </w:r>
          </w:p>
        </w:tc>
      </w:tr>
    </w:tbl>
    <w:p>
      <w:r>
        <w:t>No other employee may speak to the media on Aspire's behalf. Media enquiries received by anyone else should be forwarded to Corporate Communications within 2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