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Vietnam Licensing Notes: Corporate Card Launch</w:t>
      </w:r>
    </w:p>
    <w:p>
      <w:r>
        <w:t>Document ID: J04</w:t>
      </w:r>
    </w:p>
    <w:p>
      <w:r>
        <w:t>Department: Legal and Regulatory</w:t>
      </w:r>
    </w:p>
    <w:p>
      <w:r>
        <w:t>Owner: Nguyen Thanh Huong, Regional Legal Counsel Vietnam</w:t>
      </w:r>
    </w:p>
    <w:p>
      <w:r>
        <w:t>Version: v0.2 draft</w:t>
      </w:r>
    </w:p>
    <w:p>
      <w:r>
        <w:t>Effective Date: 2026-10-01</w:t>
      </w:r>
    </w:p>
    <w:p>
      <w:r>
        <w:t>Classification: Internal</w:t>
      </w:r>
    </w:p>
    <w:p>
      <w:r>
        <w:t>Compartments: none</w:t>
      </w:r>
    </w:p>
    <w:p>
      <w:r>
        <w:t>Working notes for proj_card_launch_vn. Target go-live is 2027-02-01 with a VND corporate card pilot of 150 SMEs. These notes are not legal advice. All items marked 'to be confirmed by local counsel' (TBC-LC) are placeholders and must be verified before any external use.</w:t>
      </w:r>
    </w:p>
    <w:p>
      <w:pPr>
        <w:pStyle w:val="Heading1"/>
      </w:pPr>
      <w:r>
        <w:t>1. Regulatory landscape</w:t>
      </w:r>
    </w:p>
    <w:p>
      <w:r>
        <w:t>Card issuing and payment services in Vietnam are regulated by the State Bank of Vietnam (SBV). Foreign-owned entities generally cannot issue cards or offer payment intermediary services without a locally licensed institution. For this reason the project follows a partner-led model, with Aspire acting as technology and programme manager and a licensed partner acting as issuer of record. Applicable law and circulars to be identified by local counsel (TBC-LC).</w:t>
      </w:r>
    </w:p>
    <w:p>
      <w:pPr>
        <w:pStyle w:val="Heading1"/>
      </w:pPr>
      <w:r>
        <w:t>2. Structure options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Option</w:t>
            </w:r>
          </w:p>
        </w:tc>
        <w:tc>
          <w:tcPr>
            <w:tcW w:type="dxa" w:w="2160"/>
          </w:tcPr>
          <w:p>
            <w:r>
              <w:t>Description</w:t>
            </w:r>
          </w:p>
        </w:tc>
        <w:tc>
          <w:tcPr>
            <w:tcW w:type="dxa" w:w="2160"/>
          </w:tcPr>
          <w:p>
            <w:r>
              <w:t>Pros</w:t>
            </w:r>
          </w:p>
        </w:tc>
        <w:tc>
          <w:tcPr>
            <w:tcW w:type="dxa" w:w="2160"/>
          </w:tcPr>
          <w:p>
            <w:r>
              <w:t>Cons</w:t>
            </w:r>
          </w:p>
        </w:tc>
      </w:tr>
      <w:tr>
        <w:tc>
          <w:tcPr>
            <w:tcW w:type="dxa" w:w="2160"/>
          </w:tcPr>
          <w:p>
            <w:r>
              <w:t>A. Partner bank issuer</w:t>
            </w:r>
          </w:p>
        </w:tc>
        <w:tc>
          <w:tcPr>
            <w:tcW w:type="dxa" w:w="2160"/>
          </w:tcPr>
          <w:p>
            <w:r>
              <w:t>A licensed Vietnamese bank issues VND cards under its BIN; Aspire provides platform and spend management</w:t>
            </w:r>
          </w:p>
        </w:tc>
        <w:tc>
          <w:tcPr>
            <w:tcW w:type="dxa" w:w="2160"/>
          </w:tcPr>
          <w:p>
            <w:r>
              <w:t>Fastest, lowest capital need, 5 to 7 month path</w:t>
            </w:r>
          </w:p>
        </w:tc>
        <w:tc>
          <w:tcPr>
            <w:tcW w:type="dxa" w:w="2160"/>
          </w:tcPr>
          <w:p>
            <w:r>
              <w:t>Dependence on partner, revenue share</w:t>
            </w:r>
          </w:p>
        </w:tc>
      </w:tr>
      <w:tr>
        <w:tc>
          <w:tcPr>
            <w:tcW w:type="dxa" w:w="2160"/>
          </w:tcPr>
          <w:p>
            <w:r>
              <w:t>B. Licensed payment intermediary</w:t>
            </w:r>
          </w:p>
        </w:tc>
        <w:tc>
          <w:tcPr>
            <w:tcW w:type="dxa" w:w="2160"/>
          </w:tcPr>
          <w:p>
            <w:r>
              <w:t>Aspire partners with an SBV-licensed payment intermediary for wallet and settlement functions</w:t>
            </w:r>
          </w:p>
        </w:tc>
        <w:tc>
          <w:tcPr>
            <w:tcW w:type="dxa" w:w="2160"/>
          </w:tcPr>
          <w:p>
            <w:r>
              <w:t>Flexible product design</w:t>
            </w:r>
          </w:p>
        </w:tc>
        <w:tc>
          <w:tcPr>
            <w:tcW w:type="dxa" w:w="2160"/>
          </w:tcPr>
          <w:p>
            <w:r>
              <w:t>Limits on card issuing; double partner margin</w:t>
            </w:r>
          </w:p>
        </w:tc>
      </w:tr>
      <w:tr>
        <w:tc>
          <w:tcPr>
            <w:tcW w:type="dxa" w:w="2160"/>
          </w:tcPr>
          <w:p>
            <w:r>
              <w:t>C. Own licence via local entity</w:t>
            </w:r>
          </w:p>
        </w:tc>
        <w:tc>
          <w:tcPr>
            <w:tcW w:type="dxa" w:w="2160"/>
          </w:tcPr>
          <w:p>
            <w:r>
              <w:t>Aspire incorporates a Vietnamese entity and applies for its own licence</w:t>
            </w:r>
          </w:p>
        </w:tc>
        <w:tc>
          <w:tcPr>
            <w:tcW w:type="dxa" w:w="2160"/>
          </w:tcPr>
          <w:p>
            <w:r>
              <w:t>Full control</w:t>
            </w:r>
          </w:p>
        </w:tc>
        <w:tc>
          <w:tcPr>
            <w:tcW w:type="dxa" w:w="2160"/>
          </w:tcPr>
          <w:p>
            <w:r>
              <w:t>18 to 24 months, high capital; not feasible for 2027-02-01</w:t>
            </w:r>
          </w:p>
        </w:tc>
      </w:tr>
    </w:tbl>
    <w:p>
      <w:r>
        <w:t>Recommendation: Option A for the pilot, with Option B evaluated for FX and settlement features in phase 2.</w:t>
      </w:r>
    </w:p>
    <w:p>
      <w:pPr>
        <w:pStyle w:val="Heading1"/>
      </w:pPr>
      <w:r>
        <w:t>3. SBV approval stages (partner-led)</w:t>
      </w:r>
    </w:p>
    <w:p>
      <w:pPr>
        <w:pStyle w:val="ListBullet"/>
      </w:pPr>
      <w:r>
        <w:t>Stage 1, partner selection and term sheet: complete shortlist of 3 banks by 2026-10-31; target signed MoU by 2026-11-15.</w:t>
      </w:r>
    </w:p>
    <w:p>
      <w:pPr>
        <w:pStyle w:val="ListBullet"/>
      </w:pPr>
      <w:r>
        <w:t>Stage 2, partner due diligence on Aspire (KYC/AML, security, data): 4 to 6 weeks, December 2026.</w:t>
      </w:r>
    </w:p>
    <w:p>
      <w:pPr>
        <w:pStyle w:val="ListBullet"/>
      </w:pPr>
      <w:r>
        <w:t>Stage 3, partner submits notification or approval request to SBV for the new card programme: expected processing 30 to 60 working days (TBC-LC).</w:t>
      </w:r>
    </w:p>
    <w:p>
      <w:pPr>
        <w:pStyle w:val="ListBullet"/>
      </w:pPr>
      <w:r>
        <w:t>Stage 4, card scheme (Napas or international scheme) onboarding and BIN sponsorship: 6 to 8 weeks, partly in parallel.</w:t>
      </w:r>
    </w:p>
    <w:p>
      <w:pPr>
        <w:pStyle w:val="ListBullet"/>
      </w:pPr>
      <w:r>
        <w:t>Stage 5, pilot readiness review and go-live: target 2027-02-01. Float of 4 weeks exists; if SBV response extends beyond 2027-01-15, go-live moves to March 2027.</w:t>
      </w:r>
    </w:p>
    <w:p>
      <w:pPr>
        <w:pStyle w:val="Heading1"/>
      </w:pPr>
      <w:r>
        <w:t>4. Capital and financial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Placeholder value</w:t>
            </w:r>
          </w:p>
        </w:tc>
        <w:tc>
          <w:tcPr>
            <w:tcW w:type="dxa" w:w="2880"/>
          </w:tcPr>
          <w:p>
            <w:r>
              <w:t>Status</w:t>
            </w:r>
          </w:p>
        </w:tc>
      </w:tr>
      <w:tr>
        <w:tc>
          <w:tcPr>
            <w:tcW w:type="dxa" w:w="2880"/>
          </w:tcPr>
          <w:p>
            <w:r>
              <w:t>Minimum charter capital for a payment intermediary</w:t>
            </w:r>
          </w:p>
        </w:tc>
        <w:tc>
          <w:tcPr>
            <w:tcW w:type="dxa" w:w="2880"/>
          </w:tcPr>
          <w:p>
            <w:r>
              <w:t>VND [X] billion</w:t>
            </w:r>
          </w:p>
        </w:tc>
        <w:tc>
          <w:tcPr>
            <w:tcW w:type="dxa" w:w="2880"/>
          </w:tcPr>
          <w:p>
            <w:r>
              <w:t>To be confirmed by local counsel</w:t>
            </w:r>
          </w:p>
        </w:tc>
      </w:tr>
      <w:tr>
        <w:tc>
          <w:tcPr>
            <w:tcW w:type="dxa" w:w="2880"/>
          </w:tcPr>
          <w:p>
            <w:r>
              <w:t>Capital requirement for card issuing institution</w:t>
            </w:r>
          </w:p>
        </w:tc>
        <w:tc>
          <w:tcPr>
            <w:tcW w:type="dxa" w:w="2880"/>
          </w:tcPr>
          <w:p>
            <w:r>
              <w:t>VND [X] billion (borne by partner under Option A)</w:t>
            </w:r>
          </w:p>
        </w:tc>
        <w:tc>
          <w:tcPr>
            <w:tcW w:type="dxa" w:w="2880"/>
          </w:tcPr>
          <w:p>
            <w:r>
              <w:t>To be confirmed by local counsel</w:t>
            </w:r>
          </w:p>
        </w:tc>
      </w:tr>
      <w:tr>
        <w:tc>
          <w:tcPr>
            <w:tcW w:type="dxa" w:w="2880"/>
          </w:tcPr>
          <w:p>
            <w:r>
              <w:t>Settlement and escrow account</w:t>
            </w:r>
          </w:p>
        </w:tc>
        <w:tc>
          <w:tcPr>
            <w:tcW w:type="dxa" w:w="2880"/>
          </w:tcPr>
          <w:p>
            <w:r>
              <w:t>VND [X] million per pilot cohort</w:t>
            </w:r>
          </w:p>
        </w:tc>
        <w:tc>
          <w:tcPr>
            <w:tcW w:type="dxa" w:w="2880"/>
          </w:tcPr>
          <w:p>
            <w:r>
              <w:t>To be confirmed by local counsel</w:t>
            </w:r>
          </w:p>
        </w:tc>
      </w:tr>
      <w:tr>
        <w:tc>
          <w:tcPr>
            <w:tcW w:type="dxa" w:w="2880"/>
          </w:tcPr>
          <w:p>
            <w:r>
              <w:t>Foreign investment ownership limits</w:t>
            </w:r>
          </w:p>
        </w:tc>
        <w:tc>
          <w:tcPr>
            <w:tcW w:type="dxa" w:w="2880"/>
          </w:tcPr>
          <w:p>
            <w:r>
              <w:t>[X]%</w:t>
            </w:r>
          </w:p>
        </w:tc>
        <w:tc>
          <w:tcPr>
            <w:tcW w:type="dxa" w:w="2880"/>
          </w:tcPr>
          <w:p>
            <w:r>
              <w:t>To be confirmed by local counsel</w:t>
            </w:r>
          </w:p>
        </w:tc>
      </w:tr>
      <w:tr>
        <w:tc>
          <w:tcPr>
            <w:tcW w:type="dxa" w:w="2880"/>
          </w:tcPr>
          <w:p>
            <w:r>
              <w:t>Foreign exchange controls on inbound/outbound funds</w:t>
            </w:r>
          </w:p>
        </w:tc>
        <w:tc>
          <w:tcPr>
            <w:tcW w:type="dxa" w:w="2880"/>
          </w:tcPr>
          <w:p>
            <w:r>
              <w:t>Per SBV rules</w:t>
            </w:r>
          </w:p>
        </w:tc>
        <w:tc>
          <w:tcPr>
            <w:tcW w:type="dxa" w:w="2880"/>
          </w:tcPr>
          <w:p>
            <w:r>
              <w:t>To be confirmed by local counsel</w:t>
            </w:r>
          </w:p>
        </w:tc>
      </w:tr>
    </w:tbl>
    <w:p>
      <w:r>
        <w:t>No capital figure has been validated. Finance has set aside an indicative provision of SGD 250k for legal fees and partner onboarding costs within the programme budget, separate from the SGD 800k marketing budget.</w:t>
      </w:r>
    </w:p>
    <w:p>
      <w:pPr>
        <w:pStyle w:val="Heading1"/>
      </w:pPr>
      <w:r>
        <w:t>5. Data localisation and security</w:t>
      </w:r>
    </w:p>
    <w:p>
      <w:pPr>
        <w:pStyle w:val="ListBullet"/>
      </w:pPr>
      <w:r>
        <w:t>Vietnam's data laws may require storage of certain personal data of Vietnamese users on servers in Vietnam, and in some cases a local branch or representative office; scope to be confirmed by local counsel.</w:t>
      </w:r>
    </w:p>
    <w:p>
      <w:pPr>
        <w:pStyle w:val="ListBullet"/>
      </w:pPr>
      <w:r>
        <w:t>Working assumption: customer and transaction data for VND cards is stored in a Vietnam-hosted environment operated with the partner, with a replicated minimised dataset in Singapore.</w:t>
      </w:r>
    </w:p>
    <w:p>
      <w:pPr>
        <w:pStyle w:val="ListBullet"/>
      </w:pPr>
      <w:r>
        <w:t>A data transfer impact assessment is required, prepared by the Singapore DPO, before any cross-border flow.</w:t>
      </w:r>
    </w:p>
    <w:p>
      <w:pPr>
        <w:pStyle w:val="ListBullet"/>
      </w:pPr>
      <w:r>
        <w:t>Cardholder data must satisfy PCI DSS and SBV information security requirements; the partner will require evidence of a security assessment.</w:t>
      </w:r>
    </w:p>
    <w:p>
      <w:pPr>
        <w:pStyle w:val="Heading1"/>
      </w:pPr>
      <w:r>
        <w:t>6. Key risks</w:t>
      </w:r>
    </w:p>
    <w:p>
      <w:pPr>
        <w:pStyle w:val="ListBullet"/>
      </w:pPr>
      <w:r>
        <w:t>SBV timing is outside our control and may delay go-live beyond February 2027.</w:t>
      </w:r>
    </w:p>
    <w:p>
      <w:pPr>
        <w:pStyle w:val="ListBullet"/>
      </w:pPr>
      <w:r>
        <w:t>Partner bank bargaining power on revenue share and exclusivity.</w:t>
      </w:r>
    </w:p>
    <w:p>
      <w:pPr>
        <w:pStyle w:val="ListBullet"/>
      </w:pPr>
      <w:r>
        <w:t>Interpretation of data localisation rules could change the architecture and cost.</w:t>
      </w:r>
    </w:p>
    <w:p>
      <w:pPr>
        <w:pStyle w:val="ListBullet"/>
      </w:pPr>
      <w:r>
        <w:t>Foreign exchange constraints on funding of VND cards.</w:t>
      </w:r>
    </w:p>
    <w:p>
      <w:pPr>
        <w:pStyle w:val="ListBullet"/>
      </w:pPr>
      <w:r>
        <w:t>Marketing may not begin paid campaigns until the partner confirms regulatory status.</w:t>
      </w:r>
    </w:p>
    <w:p>
      <w:pPr>
        <w:pStyle w:val="Heading1"/>
      </w:pPr>
      <w:r>
        <w:t>7. Next actions</w:t>
      </w:r>
    </w:p>
    <w:p>
      <w:pPr>
        <w:pStyle w:val="ListBullet"/>
      </w:pPr>
      <w:r>
        <w:t>Engage Vietnamese law firm for opinion on options A and B by 2026-11-06 (owner: Legal).</w:t>
      </w:r>
    </w:p>
    <w:p>
      <w:pPr>
        <w:pStyle w:val="ListBullet"/>
      </w:pPr>
      <w:r>
        <w:t>Issue RFP to the 3 shortlisted banks by 2026-10-20 (owner: Business Development).</w:t>
      </w:r>
    </w:p>
    <w:p>
      <w:pPr>
        <w:pStyle w:val="ListBullet"/>
      </w:pPr>
      <w:r>
        <w:t>Draft data localisation architecture note (owner: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