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Merger: Interim Due Diligence Report on PayNest Pte Ltd</w:t>
      </w:r>
    </w:p>
    <w:p>
      <w:r>
        <w:t>Document ID: J01</w:t>
      </w:r>
    </w:p>
    <w:p>
      <w:r>
        <w:t>Department: Corporate Development</w:t>
      </w:r>
    </w:p>
    <w:p>
      <w:r>
        <w:t>Owner: Jonathan Seah, VP Corporate Development</w:t>
      </w:r>
    </w:p>
    <w:p>
      <w:r>
        <w:t>Version: v0.4 interim</w:t>
      </w:r>
    </w:p>
    <w:p>
      <w:r>
        <w:t>Effective Date: 2026-10-02</w:t>
      </w:r>
    </w:p>
    <w:p>
      <w:r>
        <w:t>Classification: Internal</w:t>
      </w:r>
    </w:p>
    <w:p>
      <w:r>
        <w:t>Compartments: none</w:t>
      </w:r>
    </w:p>
    <w:p>
      <w:r>
        <w:t>Prepared for the Project Merger steering committee. Status: interim, as at 2026-10-02. Due diligence is led jointly by Finance, Legal and Compliance. Target signing date is 2026-12-15. This document is strictly for Project Merger team members.</w:t>
      </w:r>
    </w:p>
    <w:p>
      <w:pPr>
        <w:pStyle w:val="Heading1"/>
      </w:pPr>
      <w:r>
        <w:t>1. Executive summary</w:t>
      </w:r>
    </w:p>
    <w:p>
      <w:r>
        <w:t>PayNest Pte Ltd is a Singapore payments startup with 38 staff, annual revenue of about SGD 4.1M and a Major Payment Institution (MPI) licence. Aspire is considering acquiring it at an indicative price range of SGD 28M to SGD 34M. Our interim view is that the business is strategically attractive but the price should be set towards the lower half of the range, and signing should be subject to conditions arising from AML/CFT programme gaps and customer concentration.</w:t>
      </w:r>
    </w:p>
    <w:p>
      <w:pPr>
        <w:pStyle w:val="Heading1"/>
      </w:pPr>
      <w:r>
        <w:t>2. Findings by workstream (RAG)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Workstream</w:t>
            </w:r>
          </w:p>
        </w:tc>
        <w:tc>
          <w:tcPr>
            <w:tcW w:type="dxa" w:w="2160"/>
          </w:tcPr>
          <w:p>
            <w:r>
              <w:t>Lead</w:t>
            </w:r>
          </w:p>
        </w:tc>
        <w:tc>
          <w:tcPr>
            <w:tcW w:type="dxa" w:w="2160"/>
          </w:tcPr>
          <w:p>
            <w:r>
              <w:t>RAG</w:t>
            </w:r>
          </w:p>
        </w:tc>
        <w:tc>
          <w:tcPr>
            <w:tcW w:type="dxa" w:w="2160"/>
          </w:tcPr>
          <w:p>
            <w:r>
              <w:t>Headline finding</w:t>
            </w:r>
          </w:p>
        </w:tc>
      </w:tr>
      <w:tr>
        <w:tc>
          <w:tcPr>
            <w:tcW w:type="dxa" w:w="2160"/>
          </w:tcPr>
          <w:p>
            <w:r>
              <w:t>Financial</w:t>
            </w:r>
          </w:p>
        </w:tc>
        <w:tc>
          <w:tcPr>
            <w:tcW w:type="dxa" w:w="2160"/>
          </w:tcPr>
          <w:p>
            <w:r>
              <w:t>Finance</w:t>
            </w:r>
          </w:p>
        </w:tc>
        <w:tc>
          <w:tcPr>
            <w:tcW w:type="dxa" w:w="2160"/>
          </w:tcPr>
          <w:p>
            <w:r>
              <w:t>Amber</w:t>
            </w:r>
          </w:p>
        </w:tc>
        <w:tc>
          <w:tcPr>
            <w:tcW w:type="dxa" w:w="2160"/>
          </w:tcPr>
          <w:p>
            <w:r>
              <w:t>Revenue SGD 4.1M, EBITDA loss of SGD 0.9M; top 3 customers are 46% of revenue</w:t>
            </w:r>
          </w:p>
        </w:tc>
      </w:tr>
      <w:tr>
        <w:tc>
          <w:tcPr>
            <w:tcW w:type="dxa" w:w="2160"/>
          </w:tcPr>
          <w:p>
            <w:r>
              <w:t>Legal</w:t>
            </w:r>
          </w:p>
        </w:tc>
        <w:tc>
          <w:tcPr>
            <w:tcW w:type="dxa" w:w="2160"/>
          </w:tcPr>
          <w:p>
            <w:r>
              <w:t>Legal</w:t>
            </w:r>
          </w:p>
        </w:tc>
        <w:tc>
          <w:tcPr>
            <w:tcW w:type="dxa" w:w="2160"/>
          </w:tcPr>
          <w:p>
            <w:r>
              <w:t>Amber</w:t>
            </w:r>
          </w:p>
        </w:tc>
        <w:tc>
          <w:tcPr>
            <w:tcW w:type="dxa" w:w="2160"/>
          </w:tcPr>
          <w:p>
            <w:r>
              <w:t>2 customer contracts with change-of-control clauses; 1 pending IP claim</w:t>
            </w:r>
          </w:p>
        </w:tc>
      </w:tr>
      <w:tr>
        <w:tc>
          <w:tcPr>
            <w:tcW w:type="dxa" w:w="2160"/>
          </w:tcPr>
          <w:p>
            <w:r>
              <w:t>Compliance (AML/CFT)</w:t>
            </w:r>
          </w:p>
        </w:tc>
        <w:tc>
          <w:tcPr>
            <w:tcW w:type="dxa" w:w="2160"/>
          </w:tcPr>
          <w:p>
            <w:r>
              <w:t>Compliance</w:t>
            </w:r>
          </w:p>
        </w:tc>
        <w:tc>
          <w:tcPr>
            <w:tcW w:type="dxa" w:w="2160"/>
          </w:tcPr>
          <w:p>
            <w:r>
              <w:t>Red</w:t>
            </w:r>
          </w:p>
        </w:tc>
        <w:tc>
          <w:tcPr>
            <w:tcW w:type="dxa" w:w="2160"/>
          </w:tcPr>
          <w:p>
            <w:r>
              <w:t>Material gaps in transaction monitoring and sanctions screening</w:t>
            </w:r>
          </w:p>
        </w:tc>
      </w:tr>
      <w:tr>
        <w:tc>
          <w:tcPr>
            <w:tcW w:type="dxa" w:w="2160"/>
          </w:tcPr>
          <w:p>
            <w:r>
              <w:t>Technology</w:t>
            </w:r>
          </w:p>
        </w:tc>
        <w:tc>
          <w:tcPr>
            <w:tcW w:type="dxa" w:w="2160"/>
          </w:tcPr>
          <w:p>
            <w:r>
              <w:t>Engineering</w:t>
            </w:r>
          </w:p>
        </w:tc>
        <w:tc>
          <w:tcPr>
            <w:tcW w:type="dxa" w:w="2160"/>
          </w:tcPr>
          <w:p>
            <w:r>
              <w:t>Amber</w:t>
            </w:r>
          </w:p>
        </w:tc>
        <w:tc>
          <w:tcPr>
            <w:tcW w:type="dxa" w:w="2160"/>
          </w:tcPr>
          <w:p>
            <w:r>
              <w:t>Monolithic platform, 71% unit test coverage, key-person dependency</w:t>
            </w:r>
          </w:p>
        </w:tc>
      </w:tr>
      <w:tr>
        <w:tc>
          <w:tcPr>
            <w:tcW w:type="dxa" w:w="2160"/>
          </w:tcPr>
          <w:p>
            <w:r>
              <w:t>People</w:t>
            </w:r>
          </w:p>
        </w:tc>
        <w:tc>
          <w:tcPr>
            <w:tcW w:type="dxa" w:w="2160"/>
          </w:tcPr>
          <w:p>
            <w:r>
              <w:t>HR</w:t>
            </w:r>
          </w:p>
        </w:tc>
        <w:tc>
          <w:tcPr>
            <w:tcW w:type="dxa" w:w="2160"/>
          </w:tcPr>
          <w:p>
            <w:r>
              <w:t>Green</w:t>
            </w:r>
          </w:p>
        </w:tc>
        <w:tc>
          <w:tcPr>
            <w:tcW w:type="dxa" w:w="2160"/>
          </w:tcPr>
          <w:p>
            <w:r>
              <w:t>Low attrition; 6 key staff identified for retention</w:t>
            </w:r>
          </w:p>
        </w:tc>
      </w:tr>
    </w:tbl>
    <w:p>
      <w:pPr>
        <w:pStyle w:val="Heading1"/>
      </w:pPr>
      <w:r>
        <w:t>3. Financial</w:t>
      </w:r>
    </w:p>
    <w:p>
      <w:pPr>
        <w:pStyle w:val="ListBullet"/>
      </w:pPr>
      <w:r>
        <w:t>FY2025 revenue was SGD 3.6M and FY2026 forecast is SGD 4.1M, growth of 14%.</w:t>
      </w:r>
    </w:p>
    <w:p>
      <w:pPr>
        <w:pStyle w:val="ListBullet"/>
      </w:pPr>
      <w:r>
        <w:t>Gross margin of 58%; cash burn of SGD 0.4M per quarter; cash runway is 7 months without new funding.</w:t>
      </w:r>
    </w:p>
    <w:p>
      <w:pPr>
        <w:pStyle w:val="ListBullet"/>
      </w:pPr>
      <w:r>
        <w:t>Customer concentration: top 3 customers represent 46% of revenue, and the largest alone 21%.</w:t>
      </w:r>
    </w:p>
    <w:p>
      <w:pPr>
        <w:pStyle w:val="ListBullet"/>
      </w:pPr>
      <w:r>
        <w:t>Quality of earnings review found SGD 0.3M of capitalised development costs that should be expensed, reducing equity value.</w:t>
      </w:r>
    </w:p>
    <w:p>
      <w:pPr>
        <w:pStyle w:val="Heading1"/>
      </w:pPr>
      <w:r>
        <w:t>4. Legal</w:t>
      </w:r>
    </w:p>
    <w:p>
      <w:pPr>
        <w:pStyle w:val="ListBullet"/>
      </w:pPr>
      <w:r>
        <w:t>Two customer contracts, representing 17% of revenue, allow termination on change of control.</w:t>
      </w:r>
    </w:p>
    <w:p>
      <w:pPr>
        <w:pStyle w:val="ListBullet"/>
      </w:pPr>
      <w:r>
        <w:t>A pending copyright claim from a former contractor relating to the reconciliation module; potential exposure SGD 150k to SGD 400k.</w:t>
      </w:r>
    </w:p>
    <w:p>
      <w:pPr>
        <w:pStyle w:val="ListBullet"/>
      </w:pPr>
      <w:r>
        <w:t>Employment contracts are standard; 4 senior employees have 6-month notice periods.</w:t>
      </w:r>
    </w:p>
    <w:p>
      <w:pPr>
        <w:pStyle w:val="ListBullet"/>
      </w:pPr>
      <w:r>
        <w:t>Corporate records are complete; no encumbrances on shares found.</w:t>
      </w:r>
    </w:p>
    <w:p>
      <w:pPr>
        <w:pStyle w:val="Heading1"/>
      </w:pPr>
      <w:r>
        <w:t>5. Compliance</w:t>
      </w:r>
    </w:p>
    <w:p>
      <w:r>
        <w:t>PayNest holds a MPI licence and was last inspected by MAS in 2024. Our review found the following gaps in its AML/CFT programme.</w:t>
      </w:r>
    </w:p>
    <w:p>
      <w:pPr>
        <w:pStyle w:val="ListBullet"/>
      </w:pPr>
      <w:r>
        <w:t>Transaction monitoring uses 14 static rules with no tuning for 18 months; alert backlog of about 1,900 alerts older than 30 days.</w:t>
      </w:r>
    </w:p>
    <w:p>
      <w:pPr>
        <w:pStyle w:val="ListBullet"/>
      </w:pPr>
      <w:r>
        <w:t>Sanctions screening runs in daily batch and not at onboarding for corporate beneficial owners.</w:t>
      </w:r>
    </w:p>
    <w:p>
      <w:pPr>
        <w:pStyle w:val="ListBullet"/>
      </w:pPr>
      <w:r>
        <w:t>The enterprise-wide risk assessment was last updated in 2024.</w:t>
      </w:r>
    </w:p>
    <w:p>
      <w:pPr>
        <w:pStyle w:val="ListBullet"/>
      </w:pPr>
      <w:r>
        <w:t>Suspicious transaction reports filed in the past 12 months: 9, against an expected 30 to 40 given volumes.</w:t>
      </w:r>
    </w:p>
    <w:p>
      <w:pPr>
        <w:pStyle w:val="ListBullet"/>
      </w:pPr>
      <w:r>
        <w:t>Compliance function is 2 people, with the Money Laundering Reporting Officer also acting as head of operations.</w:t>
      </w:r>
    </w:p>
    <w:p>
      <w:r>
        <w:t>These gaps are rated Red because they could lead to MAS enforcement action, which would affect the licence we are acquiring. Remediation is estimated at SGD 1.2M to SGD 1.8M over 12 months and aligns with the AML upgrade programme.</w:t>
      </w:r>
    </w:p>
    <w:p>
      <w:pPr>
        <w:pStyle w:val="Heading1"/>
      </w:pPr>
      <w:r>
        <w:t>6. Technology</w:t>
      </w:r>
    </w:p>
    <w:p>
      <w:pPr>
        <w:pStyle w:val="ListBullet"/>
      </w:pPr>
      <w:r>
        <w:t>Monolithic Java application hosted on a single cloud region with RPO of 24 hours.</w:t>
      </w:r>
    </w:p>
    <w:p>
      <w:pPr>
        <w:pStyle w:val="ListBullet"/>
      </w:pPr>
      <w:r>
        <w:t>One penetration test in 2025 with 3 high findings, 2 still open.</w:t>
      </w:r>
    </w:p>
    <w:p>
      <w:pPr>
        <w:pStyle w:val="ListBullet"/>
      </w:pPr>
      <w:r>
        <w:t>Two engineers hold knowledge of the core ledger; both are on the key-staff list.</w:t>
      </w:r>
    </w:p>
    <w:p>
      <w:pPr>
        <w:pStyle w:val="ListBullet"/>
      </w:pPr>
      <w:r>
        <w:t>Estimated integration effort is 9 months with 6 FTE.</w:t>
      </w:r>
    </w:p>
    <w:p>
      <w:pPr>
        <w:pStyle w:val="Heading1"/>
      </w:pPr>
      <w:r>
        <w:t>7. People</w:t>
      </w:r>
    </w:p>
    <w:p>
      <w:r>
        <w:t>38 staff: 17 engineering, 8 operations, 6 sales, 4 compliance and risk and 3 management. Annualised attrition is 8%. We recommend retention packages for 6 key employees, indicatively SGD 600k in total, vesting over 24 months.</w:t>
      </w:r>
    </w:p>
    <w:p>
      <w:pPr>
        <w:pStyle w:val="Heading1"/>
      </w:pPr>
      <w:r>
        <w:t>8. Recommended price adjustments and conditions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Recommendation</w:t>
            </w:r>
          </w:p>
        </w:tc>
      </w:tr>
      <w:tr>
        <w:tc>
          <w:tcPr>
            <w:tcW w:type="dxa" w:w="4320"/>
          </w:tcPr>
          <w:p>
            <w:r>
              <w:t>Price range</w:t>
            </w:r>
          </w:p>
        </w:tc>
        <w:tc>
          <w:tcPr>
            <w:tcW w:type="dxa" w:w="4320"/>
          </w:tcPr>
          <w:p>
            <w:r>
              <w:t>Negotiate towards SGD 28M to SGD 30M within the SGD 28M to SGD 34M indicative range</w:t>
            </w:r>
          </w:p>
        </w:tc>
      </w:tr>
      <w:tr>
        <w:tc>
          <w:tcPr>
            <w:tcW w:type="dxa" w:w="4320"/>
          </w:tcPr>
          <w:p>
            <w:r>
              <w:t>Adjustment: AML remediation</w:t>
            </w:r>
          </w:p>
        </w:tc>
        <w:tc>
          <w:tcPr>
            <w:tcW w:type="dxa" w:w="4320"/>
          </w:tcPr>
          <w:p>
            <w:r>
              <w:t>Deduct SGD 1.5M (mid-point of remediation estimate)</w:t>
            </w:r>
          </w:p>
        </w:tc>
      </w:tr>
      <w:tr>
        <w:tc>
          <w:tcPr>
            <w:tcW w:type="dxa" w:w="4320"/>
          </w:tcPr>
          <w:p>
            <w:r>
              <w:t>Adjustment: capitalised costs</w:t>
            </w:r>
          </w:p>
        </w:tc>
        <w:tc>
          <w:tcPr>
            <w:tcW w:type="dxa" w:w="4320"/>
          </w:tcPr>
          <w:p>
            <w:r>
              <w:t>Deduct SGD 0.3M</w:t>
            </w:r>
          </w:p>
        </w:tc>
      </w:tr>
      <w:tr>
        <w:tc>
          <w:tcPr>
            <w:tcW w:type="dxa" w:w="4320"/>
          </w:tcPr>
          <w:p>
            <w:r>
              <w:t>Escrow / holdback</w:t>
            </w:r>
          </w:p>
        </w:tc>
        <w:tc>
          <w:tcPr>
            <w:tcW w:type="dxa" w:w="4320"/>
          </w:tcPr>
          <w:p>
            <w:r>
              <w:t>10% of price held for 18 months for IP claim and compliance liabilities</w:t>
            </w:r>
          </w:p>
        </w:tc>
      </w:tr>
      <w:tr>
        <w:tc>
          <w:tcPr>
            <w:tcW w:type="dxa" w:w="4320"/>
          </w:tcPr>
          <w:p>
            <w:r>
              <w:t>Condition precedent</w:t>
            </w:r>
          </w:p>
        </w:tc>
        <w:tc>
          <w:tcPr>
            <w:tcW w:type="dxa" w:w="4320"/>
          </w:tcPr>
          <w:p>
            <w:r>
              <w:t>Customer consent for the two change-of-control contracts</w:t>
            </w:r>
          </w:p>
        </w:tc>
      </w:tr>
      <w:tr>
        <w:tc>
          <w:tcPr>
            <w:tcW w:type="dxa" w:w="4320"/>
          </w:tcPr>
          <w:p>
            <w:r>
              <w:t>Condition precedent</w:t>
            </w:r>
          </w:p>
        </w:tc>
        <w:tc>
          <w:tcPr>
            <w:tcW w:type="dxa" w:w="4320"/>
          </w:tcPr>
          <w:p>
            <w:r>
              <w:t>MAS approval of change of control for the MPI licence</w:t>
            </w:r>
          </w:p>
        </w:tc>
      </w:tr>
      <w:tr>
        <w:tc>
          <w:tcPr>
            <w:tcW w:type="dxa" w:w="4320"/>
          </w:tcPr>
          <w:p>
            <w:r>
              <w:t>Condition precedent</w:t>
            </w:r>
          </w:p>
        </w:tc>
        <w:tc>
          <w:tcPr>
            <w:tcW w:type="dxa" w:w="4320"/>
          </w:tcPr>
          <w:p>
            <w:r>
              <w:t>Signed retention agreements for the 6 key staff</w:t>
            </w:r>
          </w:p>
        </w:tc>
      </w:tr>
    </w:tbl>
    <w:p>
      <w:pPr>
        <w:pStyle w:val="Heading1"/>
      </w:pPr>
      <w:r>
        <w:t>9. Next steps</w:t>
      </w:r>
    </w:p>
    <w:p>
      <w:pPr>
        <w:pStyle w:val="ListBullet"/>
      </w:pPr>
      <w:r>
        <w:t>Complete the tax and data-room review by 2026-11-06.</w:t>
      </w:r>
    </w:p>
    <w:p>
      <w:pPr>
        <w:pStyle w:val="ListBullet"/>
      </w:pPr>
      <w:r>
        <w:t>Management presentation and site visit week of 2026-11-16.</w:t>
      </w:r>
    </w:p>
    <w:p>
      <w:pPr>
        <w:pStyle w:val="ListBullet"/>
      </w:pPr>
      <w:r>
        <w:t>Draft sale and purchase agreement to counterparties by 2026-11-27.</w:t>
      </w:r>
    </w:p>
    <w:p>
      <w:pPr>
        <w:pStyle w:val="ListBullet"/>
      </w:pPr>
      <w:r>
        <w:t>Steering committee decision and signing target 2026-12-15.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