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Limit Assessment Model</w:t>
      </w:r>
    </w:p>
    <w:p>
      <w:r>
        <w:t>Document ID: R01</w:t>
      </w:r>
    </w:p>
    <w:p>
      <w:r>
        <w:t>Department: Risk &amp; Credit</w:t>
      </w:r>
    </w:p>
    <w:p>
      <w:r>
        <w:t>Owner: Priya Nambiar, Head of Credit Risk</w:t>
      </w:r>
    </w:p>
    <w:p>
      <w:r>
        <w:t>Version: v1.0</w:t>
      </w:r>
    </w:p>
    <w:p>
      <w:r>
        <w:t>Effective Date: 2026-07-01</w:t>
      </w:r>
    </w:p>
    <w:p>
      <w:r>
        <w:t>Classification: Confidential</w:t>
      </w:r>
    </w:p>
    <w:p>
      <w:r>
        <w:t>Compartments: credit</w:t>
      </w:r>
    </w:p>
    <w:p>
      <w:pPr>
        <w:pStyle w:val="Heading1"/>
      </w:pPr>
      <w:r>
        <w:t>1. Purpose and Scope</w:t>
      </w:r>
    </w:p>
    <w:p>
      <w:r>
        <w:t>This document describes the Aspire Credit Limit Assessment Model (CLAM v3.2) used by Aspire Demo Pte Ltd to size corporate card and working-capital limits for SME customers in Singapore, Ho Chi Minh City and Jakarta. The model feeds the permanent limit re-assessment step described in the Card Limit Adjustment Rules (K01) and runs inside Aspire Core as a nightly batch plus an on-demand API.</w:t>
      </w:r>
    </w:p>
    <w:p>
      <w:pPr>
        <w:pStyle w:val="Heading1"/>
      </w:pPr>
      <w:r>
        <w:t>2. Model Inputs</w:t>
      </w:r>
    </w:p>
    <w:p>
      <w:r>
        <w:t>CLAM v3.2 uses 14 inputs grouped into four families. All inputs are refreshed at scoring time; stale data older than 35 days is flagged and scored as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Account behaviour</w:t>
            </w:r>
          </w:p>
        </w:tc>
        <w:tc>
          <w:tcPr>
            <w:tcW w:type="dxa" w:w="2880"/>
          </w:tcPr>
          <w:p>
            <w:r>
              <w:t>Average monthly inflow (12m), inflow volatility, minimum daily balance, months on book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Spend and repayment</w:t>
            </w:r>
          </w:p>
        </w:tc>
        <w:tc>
          <w:tcPr>
            <w:tcW w:type="dxa" w:w="2880"/>
          </w:tcPr>
          <w:p>
            <w:r>
              <w:t>Card utilisation, repayment timeliness (days past due history), share of cash-like transactions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Business profile</w:t>
            </w:r>
          </w:p>
        </w:tc>
        <w:tc>
          <w:tcPr>
            <w:tcW w:type="dxa" w:w="2880"/>
          </w:tcPr>
          <w:p>
            <w:r>
              <w:t>Industry risk tier (1-5), company age, headcount band, revenue band from ACRA filing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External and compliance</w:t>
            </w:r>
          </w:p>
        </w:tc>
        <w:tc>
          <w:tcPr>
            <w:tcW w:type="dxa" w:w="2880"/>
          </w:tcPr>
          <w:p>
            <w:r>
              <w:t>Bureau commercial score, director personal-credit flag, adverse media hit, KYC risk rating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3. Score and Bands</w:t>
      </w:r>
    </w:p>
    <w:p>
      <w:r>
        <w:t>The model outputs an integer score between 300 and 900. Scores map to six bands, and each band maps to a multiplier applied to the customer's trailing 12-month average monthly inflow to derive the recommended permanent limit. The resulting limit is always capped at SGD 100,000 equivalent, consistent with the card programme ceiling.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Score range</w:t>
            </w:r>
          </w:p>
        </w:tc>
        <w:tc>
          <w:tcPr>
            <w:tcW w:type="dxa" w:w="2160"/>
          </w:tcPr>
          <w:p>
            <w:r>
              <w:t>Limit multiplier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780-900</w:t>
            </w:r>
          </w:p>
        </w:tc>
        <w:tc>
          <w:tcPr>
            <w:tcW w:type="dxa" w:w="2160"/>
          </w:tcPr>
          <w:p>
            <w:r>
              <w:t>0.60x</w:t>
            </w:r>
          </w:p>
        </w:tc>
        <w:tc>
          <w:tcPr>
            <w:tcW w:type="dxa" w:w="2160"/>
          </w:tcPr>
          <w:p>
            <w:r>
              <w:t>Approve, eligible for pre-approved uplift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700-779</w:t>
            </w:r>
          </w:p>
        </w:tc>
        <w:tc>
          <w:tcPr>
            <w:tcW w:type="dxa" w:w="2160"/>
          </w:tcPr>
          <w:p>
            <w:r>
              <w:t>0.45x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620-699</w:t>
            </w:r>
          </w:p>
        </w:tc>
        <w:tc>
          <w:tcPr>
            <w:tcW w:type="dxa" w:w="2160"/>
          </w:tcPr>
          <w:p>
            <w:r>
              <w:t>0.35x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540-619</w:t>
            </w:r>
          </w:p>
        </w:tc>
        <w:tc>
          <w:tcPr>
            <w:tcW w:type="dxa" w:w="2160"/>
          </w:tcPr>
          <w:p>
            <w:r>
              <w:t>0.20x</w:t>
            </w:r>
          </w:p>
        </w:tc>
        <w:tc>
          <w:tcPr>
            <w:tcW w:type="dxa" w:w="2160"/>
          </w:tcPr>
          <w:p>
            <w:r>
              <w:t>Approve with reduced limit and quarterly review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450-539</w:t>
            </w:r>
          </w:p>
        </w:tc>
        <w:tc>
          <w:tcPr>
            <w:tcW w:type="dxa" w:w="2160"/>
          </w:tcPr>
          <w:p>
            <w:r>
              <w:t>0.00x</w:t>
            </w:r>
          </w:p>
        </w:tc>
        <w:tc>
          <w:tcPr>
            <w:tcW w:type="dxa" w:w="2160"/>
          </w:tcPr>
          <w:p>
            <w:r>
              <w:t>Decline; re-apply after 90 days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300-449</w:t>
            </w:r>
          </w:p>
        </w:tc>
        <w:tc>
          <w:tcPr>
            <w:tcW w:type="dxa" w:w="2160"/>
          </w:tcPr>
          <w:p>
            <w:r>
              <w:t>0.00x</w:t>
            </w:r>
          </w:p>
        </w:tc>
        <w:tc>
          <w:tcPr>
            <w:tcW w:type="dxa" w:w="2160"/>
          </w:tcPr>
          <w:p>
            <w:r>
              <w:t>Decline; refer to Risk for account review</w:t>
            </w:r>
          </w:p>
        </w:tc>
      </w:tr>
    </w:tbl>
    <w:p>
      <w:r>
        <w:t>The approval cut-off is 540. Any score below 540 results in an automatic decline and a 90-day waiting period before the next permanent limit request. Band D customers are placed on quarterly rather than annual review.</w:t>
      </w:r>
    </w:p>
    <w:p>
      <w:pPr>
        <w:pStyle w:val="Heading1"/>
      </w:pPr>
      <w:r>
        <w:t>4. Override Governance</w:t>
      </w:r>
    </w:p>
    <w:p>
      <w:r>
        <w:t>Manual overrides are permitted only in the following cases: (a) documented data error in an input; (b) a verified one-off inflow that distorts volatility; (c) strategic relationship accounts approved by the Credit Committee. Overrides are restricted as follows:</w:t>
      </w:r>
    </w:p>
    <w:p>
      <w:pPr>
        <w:pStyle w:val="ListBullet"/>
      </w:pPr>
      <w:r>
        <w:t>A risk_analyst may raise a band by at most one level (e.g. D to C) and never above Band B, and never for a score below 540.</w:t>
      </w:r>
    </w:p>
    <w:p>
      <w:pPr>
        <w:pStyle w:val="ListBullet"/>
      </w:pPr>
      <w:r>
        <w:t>Overrides that move a decline (score below 540) to an approval require Credit Committee sign-off by two members, one of whom must be the Head of Credit Risk (fictional: Priya Nambiar).</w:t>
      </w:r>
    </w:p>
    <w:p>
      <w:pPr>
        <w:pStyle w:val="ListBullet"/>
      </w:pPr>
      <w:r>
        <w:t>Every override is logged in SupportDesk under category CR-OVR with rationale, evidence and approver; the log is reviewed monthly.</w:t>
      </w:r>
    </w:p>
    <w:p>
      <w:pPr>
        <w:pStyle w:val="ListBullet"/>
      </w:pPr>
      <w:r>
        <w:t>Override rate is monitored against a ceiling of 5% of decisions per quarter; breach triggers an Aspire Hub escalation to the CRO.</w:t>
      </w:r>
    </w:p>
    <w:p>
      <w:pPr>
        <w:pStyle w:val="Heading1"/>
      </w:pPr>
      <w:r>
        <w:t>5. Model Validation and Monitoring</w:t>
      </w:r>
    </w:p>
    <w:p>
      <w:r>
        <w:t>The Model Risk Management team (independent of Credit Risk) validates CLAM annually, and after any material change such as new inputs or a re-weighting above 5 points. Validation covers discriminatory power (Gini target at least 0.55, KS at least 0.35), calibration (observed versus predicted default within 20% relative tolerance per band) and stability (Population Stability Index below 0.10 green, 0.10-0.25 amber, above 0.25 red).</w:t>
      </w:r>
    </w:p>
    <w:p>
      <w:pPr>
        <w:pStyle w:val="ListBullet"/>
      </w:pPr>
      <w:r>
        <w:t>Monthly: PSI and band-migration report to the Credit Risk Forum.</w:t>
      </w:r>
    </w:p>
    <w:p>
      <w:pPr>
        <w:pStyle w:val="ListBullet"/>
      </w:pPr>
      <w:r>
        <w:t>Quarterly: back-testing of 12-month default rates by band; override and decline-reason analysis.</w:t>
      </w:r>
    </w:p>
    <w:p>
      <w:pPr>
        <w:pStyle w:val="ListBullet"/>
      </w:pPr>
      <w:r>
        <w:t>Annually: full independent validation and challenger model comparison; results presented to the Risk Committee and summarised for MAS on request.</w:t>
      </w:r>
    </w:p>
    <w:p>
      <w:pPr>
        <w:pStyle w:val="ListBullet"/>
      </w:pPr>
      <w:r>
        <w:t>Ad hoc: a red PSI result freezes pre-approved uplifts until the model owner submits a remediation plan within 10 business days.</w:t>
      </w:r>
    </w:p>
    <w:p>
      <w:pPr>
        <w:pStyle w:val="Heading1"/>
      </w:pPr>
      <w:r>
        <w:t>6. Data Protection and Access</w:t>
      </w:r>
    </w:p>
    <w:p>
      <w:r>
        <w:t>Scorecard outputs are Confidential and restricted to the credit compartment. Model features that use personal data of directors are processed under PDPA purpose limitations and retained for 5 years after account closure. Questions about this document should be directed to the Credit Risk Modelling team via Aspire Hub channel #credit-model.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