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Reseller and Referral Partner Agreement (Template)</w:t>
      </w:r>
    </w:p>
    <w:p>
      <w:r>
        <w:t>Document ID: A02</w:t>
      </w:r>
    </w:p>
    <w:p>
      <w:r>
        <w:t>Department: Sales and Partnerships</w:t>
      </w:r>
    </w:p>
    <w:p>
      <w:r>
        <w:t>Owner: Grace Tan, Senior Legal Counsel</w:t>
      </w:r>
    </w:p>
    <w:p>
      <w:r>
        <w:t>Version: v1.0</w:t>
      </w:r>
    </w:p>
    <w:p>
      <w:r>
        <w:t>Effective Date: 2026-07-01</w:t>
      </w:r>
    </w:p>
    <w:p>
      <w:r>
        <w:t>Classification: Internal</w:t>
      </w:r>
    </w:p>
    <w:p>
      <w:r>
        <w:t>Compartments: none</w:t>
      </w:r>
    </w:p>
    <w:p>
      <w:r>
        <w:t>Template for use by Sales and Partnerships and Legal Counsel. Bracketed items are placeholders. Deviations from the standard terms require Legal Counsel approval.</w:t>
      </w:r>
    </w:p>
    <w:p>
      <w:pPr>
        <w:pStyle w:val="Heading1"/>
      </w:pPr>
      <w:r>
        <w:t>1. Parties</w:t>
      </w:r>
    </w:p>
    <w:p>
      <w:r>
        <w:t>This Agreement is made on [DATE] between (1) Aspire Demo Pte Ltd, a company incorporated in Singapore with registered office at [ADDRESS] ('Aspire'); and (2) [PARTNER NAME], [UEN / registration number] of [ADDRESS] (the 'Partner').</w:t>
      </w:r>
    </w:p>
    <w:p>
      <w:pPr>
        <w:pStyle w:val="Heading1"/>
      </w:pPr>
      <w:r>
        <w:t>2. Appointment</w:t>
      </w:r>
    </w:p>
    <w:p>
      <w:r>
        <w:t>Aspire appoints the Partner as a non-exclusive referral and reseller partner for Aspire Business Account, Aspire Corporate Card, Aspire Spend and Aspire Pay in [TERRITORY]. The Partner has no authority to bind Aspire or to quote prices other than those in the current Pricing and Fee Schedule.</w:t>
      </w:r>
    </w:p>
    <w:p>
      <w:pPr>
        <w:pStyle w:val="Heading1"/>
      </w:pPr>
      <w:r>
        <w:t>3. Referral fee</w:t>
      </w:r>
    </w:p>
    <w:p>
      <w:r>
        <w:t>Aspire shall pay the Partner a referral fee of 0.15% of the payment volume processed by each Referred Customer during the first 12 months after that customer's account activation. No fee is payable after month 12. Fees are calculated monthly, invoiced by the Partner and paid within 30 days of invoice. Payment volume excludes refunds, reversals and fraudulent transactions. A customer is a Referred Customer only if registered through the Partner's unique referral link or code [CODE].</w:t>
      </w:r>
    </w:p>
    <w:p>
      <w:pPr>
        <w:pStyle w:val="Heading1"/>
      </w:pPr>
      <w:r>
        <w:t>4. Term and renewal</w:t>
      </w:r>
    </w:p>
    <w:p>
      <w:r>
        <w:t>This Agreement starts on the Effective Date and continues for 24 months, and may be renewed for successive 12 month periods by written agreement.</w:t>
      </w:r>
    </w:p>
    <w:p>
      <w:pPr>
        <w:pStyle w:val="Heading1"/>
      </w:pPr>
      <w:r>
        <w:t>5. Termination</w:t>
      </w:r>
    </w:p>
    <w:p>
      <w:pPr>
        <w:pStyle w:val="ListBullet"/>
      </w:pPr>
      <w:r>
        <w:t>Either party may terminate for convenience with 60 days' written notice.</w:t>
      </w:r>
    </w:p>
    <w:p>
      <w:pPr>
        <w:pStyle w:val="ListBullet"/>
      </w:pPr>
      <w:r>
        <w:t>Either party may terminate immediately for material breach not remedied within 14 days of notice.</w:t>
      </w:r>
    </w:p>
    <w:p>
      <w:pPr>
        <w:pStyle w:val="ListBullet"/>
      </w:pPr>
      <w:r>
        <w:t>Aspire may terminate immediately if the Partner breaches regulatory, sanctions or anti-bribery requirements, or if MAS or other authority requires.</w:t>
      </w:r>
    </w:p>
    <w:p>
      <w:pPr>
        <w:pStyle w:val="ListBullet"/>
      </w:pPr>
      <w:r>
        <w:t>On termination, referral fees on already referred customers continue to be paid for the remainder of each customer's 12 month period unless termination is for Partner breach.</w:t>
      </w:r>
    </w:p>
    <w:p>
      <w:pPr>
        <w:pStyle w:val="Heading1"/>
      </w:pPr>
      <w:r>
        <w:t>6. Partner obligations and conduct</w:t>
      </w:r>
    </w:p>
    <w:p>
      <w:r>
        <w:t>The Partner shall comply with all applicable laws, including anti-money laundering, sanctions and anti-corruption laws, and shall not make misleading statements about Aspire or give any assurances about credit approval. The Partner shall use marketing materials only as approved under the Brand Guidelines and shall not collect customer KYC documents or funds on Aspire's behalf.</w:t>
      </w:r>
    </w:p>
    <w:p>
      <w:pPr>
        <w:pStyle w:val="Heading1"/>
      </w:pPr>
      <w:r>
        <w:t>7. Confidentiality</w:t>
      </w:r>
    </w:p>
    <w:p>
      <w:r>
        <w:t>Each party shall keep the other's Confidential Information secret, use it only to perform this Agreement and disclose it only to personnel with a need to know. Obligations survive for 3 years after termination. Exceptions apply to information that is public, already known, independently developed or required by law or regulator.</w:t>
      </w:r>
    </w:p>
    <w:p>
      <w:pPr>
        <w:pStyle w:val="Heading1"/>
      </w:pPr>
      <w:r>
        <w:t>8. Data protection</w:t>
      </w:r>
    </w:p>
    <w:p>
      <w:r>
        <w:t>Each party shall comply with the Personal Data Protection Act 2012 (PDPA). Where the Partner shares personal data of prospects with Aspire, it warrants it has obtained valid consent. The Partner shall notify Aspire without undue delay, and in any event within 24 hours, of any data breach affecting personal data received from Aspire, to allow Aspire to meet its 3 calendar day PDPC notification obligation. Personal data shall not be transferred outside Singapore without Aspire's written approval.</w:t>
      </w:r>
    </w:p>
    <w:p>
      <w:pPr>
        <w:pStyle w:val="Heading1"/>
      </w:pPr>
      <w:r>
        <w:t>9. Liability</w:t>
      </w:r>
    </w:p>
    <w:p>
      <w:r>
        <w:t>Neither party excludes liability for fraud, wilful misconduct, death or personal injury. Subject to that, each party's total aggregate liability is capped at the greater of SGD 100,000 or the total referral fees paid or payable in the preceding 12 months. Neither party is liable for indirect or consequential loss, or loss of profit.</w:t>
      </w:r>
    </w:p>
    <w:p>
      <w:pPr>
        <w:pStyle w:val="Heading1"/>
      </w:pPr>
      <w:r>
        <w:t>10. Governing law and disputes</w:t>
      </w:r>
    </w:p>
    <w:p>
      <w:r>
        <w:t>This Agreement is governed by the laws of Singapore. Disputes shall be referred to the courts of Singapore, after good-faith negotiation for 30 days between senior representatives. Alternatively the parties may agree to arbitration under the SIAC rules.</w:t>
      </w:r>
    </w:p>
    <w:p>
      <w:pPr>
        <w:pStyle w:val="Heading1"/>
      </w:pPr>
      <w:r>
        <w:t>11. Signatures</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Aspire Demo Pte Ltd</w:t>
            </w:r>
          </w:p>
        </w:tc>
        <w:tc>
          <w:tcPr>
            <w:tcW w:type="dxa" w:w="2880"/>
          </w:tcPr>
          <w:p>
            <w:r>
              <w:t>[PARTNER NAME]</w:t>
            </w:r>
          </w:p>
        </w:tc>
      </w:tr>
      <w:tr>
        <w:tc>
          <w:tcPr>
            <w:tcW w:type="dxa" w:w="2880"/>
          </w:tcPr>
          <w:p>
            <w:r>
              <w:t>Name</w:t>
            </w:r>
          </w:p>
        </w:tc>
        <w:tc>
          <w:tcPr>
            <w:tcW w:type="dxa" w:w="2880"/>
          </w:tcPr>
          <w:p>
            <w:r>
              <w:t>[ ]</w:t>
            </w:r>
          </w:p>
        </w:tc>
        <w:tc>
          <w:tcPr>
            <w:tcW w:type="dxa" w:w="2880"/>
          </w:tcPr>
          <w:p>
            <w:r>
              <w:t>[ ]</w:t>
            </w:r>
          </w:p>
        </w:tc>
      </w:tr>
      <w:tr>
        <w:tc>
          <w:tcPr>
            <w:tcW w:type="dxa" w:w="2880"/>
          </w:tcPr>
          <w:p>
            <w:r>
              <w:t>Title</w:t>
            </w:r>
          </w:p>
        </w:tc>
        <w:tc>
          <w:tcPr>
            <w:tcW w:type="dxa" w:w="2880"/>
          </w:tcPr>
          <w:p>
            <w:r>
              <w:t>[ ]</w:t>
            </w:r>
          </w:p>
        </w:tc>
        <w:tc>
          <w:tcPr>
            <w:tcW w:type="dxa" w:w="2880"/>
          </w:tcPr>
          <w:p>
            <w:r>
              <w:t>[ ]</w:t>
            </w:r>
          </w:p>
        </w:tc>
      </w:tr>
      <w:tr>
        <w:tc>
          <w:tcPr>
            <w:tcW w:type="dxa" w:w="2880"/>
          </w:tcPr>
          <w:p>
            <w:r>
              <w:t>Date</w:t>
            </w:r>
          </w:p>
        </w:tc>
        <w:tc>
          <w:tcPr>
            <w:tcW w:type="dxa" w:w="2880"/>
          </w:tcPr>
          <w:p>
            <w:r>
              <w:t>[ ]</w:t>
            </w:r>
          </w:p>
        </w:tc>
        <w:tc>
          <w:tcPr>
            <w:tcW w:type="dxa" w:w="2880"/>
          </w:tcPr>
          <w:p>
            <w:r>
              <w:t>[ ]</w:t>
            </w:r>
          </w:p>
        </w:tc>
      </w:tr>
      <w:tr>
        <w:tc>
          <w:tcPr>
            <w:tcW w:type="dxa" w:w="2880"/>
          </w:tcPr>
          <w:p>
            <w:r>
              <w:t>Signature</w:t>
            </w:r>
          </w:p>
        </w:tc>
        <w:tc>
          <w:tcPr>
            <w:tcW w:type="dxa" w:w="2880"/>
          </w:tcPr>
          <w:p>
            <w:r/>
          </w:p>
        </w:tc>
        <w:tc>
          <w:tcPr>
            <w:tcW w:type="dxa" w:w="2880"/>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