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AB34F">
      <w:pPr>
        <w:pStyle w:val="31"/>
      </w:pPr>
      <w:r>
        <w:t>休假政策管理指南 (Leave Policy Admin Guide)</w:t>
      </w:r>
    </w:p>
    <w:p w14:paraId="4EA69C7C">
      <w:r>
        <w:t>Document ID: H01</w:t>
      </w:r>
    </w:p>
    <w:p w14:paraId="663F7D18">
      <w:r>
        <w:t>Department: HR</w:t>
      </w:r>
    </w:p>
    <w:p w14:paraId="5671BDC6">
      <w:r>
        <w:t>Owner: Amelia Koh, Head of HR Operations</w:t>
      </w:r>
    </w:p>
    <w:p w14:paraId="4669D2A0">
      <w:r>
        <w:t>Version: v1.0</w:t>
      </w:r>
    </w:p>
    <w:p w14:paraId="744B2DAF">
      <w:r>
        <w:t>Effective Date: 2026-01-01</w:t>
      </w:r>
    </w:p>
    <w:p w14:paraId="34F3F2CF">
      <w:r>
        <w:t>Classification: Confidential</w:t>
      </w:r>
    </w:p>
    <w:p w14:paraId="0171EB34">
      <w:r>
        <w:t>Compartments: hr</w:t>
      </w:r>
    </w:p>
    <w:p w14:paraId="4F06899E">
      <w:pPr>
        <w:pStyle w:val="3"/>
      </w:pPr>
      <w:r>
        <w:t>1. 目的与适用范围 (Purpose and Scope)</w:t>
      </w:r>
    </w:p>
    <w:p w14:paraId="5173EBF6">
      <w:r>
        <w:t>本指南供人力资源（HR）团队及直属经理管理员工休假使用，说明年假政策、病假、产假、陪产假、育儿假及无薪假的标准与审批流程。新加坡办公室员工适用本指南；胡志明市及雅加达办公室员工须遵守当地劳动法规，本指南仅作参考。本指南是公司休假权益的唯一权威来源，其他文件不得另行规定休假天数。</w:t>
      </w:r>
    </w:p>
    <w:p w14:paraId="73FF7C60">
      <w:pPr>
        <w:pStyle w:val="3"/>
      </w:pPr>
      <w:r>
        <w:t>2. 年假政策 (Annual Leave)</w:t>
      </w:r>
    </w:p>
    <w:p w14:paraId="16978052">
      <w:r>
        <w:t>年假政策规定：员工入职满1年后，每年享有18天带薪年假。工龄每满2年增加1天，累计上限为25天。例如，服务满3年的员工享有19天，服务满15年及以上的员工享有25天上限。入职不满1年的员工按月比例计算，每月1.5天，向下取整至半天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3878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366DF5">
            <w:pPr>
              <w:spacing w:after="0" w:line="240" w:lineRule="auto"/>
            </w:pPr>
            <w:r>
              <w:t>服务年限 (Years of service)</w:t>
            </w:r>
          </w:p>
        </w:tc>
        <w:tc>
          <w:tcPr>
            <w:tcW w:w="4320" w:type="dxa"/>
          </w:tcPr>
          <w:p w14:paraId="261B706F">
            <w:pPr>
              <w:spacing w:after="0" w:line="240" w:lineRule="auto"/>
            </w:pPr>
            <w:r>
              <w:t>年假天数 (Days)</w:t>
            </w:r>
          </w:p>
        </w:tc>
      </w:tr>
      <w:tr w14:paraId="0C3F3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25561A">
            <w:pPr>
              <w:spacing w:after="0" w:line="240" w:lineRule="auto"/>
            </w:pPr>
            <w:r>
              <w:t>入职满1年至不满3年</w:t>
            </w:r>
          </w:p>
        </w:tc>
        <w:tc>
          <w:tcPr>
            <w:tcW w:w="4320" w:type="dxa"/>
          </w:tcPr>
          <w:p w14:paraId="21C6C8C6">
            <w:pPr>
              <w:spacing w:after="0" w:line="240" w:lineRule="auto"/>
            </w:pPr>
            <w:r>
              <w:t>18</w:t>
            </w:r>
          </w:p>
        </w:tc>
      </w:tr>
      <w:tr w14:paraId="2B61F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E5F724">
            <w:pPr>
              <w:spacing w:after="0" w:line="240" w:lineRule="auto"/>
            </w:pPr>
            <w:r>
              <w:t>满3年至不满5年</w:t>
            </w:r>
          </w:p>
        </w:tc>
        <w:tc>
          <w:tcPr>
            <w:tcW w:w="4320" w:type="dxa"/>
          </w:tcPr>
          <w:p w14:paraId="3DEC2453">
            <w:pPr>
              <w:spacing w:after="0" w:line="240" w:lineRule="auto"/>
            </w:pPr>
            <w:r>
              <w:t>19</w:t>
            </w:r>
          </w:p>
        </w:tc>
      </w:tr>
      <w:tr w14:paraId="26DC3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6559E7">
            <w:pPr>
              <w:spacing w:after="0" w:line="240" w:lineRule="auto"/>
            </w:pPr>
            <w:r>
              <w:t>满5年至不满7年</w:t>
            </w:r>
          </w:p>
        </w:tc>
        <w:tc>
          <w:tcPr>
            <w:tcW w:w="4320" w:type="dxa"/>
          </w:tcPr>
          <w:p w14:paraId="31280533">
            <w:pPr>
              <w:spacing w:after="0" w:line="240" w:lineRule="auto"/>
            </w:pPr>
            <w:r>
              <w:t>20</w:t>
            </w:r>
          </w:p>
        </w:tc>
      </w:tr>
      <w:tr w14:paraId="45E32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85C07C">
            <w:pPr>
              <w:spacing w:after="0" w:line="240" w:lineRule="auto"/>
            </w:pPr>
            <w:r>
              <w:t>满7年至不满9年</w:t>
            </w:r>
          </w:p>
        </w:tc>
        <w:tc>
          <w:tcPr>
            <w:tcW w:w="4320" w:type="dxa"/>
          </w:tcPr>
          <w:p w14:paraId="4C484446">
            <w:pPr>
              <w:spacing w:after="0" w:line="240" w:lineRule="auto"/>
            </w:pPr>
            <w:r>
              <w:t>21</w:t>
            </w:r>
          </w:p>
        </w:tc>
      </w:tr>
      <w:tr w14:paraId="18E3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C3BEC1">
            <w:pPr>
              <w:spacing w:after="0" w:line="240" w:lineRule="auto"/>
            </w:pPr>
            <w:r>
              <w:t>满9年至不满11年</w:t>
            </w:r>
          </w:p>
        </w:tc>
        <w:tc>
          <w:tcPr>
            <w:tcW w:w="4320" w:type="dxa"/>
          </w:tcPr>
          <w:p w14:paraId="5F353533">
            <w:pPr>
              <w:spacing w:after="0" w:line="240" w:lineRule="auto"/>
            </w:pPr>
            <w:r>
              <w:t>22</w:t>
            </w:r>
          </w:p>
        </w:tc>
      </w:tr>
      <w:tr w14:paraId="7AF41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64E902">
            <w:pPr>
              <w:spacing w:after="0" w:line="240" w:lineRule="auto"/>
            </w:pPr>
            <w:r>
              <w:t>满11年至不满13年</w:t>
            </w:r>
          </w:p>
        </w:tc>
        <w:tc>
          <w:tcPr>
            <w:tcW w:w="4320" w:type="dxa"/>
          </w:tcPr>
          <w:p w14:paraId="40D8C42E">
            <w:pPr>
              <w:spacing w:after="0" w:line="240" w:lineRule="auto"/>
            </w:pPr>
            <w:r>
              <w:t>23</w:t>
            </w:r>
          </w:p>
        </w:tc>
      </w:tr>
      <w:tr w14:paraId="6248E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E0EC75">
            <w:pPr>
              <w:spacing w:after="0" w:line="240" w:lineRule="auto"/>
            </w:pPr>
            <w:r>
              <w:t>满13年至不满15年</w:t>
            </w:r>
          </w:p>
        </w:tc>
        <w:tc>
          <w:tcPr>
            <w:tcW w:w="4320" w:type="dxa"/>
          </w:tcPr>
          <w:p w14:paraId="38662EC4">
            <w:pPr>
              <w:spacing w:after="0" w:line="240" w:lineRule="auto"/>
            </w:pPr>
            <w:r>
              <w:t>24</w:t>
            </w:r>
          </w:p>
        </w:tc>
      </w:tr>
      <w:tr w14:paraId="2D305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1193A0">
            <w:pPr>
              <w:spacing w:after="0" w:line="240" w:lineRule="auto"/>
            </w:pPr>
            <w:r>
              <w:t>满15年及以上（上限）</w:t>
            </w:r>
          </w:p>
        </w:tc>
        <w:tc>
          <w:tcPr>
            <w:tcW w:w="4320" w:type="dxa"/>
          </w:tcPr>
          <w:p w14:paraId="2A6A10F8">
            <w:pPr>
              <w:spacing w:after="0" w:line="240" w:lineRule="auto"/>
            </w:pPr>
            <w:r>
              <w:t>25</w:t>
            </w:r>
          </w:p>
        </w:tc>
      </w:tr>
    </w:tbl>
    <w:p w14:paraId="47D73925">
      <w:r>
        <w:t>年假结转：每年最多可结转5天未休年假至次年，且必须在次年3月底前使用完毕，逾期作废，不予折现。超过5天的未休年假在12月31日清零。员工离职时，已累积但未休的年假按比例折算支付；已超额休假的部分从最终薪资中扣除。</w:t>
      </w:r>
    </w:p>
    <w:p w14:paraId="7820DC87">
      <w:pPr>
        <w:pStyle w:val="4"/>
      </w:pPr>
      <w:r>
        <w:t>年假申请规则</w:t>
      </w:r>
    </w:p>
    <w:p w14:paraId="44A9CEF5">
      <w:pPr>
        <w:pStyle w:val="16"/>
      </w:pPr>
      <w:r>
        <w:t>连续休假3天及以上，须至少提前14天申请；少于3天须提前3个工作日申请。</w:t>
      </w:r>
    </w:p>
    <w:p w14:paraId="018EC87E">
      <w:pPr>
        <w:pStyle w:val="16"/>
      </w:pPr>
      <w:r>
        <w:t>连续休假超过10个工作日，须由部门负责人另行批准。</w:t>
      </w:r>
    </w:p>
    <w:p w14:paraId="6DDCCFC1">
      <w:pPr>
        <w:pStyle w:val="16"/>
      </w:pPr>
      <w:r>
        <w:t>年底（12月15日至12月31日）及季度结账期间（T+5）财务团队休假可能受限。</w:t>
      </w:r>
    </w:p>
    <w:p w14:paraId="685B26F2">
      <w:pPr>
        <w:pStyle w:val="16"/>
      </w:pPr>
      <w:r>
        <w:t>公共假期及周末不计入年假。</w:t>
      </w:r>
    </w:p>
    <w:p w14:paraId="7D0A05BC">
      <w:pPr>
        <w:pStyle w:val="3"/>
      </w:pPr>
      <w:r>
        <w:t>3. 病假 (Sick Leave)</w:t>
      </w:r>
    </w:p>
    <w:p w14:paraId="1121DC4E">
      <w:r>
        <w:t>员工每年享有14天带薪门诊病假和60天带薪住院病假（含上述14天，即总计每年最多60天）。病假必须提供注册医生签发的医疗证明（MC）。连续病假2天及以上必须提交MC；单日病假如无MC，每年限</w:t>
      </w:r>
      <w:r>
        <w:rPr>
          <w:rFonts w:hint="eastAsia" w:eastAsia="宋体"/>
          <w:lang w:val="en-US" w:eastAsia="zh-CN"/>
        </w:rPr>
        <w:t>5</w:t>
      </w:r>
      <w:bookmarkStart w:id="0" w:name="_GoBack"/>
      <w:bookmarkEnd w:id="0"/>
      <w:r>
        <w:t>次，需向直属经理口头说明。员工应在当天上午10:00前通知直属经理。住院病假须附出院证明。试用期员工在第3个月起享有病假权益，前3个月按比例计算：第3个月5天门诊、15天住院。</w:t>
      </w:r>
    </w:p>
    <w:p w14:paraId="289C62C0">
      <w:pPr>
        <w:pStyle w:val="3"/>
      </w:pPr>
      <w:r>
        <w:t>4. 产假、陪产假与育儿假 (Parental Leave)</w:t>
      </w:r>
    </w:p>
    <w:p w14:paraId="32D03D75">
      <w:pPr>
        <w:pStyle w:val="16"/>
      </w:pPr>
      <w:r>
        <w:t>产假 (Maternity Leave)：16周带薪产假，符合新加坡政府规定条件的员工适用；其中前8周由公司支付，后8周由政府补偿，公司垫付后申请报销。</w:t>
      </w:r>
    </w:p>
    <w:p w14:paraId="6AA755C4">
      <w:pPr>
        <w:pStyle w:val="16"/>
      </w:pPr>
      <w:r>
        <w:t>陪产假 (Paternity Leave)：2周带薪陪产假，须在孩子出生后16周内休完。</w:t>
      </w:r>
    </w:p>
    <w:p w14:paraId="18209D73">
      <w:pPr>
        <w:pStyle w:val="16"/>
      </w:pPr>
      <w:r>
        <w:t>育儿假 (Childcare Leave)：子女未满7岁，每年6天带薪育儿假；子女7岁至不满12岁，每年2天（扩展育儿假）。</w:t>
      </w:r>
    </w:p>
    <w:p w14:paraId="7D5773C5">
      <w:pPr>
        <w:pStyle w:val="16"/>
      </w:pPr>
      <w:r>
        <w:t>领养假：适用于合资格的领养，天数与陪产假/产假一致。</w:t>
      </w:r>
    </w:p>
    <w:p w14:paraId="2BDD1A34">
      <w:pPr>
        <w:pStyle w:val="3"/>
      </w:pPr>
      <w:r>
        <w:t>5. 无薪假 (Unpaid Leave)</w:t>
      </w:r>
    </w:p>
    <w:p w14:paraId="79E6329F">
      <w:r>
        <w:t>员工在用完年假后因个人原因可申请无薪假。无薪假单次不超过30天，每个日历年累计不超过60天。审批流程：员工提交申请，直属经理初审，部门负责人复核，最终由HR批准。无薪假期间不计年假累积，公积金（CPF）和奖金按实际工作天数比例计算。超过10个工作日的无薪假需提前30天申请。</w:t>
      </w:r>
    </w:p>
    <w:p w14:paraId="49162DCA">
      <w:pPr>
        <w:pStyle w:val="3"/>
      </w:pPr>
      <w:r>
        <w:t>6. 审批流程 (Approval Workflow)</w:t>
      </w:r>
    </w:p>
    <w:p w14:paraId="611C9933">
      <w:r>
        <w:t>所有休假申请通过HR系统提交。标准审批链：员工提交，直属经理在3个工作日内审批，随后HR核对余额并确认。经理未在3个工作日内处理的，系统自动升级至部门负责人。HR在确认后1个工作日内更新假期余额。病假为事后补录时，须在返岗后3个工作日内提交MC。</w:t>
      </w:r>
    </w:p>
    <w:p w14:paraId="4C1C0B19">
      <w:pPr>
        <w:pStyle w:val="3"/>
      </w:pPr>
      <w:r>
        <w:t>7. 海外办公室 (Vietnam and Indonesia)</w:t>
      </w:r>
    </w:p>
    <w:p w14:paraId="66903338">
      <w:r>
        <w:t>越南（胡志明市）及印尼（雅加达）办公室的休假须遵守当地劳动法规。越南办公室按越南《劳动法》提供年假及法定假日；印尼办公室按印尼劳动法提供年假、产假（3个月）及宗教节日假。如公司政策优于当地法规，则从优；当地HR业务伙伴负责本地化管理，并向新加坡HR汇报季度假期余额。</w:t>
      </w:r>
    </w:p>
    <w:p w14:paraId="60E889E9">
      <w:pPr>
        <w:pStyle w:val="3"/>
      </w:pPr>
      <w:r>
        <w:t>8. 记录与合规 (Records)</w:t>
      </w:r>
    </w:p>
    <w:p w14:paraId="62A27B26">
      <w:r>
        <w:t>HR须保存所有休假记录至少5年。HR每季度发布假期余额报告，对于未休年假超过15天的员工，提醒其经理安排休假。如对本指南有疑问，请联系HR Operations团队。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FE0CEA"/>
    <w:rsid w:val="591F1592"/>
    <w:rsid w:val="75E76DED"/>
    <w:rsid w:val="772C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1427</Words>
  <Characters>1805</Characters>
  <Lines>0</Lines>
  <Paragraphs>0</Paragraphs>
  <TotalTime>2</TotalTime>
  <ScaleCrop>false</ScaleCrop>
  <LinksUpToDate>false</LinksUpToDate>
  <CharactersWithSpaces>1859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ufvbjjdsxg</cp:lastModifiedBy>
  <dcterms:modified xsi:type="dcterms:W3CDTF">2026-10-04T05:49:58Z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eyJoZGlkIjoiOTFlM2IyOTE3ZjZkNGEyZTNmNDBlNjhiNGNmYmI3OGEiLCJ1c2VySWQiOiI4MjYxMDk1NTIifQ==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915CB2D8C0544397A01E149CD25C1EAD_12</vt:lpwstr>
  </property>
</Properties>
</file>