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USD 150.000 y 19 aportes de USD 10.000, la cartera debe rendir 4,56% real anual (TIR de los flujos del enunciado). Con supuestos más exigentes y fieles al caso —aportes en USD nominales, arancel creciendo 2% real, 14 años efectivos de aportes— el requerimiento sube a 5,6%.</w:t>
      </w:r>
    </w:p>
    <w:p>
      <w:pPr>
        <w:pStyle w:val="ListBullet"/>
      </w:pPr>
      <w:r>
        <w:rPr>
          <w:b/>
        </w:rPr>
        <w:t xml:space="preserve">Factibilidad. </w:t>
      </w:r>
      <w:r>
        <w:t>A la tasa real libre de riesgo (2,5%), los objetivos valen USD 492.981 y los recursos USD 299.789: cobertura de 0,61x.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prácticamente igual al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2,0% (objetivo 3%, máximo 4%) e information ratio 0,18 frente al benchmark de política en 2016-2026.</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distingue dos dimensiones:</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Toleran hoy 85% en activos de riesgo (cartera AGF) y piden activamente commodities y alternativos</w:t>
            </w:r>
          </w:p>
        </w:tc>
        <w:tc>
          <w:tcPr>
            <w:tcW w:type="dxa" w:w="2835"/>
            <w:shd w:val="clear" w:color="auto" w:fill="F2F5F9"/>
          </w:tcPr>
          <w:p>
            <w:r/>
            <w:r>
              <w:rPr>
                <w:sz w:val="17"/>
              </w:rPr>
              <w:t>Moderada-agresiva;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El cliente acepta más riesgo que el inversionista promedio, coherente con su horizonte</w:t>
            </w:r>
          </w:p>
        </w:tc>
      </w:tr>
    </w:tbl>
    <w:p/>
    <w:p>
      <w:r>
        <w:rPr>
          <w:i/>
          <w:sz w:val="18"/>
        </w:rPr>
        <w:t>El cuestionario de tolerancia al riesgo (Grable y Lytton) se aplicará directamente a ambos clientes en la reunión de inicio; si su resultado difiere de este perfil, se revisará el IPS. No se usan respuestas simuladas.</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0,61 veces los objetivos: el plan es factible solo si la cartera captura prima por riesgo. Valorizados a la TIR, Villarrica representa 56% de la exigencia, Educación 24% y la herencia 20%.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9,5%</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11,0%</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0,69</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0,59</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-21,4%</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4,4%</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2,0%</w:t>
            </w:r>
          </w:p>
        </w:tc>
        <w:tc>
          <w:tcPr>
            <w:tcW w:type="dxa" w:w="1531"/>
          </w:tcPr>
          <w:p>
            <w:r/>
            <w:r>
              <w:rPr>
                <w:sz w:val="17"/>
              </w:rPr>
              <w:t>0,0%</w:t>
            </w:r>
          </w:p>
        </w:tc>
        <w:tc>
          <w:tcPr>
            <w:tcW w:type="dxa" w:w="1531"/>
          </w:tcPr>
          <w:p>
            <w:r/>
            <w:r>
              <w:rPr>
                <w:sz w:val="17"/>
              </w:rPr>
              <w:t>4,2%</w:t>
            </w:r>
          </w:p>
        </w:tc>
        <w:tc>
          <w:tcPr>
            <w:tcW w:type="dxa" w:w="1531"/>
          </w:tcPr>
          <w:p>
            <w:r/>
            <w:r>
              <w:rPr>
                <w:sz w:val="17"/>
              </w:rPr>
              <w:t>6,2%</w:t>
            </w:r>
          </w:p>
        </w:tc>
      </w:tr>
      <w:tr>
        <w:tc>
          <w:tcPr>
            <w:tcW w:type="dxa" w:w="2835"/>
            <w:shd w:val="clear" w:color="auto" w:fill="F2F5F9"/>
          </w:tcPr>
          <w:p>
            <w:r/>
            <w:r>
              <w:rPr>
                <w:sz w:val="17"/>
              </w:rPr>
              <w:t>Information ratio</w:t>
            </w:r>
          </w:p>
        </w:tc>
        <w:tc>
          <w:tcPr>
            <w:tcW w:type="dxa" w:w="1531"/>
            <w:shd w:val="clear" w:color="auto" w:fill="F2F5F9"/>
          </w:tcPr>
          <w:p>
            <w:r/>
            <w:r>
              <w:rPr>
                <w:sz w:val="17"/>
              </w:rPr>
              <w:t>0,18</w:t>
            </w:r>
          </w:p>
        </w:tc>
        <w:tc>
          <w:tcPr>
            <w:tcW w:type="dxa" w:w="1531"/>
            <w:shd w:val="clear" w:color="auto" w:fill="F2F5F9"/>
          </w:tcPr>
          <w:p>
            <w:r/>
            <w:r>
              <w:rPr>
                <w:sz w:val="17"/>
              </w:rPr>
              <w:t>—</w:t>
            </w:r>
          </w:p>
        </w:tc>
        <w:tc>
          <w:tcPr>
            <w:tcW w:type="dxa" w:w="1531"/>
            <w:shd w:val="clear" w:color="auto" w:fill="F2F5F9"/>
          </w:tcPr>
          <w:p>
            <w:r/>
            <w:r>
              <w:rPr>
                <w:sz w:val="17"/>
              </w:rPr>
              <w:t>0,75</w:t>
            </w:r>
          </w:p>
        </w:tc>
        <w:tc>
          <w:tcPr>
            <w:tcW w:type="dxa" w:w="1531"/>
            <w:shd w:val="clear" w:color="auto" w:fill="F2F5F9"/>
          </w:tcPr>
          <w:p>
            <w:r/>
            <w:r>
              <w:rPr>
                <w:sz w:val="17"/>
              </w:rPr>
              <w:t>0,90</w:t>
            </w:r>
          </w:p>
        </w:tc>
      </w:tr>
    </w:tbl>
    <w:p/>
    <w:p>
      <w:r>
        <w:rPr>
          <w:i w:val="0"/>
        </w:rPr>
        <w:t>Retorno esperado vs requerido: el retorno histórico real 2013-2026 fue 7,8%, muy sobre el requerido. Con supuestos prospectivos (tasa real ~2,5% más primas moderadas; sección 4.3) el retorno real esperado es 4,6%, igual al requerido de 4,56%.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moderado-agresivo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bl>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Mezcla 5 ETF</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17,5%</w:t>
            </w:r>
          </w:p>
        </w:tc>
        <w:tc>
          <w:tcPr>
            <w:tcW w:type="dxa" w:w="737"/>
          </w:tcPr>
          <w:p>
            <w:r/>
            <w:r>
              <w:rPr>
                <w:sz w:val="16"/>
              </w:rPr>
              <w:t>-0,04</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pPr>
        <w:pStyle w:val="Heading2"/>
      </w:pPr>
      <w:r>
        <w:t>3.4 Moneda funcional: USD, con simulaciones en UF</w:t>
      </w:r>
    </w:p>
    <w:p>
      <w:r>
        <w:rPr>
          <w:i w:val="0"/>
        </w:rPr>
        <w:t>La moneda funcional es el USD porque todo el universo de inversión cotiza en dólares y cubrir el tipo de cambio exigiría derivados que el perfil excluye. Las necesidades del cliente (UF/CLP) se evalúan explícitamente: el Montecarlo se presenta también en UF.</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Mezcla igual ponderada GLD/USO/DBA/SLV/CPER</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2,0% (2016-2026) y 2,4% en los últimos 36 meses, dentro del objetivo; el information ratio realizado es 0,18.</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que apenas iguala al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5-oct-2026)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Cobertura natural (correlación negativa); simulaciones en UF; reserva cambiaria de 2%</w:t>
            </w:r>
          </w:p>
        </w:tc>
      </w:tr>
      <w:tr>
        <w:tc>
          <w:tcPr>
            <w:tcW w:type="dxa" w:w="2041"/>
            <w:shd w:val="clear" w:color="auto" w:fill="F2F5F9"/>
          </w:tcPr>
          <w:p>
            <w:r/>
            <w:r>
              <w:rPr>
                <w:sz w:val="17"/>
              </w:rPr>
              <w:t>Empleo de Tomás</w:t>
            </w:r>
          </w:p>
        </w:tc>
        <w:tc>
          <w:tcPr>
            <w:tcW w:type="dxa" w:w="3175"/>
            <w:shd w:val="clear" w:color="auto" w:fill="F2F5F9"/>
          </w:tcPr>
          <w:p>
            <w:r/>
            <w:r>
              <w:rPr>
                <w:sz w:val="17"/>
              </w:rPr>
              <w:t>Aportes condicionados a seguir empleado</w:t>
            </w:r>
          </w:p>
        </w:tc>
        <w:tc>
          <w:tcPr>
            <w:tcW w:type="dxa" w:w="3855"/>
            <w:shd w:val="clear" w:color="auto" w:fill="F2F5F9"/>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apenas iguala al requerido (4,56%).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y cubrir el tipo de cambio requiere derivados que el perfil excluye. El peso se deprecia cuando caen los mercados (cobertura natural) y el ahorro en USD diversifica el riesgo país de una familia cuyo capital humano y vivienda están en Chile. Las simulaciones se presentan también en UF.</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La versión portada de los backtests reproduce exactamente los resultados del modelo anterior (diferencia máxima 10⁻¹⁶) antes de aplicar las correcciones.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