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5-oct-2026</w:t>
      </w:r>
    </w:p>
    <w:p>
      <w:pPr>
        <w:jc w:val="center"/>
      </w:pPr>
      <w:r>
        <w:rPr>
          <w:i/>
          <w:sz w:val="17"/>
        </w:rPr>
        <w:t>Todas las cifras de este documento son reproducibles con codigo/run_all.py y coinciden con modelo/Modelo_Nexum_v2.xlsx.</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Para financiar Educación, Villarrica y la herencia con USD 150.000 y 19 aportes de USD 10.000, la cartera debe rendir 4,56% real anual (TIR de los flujos del enunciado). Con supuestos más exigentes y fieles al caso —aportes en USD nominales, arancel creciendo 2% real, 14 años efectivos de aportes— el requerimiento sube a 5,6%.</w:t>
      </w:r>
    </w:p>
    <w:p>
      <w:pPr>
        <w:pStyle w:val="ListBullet"/>
      </w:pPr>
      <w:r>
        <w:rPr>
          <w:b/>
        </w:rPr>
        <w:t xml:space="preserve">Factibilidad. </w:t>
      </w:r>
      <w:r>
        <w:t>A la tasa real libre de riesgo (2,5%), los objetivos valen USD 492.981 y los recursos USD 299.789: cobertura de 0,61x. El plan exige capturar prima por riesgo. Villarrica explica 56% del valor presente de los objetivos.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simulados, en USD y en UF. Con retornos históricos 2013-2026, los tres objetivos se cumplen con 96,0% (89,6% medido en UF). Con supuestos prospectivos prudentes —retorno real esperado 4,6%, prácticamente igual al requerido— la probabilidad conjunta es 46,5%.</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(el mismo riesgo del empleo de Tomás; Nexum ~14%). Hacia adelante, Nexum entrega mayor probabilidad de éxito (45,3% vs 38,4% en UF).</w:t>
      </w:r>
    </w:p>
    <w:p>
      <w:pPr>
        <w:pStyle w:val="ListBullet"/>
      </w:pPr>
      <w:r>
        <w:rPr>
          <w:b/>
        </w:rPr>
        <w:t xml:space="preserve">Gestión activa. </w:t>
      </w:r>
      <w:r>
        <w:t>Tracking error ex-ante 2,0% (objetivo 3%, máximo 4%) e information ratio 0,18 frente al benchmark de política en 2016-2026.</w:t>
      </w:r>
    </w:p>
    <w:p>
      <w:pPr>
        <w:pStyle w:val="ListBullet"/>
      </w:pPr>
      <w:r>
        <w:rPr>
          <w:b/>
        </w:rPr>
        <w:t xml:space="preserve">Riesgo cambiario. </w:t>
      </w:r>
      <w:r>
        <w:t>El 28-sep-2026 se contrató un forward de venta de USD 104.000 a un año (~70% de la cartera), cerca de la cobertura que minimiza el riesgo medido en pesos: en la simulación, la volatilidad anual en pesos baja de 13,9% a 10,3%.</w:t>
      </w:r>
    </w:p>
    <w:p>
      <w:pPr>
        <w:pStyle w:val="ListBullet"/>
      </w:pPr>
      <w:r>
        <w:rPr>
          <w:b/>
        </w:rPr>
        <w:t xml:space="preserve">Recomendación. </w:t>
      </w:r>
      <w:r>
        <w:t>Mantener la asignación, proteger Educación como prioridad 1 y acordar con la familia el orden de ajuste si el mercado no entrega el retorno requerido: primero la herencia, luego Villarrica, nunca Educación. Reducir Villarrica 25% y la herencia a USD 250.000 eleva la probabilidad conjunta prospectiva de 46,5% a 74,8%.</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distingue dos dimensiones:</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Toleran hoy 85% en activos de riesgo (cartera AGF) y piden activamente commodities y alternativos</w:t>
            </w:r>
          </w:p>
        </w:tc>
        <w:tc>
          <w:tcPr>
            <w:tcW w:type="dxa" w:w="2835"/>
            <w:shd w:val="clear" w:color="auto" w:fill="F2F5F9"/>
          </w:tcPr>
          <w:p>
            <w:r/>
            <w:r>
              <w:rPr>
                <w:sz w:val="17"/>
              </w:rPr>
              <w:t>Moderada-agresiva;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El cliente acepta más riesgo que el inversionista promedio, coherente con su horizonte</w:t>
            </w:r>
          </w:p>
        </w:tc>
      </w:tr>
    </w:tbl>
    <w:p/>
    <w:p>
      <w:r>
        <w:rPr>
          <w:i/>
          <w:sz w:val="18"/>
        </w:rPr>
        <w:t>El cuestionario de tolerancia al riesgo (Grable y Lytton) se aplicará directamente a ambos clientes en la reunión de inicio; si su resultado difiere de este perfil, se revisará el IPS. No se usan respuestas simuladas.</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r>
              <w:rPr>
                <w:sz w:val="17"/>
              </w:rPr>
              <w:t>Herencia: USD 250.000 por hijo, en dinero de hoy</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0,61 veces los objetivos: el plan es factible solo si la cartera captura prima por riesgo. Valorizados a la TIR, Villarrica representa 56% de la exigencia, Educación 24% y la herencia 20%. No se usa la venta de la casa de Santiago más allá de las UF 15.000 que el enunciado asigna a Villarrica.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 Única excepción: forwards de venta de USD contra CLP con un banco regulado, solo como cobertura cambiaria (monto menor al valor de la cartera y plazo de hasta un año), explicados a los clientes y aceptados por ellos (sección 3.4).</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4.4).</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9,5%</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11,0%</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0,69</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0,59</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-21,4%</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4,4%</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2,0%</w:t>
            </w:r>
          </w:p>
        </w:tc>
        <w:tc>
          <w:tcPr>
            <w:tcW w:type="dxa" w:w="1531"/>
          </w:tcPr>
          <w:p>
            <w:r/>
            <w:r>
              <w:rPr>
                <w:sz w:val="17"/>
              </w:rPr>
              <w:t>0,0%</w:t>
            </w:r>
          </w:p>
        </w:tc>
        <w:tc>
          <w:tcPr>
            <w:tcW w:type="dxa" w:w="1531"/>
          </w:tcPr>
          <w:p>
            <w:r/>
            <w:r>
              <w:rPr>
                <w:sz w:val="17"/>
              </w:rPr>
              <w:t>4,2%</w:t>
            </w:r>
          </w:p>
        </w:tc>
        <w:tc>
          <w:tcPr>
            <w:tcW w:type="dxa" w:w="1531"/>
          </w:tcPr>
          <w:p>
            <w:r/>
            <w:r>
              <w:rPr>
                <w:sz w:val="17"/>
              </w:rPr>
              <w:t>6,2%</w:t>
            </w:r>
          </w:p>
        </w:tc>
      </w:tr>
      <w:tr>
        <w:tc>
          <w:tcPr>
            <w:tcW w:type="dxa" w:w="2835"/>
            <w:shd w:val="clear" w:color="auto" w:fill="F2F5F9"/>
          </w:tcPr>
          <w:p>
            <w:r/>
            <w:r>
              <w:rPr>
                <w:sz w:val="17"/>
              </w:rPr>
              <w:t>Information ratio</w:t>
            </w:r>
          </w:p>
        </w:tc>
        <w:tc>
          <w:tcPr>
            <w:tcW w:type="dxa" w:w="1531"/>
            <w:shd w:val="clear" w:color="auto" w:fill="F2F5F9"/>
          </w:tcPr>
          <w:p>
            <w:r/>
            <w:r>
              <w:rPr>
                <w:sz w:val="17"/>
              </w:rPr>
              <w:t>0,18</w:t>
            </w:r>
          </w:p>
        </w:tc>
        <w:tc>
          <w:tcPr>
            <w:tcW w:type="dxa" w:w="1531"/>
            <w:shd w:val="clear" w:color="auto" w:fill="F2F5F9"/>
          </w:tcPr>
          <w:p>
            <w:r/>
            <w:r>
              <w:rPr>
                <w:sz w:val="17"/>
              </w:rPr>
              <w:t>—</w:t>
            </w:r>
          </w:p>
        </w:tc>
        <w:tc>
          <w:tcPr>
            <w:tcW w:type="dxa" w:w="1531"/>
            <w:shd w:val="clear" w:color="auto" w:fill="F2F5F9"/>
          </w:tcPr>
          <w:p>
            <w:r/>
            <w:r>
              <w:rPr>
                <w:sz w:val="17"/>
              </w:rPr>
              <w:t>0,75</w:t>
            </w:r>
          </w:p>
        </w:tc>
        <w:tc>
          <w:tcPr>
            <w:tcW w:type="dxa" w:w="1531"/>
            <w:shd w:val="clear" w:color="auto" w:fill="F2F5F9"/>
          </w:tcPr>
          <w:p>
            <w:r/>
            <w:r>
              <w:rPr>
                <w:sz w:val="17"/>
              </w:rPr>
              <w:t>0,90</w:t>
            </w:r>
          </w:p>
        </w:tc>
      </w:tr>
    </w:tbl>
    <w:p/>
    <w:p>
      <w:r>
        <w:rPr>
          <w:i w:val="0"/>
        </w:rPr>
        <w:t>Retorno esperado vs requerido: el retorno histórico real 2013-2026 fue 7,8%, muy sobre el requerido. Con supuestos prospectivos (tasa real ~2,5% más primas moderadas; sección 4.3) el retorno real esperado es 4,6%, igual al requerido de 4,56%.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f8_riesgo.png"/>
                    <pic:cNvPicPr/>
                  </pic:nvPicPr>
                  <pic:blipFill>
                    <a:blip r:embed="rId11"/>
                    <a:stretch>
                      <a:fillRect/>
                    </a:stretch>
                  </pic:blipFill>
                  <pic:spPr>
                    <a:xfrm>
                      <a:off x="0" y="0"/>
                      <a:ext cx="5760000" cy="2400000"/>
                    </a:xfrm>
                    <a:prstGeom prst="rect"/>
                  </pic:spPr>
                </pic:pic>
              </a:graphicData>
            </a:graphic>
          </wp:inline>
        </w:drawing>
      </w:r>
    </w:p>
    <w:p>
      <w:pPr>
        <w:jc w:val="center"/>
      </w:pPr>
      <w:r>
        <w:rPr>
          <w:i/>
          <w:sz w:val="16"/>
        </w:rPr>
        <w:t>Figura 3. Peso de cada activo frente a su contribución al riesgo total (pesos aprobados, covarianza 2013-2026). Fuente: hoja 06 del modelo.</w:t>
      </w:r>
    </w:p>
    <w:p>
      <w:r>
        <w:rPr>
          <w:i w:val="0"/>
        </w:rPr>
        <w:t>Contribución al riesgo: el S&amp;P 500 pesa 37,9% pero aporta 49,5% del riesgo; Momentum pesa 7,1% y aporta 11,9%. Los bonos del Tesoro diversifican: con 16,9% del capital aportan solo 7,4%. El presupuesto de riesgo está dominado por la renta variable, coherente con un perfil moderado-agresivo que necesita prima por riesgo para cumplir sus objetivos.</w:t>
      </w:r>
    </w:p>
    <w:p>
      <w:pPr>
        <w:jc w:val="center"/>
      </w:pPr>
      <w:r>
        <w:drawing>
          <wp:inline xmlns:a="http://schemas.openxmlformats.org/drawingml/2006/main" xmlns:pic="http://schemas.openxmlformats.org/drawingml/2006/picture">
            <wp:extent cx="5760000" cy="2720000"/>
            <wp:docPr id="4" name="Picture 4"/>
            <wp:cNvGraphicFramePr>
              <a:graphicFrameLocks noChangeAspect="1"/>
            </wp:cNvGraphicFramePr>
            <a:graphic>
              <a:graphicData uri="http://schemas.openxmlformats.org/drawingml/2006/picture">
                <pic:pic>
                  <pic:nvPicPr>
                    <pic:cNvPr id="0" name="f1_crecimiento.png"/>
                    <pic:cNvPicPr/>
                  </pic:nvPicPr>
                  <pic:blipFill>
                    <a:blip r:embed="rId12"/>
                    <a:stretch>
                      <a:fillRect/>
                    </a:stretch>
                  </pic:blipFill>
                  <pic:spPr>
                    <a:xfrm>
                      <a:off x="0" y="0"/>
                      <a:ext cx="5760000" cy="2720000"/>
                    </a:xfrm>
                    <a:prstGeom prst="rect"/>
                  </pic:spPr>
                </pic:pic>
              </a:graphicData>
            </a:graphic>
          </wp:inline>
        </w:drawing>
      </w:r>
    </w:p>
    <w:p>
      <w:pPr>
        <w:jc w:val="center"/>
      </w:pPr>
      <w:r>
        <w:rPr>
          <w:i/>
          <w:sz w:val="16"/>
        </w:rPr>
        <w:t>Figura 4.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5" name="Picture 5"/>
            <wp:cNvGraphicFramePr>
              <a:graphicFrameLocks noChangeAspect="1"/>
            </wp:cNvGraphicFramePr>
            <a:graphic>
              <a:graphicData uri="http://schemas.openxmlformats.org/drawingml/2006/picture">
                <pic:pic>
                  <pic:nvPicPr>
                    <pic:cNvPr id="0" name="f2_caidas.png"/>
                    <pic:cNvPicPr/>
                  </pic:nvPicPr>
                  <pic:blipFill>
                    <a:blip r:embed="rId13"/>
                    <a:stretch>
                      <a:fillRect/>
                    </a:stretch>
                  </pic:blipFill>
                  <pic:spPr>
                    <a:xfrm>
                      <a:off x="0" y="0"/>
                      <a:ext cx="5760000" cy="2080000"/>
                    </a:xfrm>
                    <a:prstGeom prst="rect"/>
                  </pic:spPr>
                </pic:pic>
              </a:graphicData>
            </a:graphic>
          </wp:inline>
        </w:drawing>
      </w:r>
    </w:p>
    <w:p>
      <w:pPr>
        <w:jc w:val="center"/>
      </w:pPr>
      <w:r>
        <w:rPr>
          <w:i/>
          <w:sz w:val="16"/>
        </w:rPr>
        <w:t>Figura 5.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r>
        <w:tc>
          <w:tcPr>
            <w:tcW w:type="dxa" w:w="2041"/>
            <w:shd w:val="clear" w:color="auto" w:fill="F2F5F9"/>
          </w:tcPr>
          <w:p>
            <w:r/>
            <w:r>
              <w:rPr>
                <w:sz w:val="17"/>
              </w:rPr>
              <w:t>Cobertura cambiaria</w:t>
            </w:r>
          </w:p>
        </w:tc>
        <w:tc>
          <w:tcPr>
            <w:tcW w:type="dxa" w:w="7030"/>
            <w:shd w:val="clear" w:color="auto" w:fill="F2F5F9"/>
          </w:tcPr>
          <w:p>
            <w:r/>
            <w:r>
              <w:rPr>
                <w:sz w:val="17"/>
              </w:rPr>
              <w:t>Forward de venta de USD a un año por ~70% de la cartera (sección 3.4); al vencimiento se evalúa renovarlo con la razón de cobertura vigente</w:t>
            </w:r>
          </w:p>
        </w:tc>
      </w:tr>
    </w:tbl>
    <w:p/>
    <w:p>
      <w:r>
        <w:rPr>
          <w:i w:val="0"/>
        </w:rPr>
        <w:t>Las bandas no son restrictivas. En el backtest 2013-2026, las bandas vigentes (±5 / ±2) se activan 0,8 veces al año (~17 órdenes) y mantienen la cartera a 0,5% de tracking error de los pesos aprobados. Bandas de ±3 / ±1 duplicarían los rebalanceos (2,1 al año) sin mejorar el resultado, y el rebalanceo mensual exigiría ~81 órdenes al año. No rebalancear nunca deja la cartera con 2,0% de desvío y más volatilidad (11,0% vs 9,9%). Las operaciones que exige StockTrak provienen de la rotación dentro de los sleeves activos, no de las bandas.</w:t>
      </w:r>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Mezcla 5 ETF</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17,5%</w:t>
            </w:r>
          </w:p>
        </w:tc>
        <w:tc>
          <w:tcPr>
            <w:tcW w:type="dxa" w:w="737"/>
          </w:tcPr>
          <w:p>
            <w:r/>
            <w:r>
              <w:rPr>
                <w:sz w:val="16"/>
              </w:rPr>
              <w:t>-0,04</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4.4):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r>
        <w:rPr>
          <w:i w:val="0"/>
        </w:rPr>
        <w:t>Activos adicionales evaluados (octubre de 2026). Agregar un activo cambia la asignación estratégica, por lo que exige recalibrar Black-Litterman y modificar este IPS; no es una decisión de rebalanceo. Se evaluaron los dos candidatos con datos suficientes:</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2948"/>
            <w:shd w:val="clear" w:color="auto" w:fill="1F3A5F"/>
          </w:tcPr>
          <w:p>
            <w:r/>
            <w:r>
              <w:rPr>
                <w:b/>
                <w:color w:val="FFFFFF"/>
                <w:sz w:val="15"/>
              </w:rPr>
              <w:t>Variante</w:t>
            </w:r>
          </w:p>
        </w:tc>
        <w:tc>
          <w:tcPr>
            <w:tcW w:type="dxa" w:w="907"/>
            <w:shd w:val="clear" w:color="auto" w:fill="1F3A5F"/>
          </w:tcPr>
          <w:p>
            <w:r/>
            <w:r>
              <w:rPr>
                <w:b/>
                <w:color w:val="FFFFFF"/>
                <w:sz w:val="15"/>
              </w:rPr>
              <w:t>Retorno anual</w:t>
            </w:r>
          </w:p>
        </w:tc>
        <w:tc>
          <w:tcPr>
            <w:tcW w:type="dxa" w:w="907"/>
            <w:shd w:val="clear" w:color="auto" w:fill="1F3A5F"/>
          </w:tcPr>
          <w:p>
            <w:r/>
            <w:r>
              <w:rPr>
                <w:b/>
                <w:color w:val="FFFFFF"/>
                <w:sz w:val="15"/>
              </w:rPr>
              <w:t>Volatilidad</w:t>
            </w:r>
          </w:p>
        </w:tc>
        <w:tc>
          <w:tcPr>
            <w:tcW w:type="dxa" w:w="680"/>
            <w:shd w:val="clear" w:color="auto" w:fill="1F3A5F"/>
          </w:tcPr>
          <w:p>
            <w:r/>
            <w:r>
              <w:rPr>
                <w:b/>
                <w:color w:val="FFFFFF"/>
                <w:sz w:val="15"/>
              </w:rPr>
              <w:t>Sharpe</w:t>
            </w:r>
          </w:p>
        </w:tc>
        <w:tc>
          <w:tcPr>
            <w:tcW w:type="dxa" w:w="907"/>
            <w:shd w:val="clear" w:color="auto" w:fill="1F3A5F"/>
          </w:tcPr>
          <w:p>
            <w:r/>
            <w:r>
              <w:rPr>
                <w:b/>
                <w:color w:val="FFFFFF"/>
                <w:sz w:val="15"/>
              </w:rPr>
              <w:t>Máx. caída</w:t>
            </w:r>
          </w:p>
        </w:tc>
        <w:tc>
          <w:tcPr>
            <w:tcW w:type="dxa" w:w="680"/>
            <w:shd w:val="clear" w:color="auto" w:fill="1F3A5F"/>
          </w:tcPr>
          <w:p>
            <w:r/>
            <w:r>
              <w:rPr>
                <w:b/>
                <w:color w:val="FFFFFF"/>
                <w:sz w:val="15"/>
              </w:rPr>
              <w:t>TE</w:t>
            </w:r>
          </w:p>
        </w:tc>
        <w:tc>
          <w:tcPr>
            <w:tcW w:type="dxa" w:w="1020"/>
            <w:shd w:val="clear" w:color="auto" w:fill="1F3A5F"/>
          </w:tcPr>
          <w:p>
            <w:r/>
            <w:r>
              <w:rPr>
                <w:b/>
                <w:color w:val="FFFFFF"/>
                <w:sz w:val="15"/>
              </w:rPr>
              <w:t>P(3) histórico</w:t>
            </w:r>
          </w:p>
        </w:tc>
        <w:tc>
          <w:tcPr>
            <w:tcW w:type="dxa" w:w="1020"/>
            <w:shd w:val="clear" w:color="auto" w:fill="1F3A5F"/>
          </w:tcPr>
          <w:p>
            <w:r/>
            <w:r>
              <w:rPr>
                <w:b/>
                <w:color w:val="FFFFFF"/>
                <w:sz w:val="15"/>
              </w:rPr>
              <w:t>P(3) prospectivo</w:t>
            </w:r>
          </w:p>
        </w:tc>
      </w:tr>
      <w:tr>
        <w:tc>
          <w:tcPr>
            <w:tcW w:type="dxa" w:w="2948"/>
          </w:tcPr>
          <w:p>
            <w:r/>
            <w:r>
              <w:rPr>
                <w:sz w:val="15"/>
              </w:rPr>
              <w:t>Vigente</w:t>
            </w:r>
          </w:p>
        </w:tc>
        <w:tc>
          <w:tcPr>
            <w:tcW w:type="dxa" w:w="907"/>
          </w:tcPr>
          <w:p>
            <w:r/>
            <w:r>
              <w:rPr>
                <w:sz w:val="15"/>
              </w:rPr>
              <w:t>10,0%</w:t>
            </w:r>
          </w:p>
        </w:tc>
        <w:tc>
          <w:tcPr>
            <w:tcW w:type="dxa" w:w="907"/>
          </w:tcPr>
          <w:p>
            <w:r/>
            <w:r>
              <w:rPr>
                <w:sz w:val="15"/>
              </w:rPr>
              <w:t>9,9%</w:t>
            </w:r>
          </w:p>
        </w:tc>
        <w:tc>
          <w:tcPr>
            <w:tcW w:type="dxa" w:w="680"/>
          </w:tcPr>
          <w:p>
            <w:r/>
            <w:r>
              <w:rPr>
                <w:sz w:val="15"/>
              </w:rPr>
              <w:t>0,85</w:t>
            </w:r>
          </w:p>
        </w:tc>
        <w:tc>
          <w:tcPr>
            <w:tcW w:type="dxa" w:w="907"/>
          </w:tcPr>
          <w:p>
            <w:r/>
            <w:r>
              <w:rPr>
                <w:sz w:val="15"/>
              </w:rPr>
              <w:t>-20,5%</w:t>
            </w:r>
          </w:p>
        </w:tc>
        <w:tc>
          <w:tcPr>
            <w:tcW w:type="dxa" w:w="680"/>
          </w:tcPr>
          <w:p>
            <w:r/>
            <w:r>
              <w:rPr>
                <w:sz w:val="15"/>
              </w:rPr>
              <w:t>1,9%</w:t>
            </w:r>
          </w:p>
        </w:tc>
        <w:tc>
          <w:tcPr>
            <w:tcW w:type="dxa" w:w="1020"/>
          </w:tcPr>
          <w:p>
            <w:r/>
            <w:r>
              <w:rPr>
                <w:sz w:val="15"/>
              </w:rPr>
              <w:t>96,0%</w:t>
            </w:r>
          </w:p>
        </w:tc>
        <w:tc>
          <w:tcPr>
            <w:tcW w:type="dxa" w:w="1020"/>
          </w:tcPr>
          <w:p>
            <w:r/>
            <w:r>
              <w:rPr>
                <w:sz w:val="15"/>
              </w:rPr>
              <w:t>46,5%</w:t>
            </w:r>
          </w:p>
        </w:tc>
      </w:tr>
      <w:tr>
        <w:tc>
          <w:tcPr>
            <w:tcW w:type="dxa" w:w="2948"/>
            <w:shd w:val="clear" w:color="auto" w:fill="F2F5F9"/>
          </w:tcPr>
          <w:p>
            <w:r/>
            <w:r>
              <w:rPr>
                <w:sz w:val="15"/>
              </w:rPr>
              <w:t>Duración intermedia: 50% de la renta fija en AGG</w:t>
            </w:r>
          </w:p>
        </w:tc>
        <w:tc>
          <w:tcPr>
            <w:tcW w:type="dxa" w:w="907"/>
            <w:shd w:val="clear" w:color="auto" w:fill="F2F5F9"/>
          </w:tcPr>
          <w:p>
            <w:r/>
            <w:r>
              <w:rPr>
                <w:sz w:val="15"/>
              </w:rPr>
              <w:t>10,0%</w:t>
            </w:r>
          </w:p>
        </w:tc>
        <w:tc>
          <w:tcPr>
            <w:tcW w:type="dxa" w:w="907"/>
            <w:shd w:val="clear" w:color="auto" w:fill="F2F5F9"/>
          </w:tcPr>
          <w:p>
            <w:r/>
            <w:r>
              <w:rPr>
                <w:sz w:val="15"/>
              </w:rPr>
              <w:t>9,4%</w:t>
            </w:r>
          </w:p>
        </w:tc>
        <w:tc>
          <w:tcPr>
            <w:tcW w:type="dxa" w:w="680"/>
            <w:shd w:val="clear" w:color="auto" w:fill="F2F5F9"/>
          </w:tcPr>
          <w:p>
            <w:r/>
            <w:r>
              <w:rPr>
                <w:sz w:val="15"/>
              </w:rPr>
              <w:t>0,89</w:t>
            </w:r>
          </w:p>
        </w:tc>
        <w:tc>
          <w:tcPr>
            <w:tcW w:type="dxa" w:w="907"/>
            <w:shd w:val="clear" w:color="auto" w:fill="F2F5F9"/>
          </w:tcPr>
          <w:p>
            <w:r/>
            <w:r>
              <w:rPr>
                <w:sz w:val="15"/>
              </w:rPr>
              <w:t>-18,4%</w:t>
            </w:r>
          </w:p>
        </w:tc>
        <w:tc>
          <w:tcPr>
            <w:tcW w:type="dxa" w:w="680"/>
            <w:shd w:val="clear" w:color="auto" w:fill="F2F5F9"/>
          </w:tcPr>
          <w:p>
            <w:r/>
            <w:r>
              <w:rPr>
                <w:sz w:val="15"/>
              </w:rPr>
              <w:t>2,2%</w:t>
            </w:r>
          </w:p>
        </w:tc>
        <w:tc>
          <w:tcPr>
            <w:tcW w:type="dxa" w:w="1020"/>
            <w:shd w:val="clear" w:color="auto" w:fill="F2F5F9"/>
          </w:tcPr>
          <w:p>
            <w:r/>
            <w:r>
              <w:rPr>
                <w:sz w:val="15"/>
              </w:rPr>
              <w:t>96,8%</w:t>
            </w:r>
          </w:p>
        </w:tc>
        <w:tc>
          <w:tcPr>
            <w:tcW w:type="dxa" w:w="1020"/>
            <w:shd w:val="clear" w:color="auto" w:fill="F2F5F9"/>
          </w:tcPr>
          <w:p>
            <w:r/>
            <w:r>
              <w:rPr>
                <w:sz w:val="15"/>
              </w:rPr>
              <w:t>44,1%</w:t>
            </w:r>
          </w:p>
        </w:tc>
      </w:tr>
      <w:tr>
        <w:tc>
          <w:tcPr>
            <w:tcW w:type="dxa" w:w="2948"/>
          </w:tcPr>
          <w:p>
            <w:r/>
            <w:r>
              <w:rPr>
                <w:sz w:val="15"/>
              </w:rPr>
              <w:t>Internacional: 5 pp del S&amp;P 500 a EFA</w:t>
            </w:r>
          </w:p>
        </w:tc>
        <w:tc>
          <w:tcPr>
            <w:tcW w:type="dxa" w:w="907"/>
          </w:tcPr>
          <w:p>
            <w:r/>
            <w:r>
              <w:rPr>
                <w:sz w:val="15"/>
              </w:rPr>
              <w:t>9,6%</w:t>
            </w:r>
          </w:p>
        </w:tc>
        <w:tc>
          <w:tcPr>
            <w:tcW w:type="dxa" w:w="907"/>
          </w:tcPr>
          <w:p>
            <w:r/>
            <w:r>
              <w:rPr>
                <w:sz w:val="15"/>
              </w:rPr>
              <w:t>9,9%</w:t>
            </w:r>
          </w:p>
        </w:tc>
        <w:tc>
          <w:tcPr>
            <w:tcW w:type="dxa" w:w="680"/>
          </w:tcPr>
          <w:p>
            <w:r/>
            <w:r>
              <w:rPr>
                <w:sz w:val="15"/>
              </w:rPr>
              <w:t>0,82</w:t>
            </w:r>
          </w:p>
        </w:tc>
        <w:tc>
          <w:tcPr>
            <w:tcW w:type="dxa" w:w="907"/>
          </w:tcPr>
          <w:p>
            <w:r/>
            <w:r>
              <w:rPr>
                <w:sz w:val="15"/>
              </w:rPr>
              <w:t>-20,7%</w:t>
            </w:r>
          </w:p>
        </w:tc>
        <w:tc>
          <w:tcPr>
            <w:tcW w:type="dxa" w:w="680"/>
          </w:tcPr>
          <w:p>
            <w:r/>
            <w:r>
              <w:rPr>
                <w:sz w:val="15"/>
              </w:rPr>
              <w:t>2,0%</w:t>
            </w:r>
          </w:p>
        </w:tc>
        <w:tc>
          <w:tcPr>
            <w:tcW w:type="dxa" w:w="1020"/>
          </w:tcPr>
          <w:p>
            <w:r/>
            <w:r>
              <w:rPr>
                <w:sz w:val="15"/>
              </w:rPr>
              <w:t>94,2%</w:t>
            </w:r>
          </w:p>
        </w:tc>
        <w:tc>
          <w:tcPr>
            <w:tcW w:type="dxa" w:w="1020"/>
          </w:tcPr>
          <w:p>
            <w:r/>
            <w:r>
              <w:rPr>
                <w:sz w:val="15"/>
              </w:rPr>
              <w:t>47,2%</w:t>
            </w:r>
          </w:p>
        </w:tc>
      </w:tr>
      <w:tr>
        <w:tc>
          <w:tcPr>
            <w:tcW w:type="dxa" w:w="2948"/>
            <w:shd w:val="clear" w:color="auto" w:fill="F2F5F9"/>
          </w:tcPr>
          <w:p>
            <w:r/>
            <w:r>
              <w:rPr>
                <w:sz w:val="15"/>
              </w:rPr>
              <w:t>Ambos cambios</w:t>
            </w:r>
          </w:p>
        </w:tc>
        <w:tc>
          <w:tcPr>
            <w:tcW w:type="dxa" w:w="907"/>
            <w:shd w:val="clear" w:color="auto" w:fill="F2F5F9"/>
          </w:tcPr>
          <w:p>
            <w:r/>
            <w:r>
              <w:rPr>
                <w:sz w:val="15"/>
              </w:rPr>
              <w:t>9,7%</w:t>
            </w:r>
          </w:p>
        </w:tc>
        <w:tc>
          <w:tcPr>
            <w:tcW w:type="dxa" w:w="907"/>
            <w:shd w:val="clear" w:color="auto" w:fill="F2F5F9"/>
          </w:tcPr>
          <w:p>
            <w:r/>
            <w:r>
              <w:rPr>
                <w:sz w:val="15"/>
              </w:rPr>
              <w:t>9,4%</w:t>
            </w:r>
          </w:p>
        </w:tc>
        <w:tc>
          <w:tcPr>
            <w:tcW w:type="dxa" w:w="680"/>
            <w:shd w:val="clear" w:color="auto" w:fill="F2F5F9"/>
          </w:tcPr>
          <w:p>
            <w:r/>
            <w:r>
              <w:rPr>
                <w:sz w:val="15"/>
              </w:rPr>
              <w:t>0,87</w:t>
            </w:r>
          </w:p>
        </w:tc>
        <w:tc>
          <w:tcPr>
            <w:tcW w:type="dxa" w:w="907"/>
            <w:shd w:val="clear" w:color="auto" w:fill="F2F5F9"/>
          </w:tcPr>
          <w:p>
            <w:r/>
            <w:r>
              <w:rPr>
                <w:sz w:val="15"/>
              </w:rPr>
              <w:t>-18,6%</w:t>
            </w:r>
          </w:p>
        </w:tc>
        <w:tc>
          <w:tcPr>
            <w:tcW w:type="dxa" w:w="680"/>
            <w:shd w:val="clear" w:color="auto" w:fill="F2F5F9"/>
          </w:tcPr>
          <w:p>
            <w:r/>
            <w:r>
              <w:rPr>
                <w:sz w:val="15"/>
              </w:rPr>
              <w:t>2,2%</w:t>
            </w:r>
          </w:p>
        </w:tc>
        <w:tc>
          <w:tcPr>
            <w:tcW w:type="dxa" w:w="1020"/>
            <w:shd w:val="clear" w:color="auto" w:fill="F2F5F9"/>
          </w:tcPr>
          <w:p>
            <w:r/>
            <w:r>
              <w:rPr>
                <w:sz w:val="15"/>
              </w:rPr>
              <w:t>95,3%</w:t>
            </w:r>
          </w:p>
        </w:tc>
        <w:tc>
          <w:tcPr>
            <w:tcW w:type="dxa" w:w="1020"/>
            <w:shd w:val="clear" w:color="auto" w:fill="F2F5F9"/>
          </w:tcPr>
          <w:p>
            <w:r/>
            <w:r>
              <w:rPr>
                <w:sz w:val="15"/>
              </w:rPr>
              <w:t>44,8%</w:t>
            </w:r>
          </w:p>
        </w:tc>
      </w:tr>
    </w:tbl>
    <w:p>
      <w:r>
        <w:rPr>
          <w:i/>
          <w:sz w:val="16"/>
        </w:rPr>
        <w:t>Backtest 2013-2026 en USD. Prospectivo: supuesto propio de 2,4% real para AGG (menor duración que TLH, 2,6%) y 5,5% para EFA. Fuente: codigo/analisis_adicional.py.</w:t>
      </w:r>
    </w:p>
    <w:p>
      <w:pPr>
        <w:pStyle w:val="ListBullet"/>
      </w:pPr>
      <w:r>
        <w:rPr>
          <w:b/>
        </w:rPr>
        <w:t xml:space="preserve">Bonos de duración intermedia (AGG, proxy de VCIT o SCHP): </w:t>
      </w:r>
      <w:r>
        <w:t>bajan la volatilidad (9,9% → 9,4%) y la caída máxima, pero con supuestos prudentes la probabilidad conjunta cae de 46,5% a 44,1%, porque el plan necesita la prima por plazo. TLH además diversifica mejor que AGG frente al S&amp;P 500. Se mantiene la renta fija larga y se reevalúa en la revisión anual.</w:t>
      </w:r>
    </w:p>
    <w:p>
      <w:pPr>
        <w:pStyle w:val="ListBullet"/>
      </w:pPr>
      <w:r>
        <w:rPr>
          <w:b/>
        </w:rPr>
        <w:t xml:space="preserve">Acciones internacionales (EFA): </w:t>
      </w:r>
      <w:r>
        <w:t>correlación de 0,82 con el S&amp;P 500; en el backtest empeoran el resultado (94,2% vs 96,0%) y hacia adelante suman menos de un punto (47,2%). No justifican un cambio de política.</w:t>
      </w:r>
    </w:p>
    <w:p>
      <w:pPr>
        <w:pStyle w:val="Heading2"/>
      </w:pPr>
      <w:r>
        <w:t>3.4 Moneda funcional: USD, con simulaciones en UF y cobertura con forward</w:t>
      </w:r>
    </w:p>
    <w:p>
      <w:r>
        <w:rPr>
          <w:i w:val="0"/>
        </w:rPr>
        <w:t>La moneda funcional es el USD porque todo el universo de inversión cotiza en dólares. Las necesidades del cliente (UF/CLP) se evalúan explícitamente: el Montecarlo se presenta también en UF y, desde el 28-sep-2026, parte del riesgo cambiario de corto plazo se cubre con un forward (ver más abajo).</w:t>
      </w:r>
    </w:p>
    <w:p>
      <w:pPr>
        <w:pStyle w:val="ListBullet"/>
      </w:pPr>
      <w:r>
        <w:rPr>
          <w:b/>
        </w:rPr>
        <w:t xml:space="preserve">Cobertura natural: </w:t>
      </w:r>
      <w:r>
        <w:t>el peso se deprecia cuando caen los mercados globales (correlación S&amp;P 500 vs. USD/CLP de -0,36). En el 10% de los peores meses del S&amp;P 500 el dólar subió 2,9% en promedio: la cartera perdió -4,4% en USD pero solo -1,5% medida en pesos.</w:t>
      </w:r>
    </w:p>
    <w:p>
      <w:pPr>
        <w:pStyle w:val="ListBullet"/>
      </w:pPr>
      <w:r>
        <w:rPr>
          <w:b/>
        </w:rPr>
        <w:t xml:space="preserve">Diversificación del riesgo país: </w:t>
      </w:r>
      <w:r>
        <w:t>el capital humano y la vivienda de la familia ya están expuestos a Chile.</w:t>
      </w:r>
    </w:p>
    <w:p>
      <w:pPr>
        <w:pStyle w:val="ListBullet"/>
      </w:pPr>
      <w:r>
        <w:rPr>
          <w:b/>
        </w:rPr>
        <w:t xml:space="preserve">Costo: </w:t>
      </w:r>
      <w:r>
        <w:t>la volatilidad del USD/CLP es 12,5% anual; medida en pesos, la volatilidad de la cartera sube de 9,9% a 12,6%, y la probabilidad conjunta histórica baja de 96,0% a 89,6%. Se monitorea en cada revisión.</w:t>
      </w:r>
    </w:p>
    <w:p>
      <w:pPr>
        <w:pStyle w:val="Heading3"/>
      </w:pPr>
      <w:r>
        <w:t>Cobertura cambiaria con forward USD/CLP</w:t>
      </w:r>
    </w:p>
    <w:p>
      <w:r>
        <w:rPr>
          <w:i w:val="0"/>
        </w:rPr>
        <w:t>El 28 de septiembre de 2026 Nexum contrató un forward con BDCH: vende USD 104.000 a CLP 963,08 por dólar, con vencimiento el 30 de septiembre de 2027. El precio es el spot de CLP 967,32 menos 4,24 puntos forward. Los puntos negativos reflejan que la tasa en pesos es menor que la tasa en dólares (paridad cubierta de tasas): cubrirse cuesta 0,44% del monto, unos USD 456 si el dólar no se mueve. El contrato no se opera en StockTrak; se registra y valoriza aparte.</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7"/>
              </w:rPr>
              <w:t>Dólar al vencimiento (CLP)</w:t>
            </w:r>
          </w:p>
        </w:tc>
        <w:tc>
          <w:tcPr>
            <w:tcW w:type="dxa" w:w="2268"/>
            <w:shd w:val="clear" w:color="auto" w:fill="1F3A5F"/>
          </w:tcPr>
          <w:p>
            <w:r/>
            <w:r>
              <w:rPr>
                <w:b/>
                <w:color w:val="FFFFFF"/>
                <w:sz w:val="17"/>
              </w:rPr>
              <w:t>Compensación (MM CLP)</w:t>
            </w:r>
          </w:p>
        </w:tc>
        <w:tc>
          <w:tcPr>
            <w:tcW w:type="dxa" w:w="2268"/>
            <w:shd w:val="clear" w:color="auto" w:fill="1F3A5F"/>
          </w:tcPr>
          <w:p>
            <w:r/>
            <w:r>
              <w:rPr>
                <w:b/>
                <w:color w:val="FFFFFF"/>
                <w:sz w:val="17"/>
              </w:rPr>
              <w:t>Compensación (USD)</w:t>
            </w:r>
          </w:p>
        </w:tc>
        <w:tc>
          <w:tcPr>
            <w:tcW w:type="dxa" w:w="2268"/>
            <w:shd w:val="clear" w:color="auto" w:fill="1F3A5F"/>
          </w:tcPr>
          <w:p>
            <w:r/>
            <w:r>
              <w:rPr>
                <w:b/>
                <w:color w:val="FFFFFF"/>
                <w:sz w:val="17"/>
              </w:rPr>
              <w:t>Para Nexum</w:t>
            </w:r>
          </w:p>
        </w:tc>
      </w:tr>
      <w:tr>
        <w:tc>
          <w:tcPr>
            <w:tcW w:type="dxa" w:w="2268"/>
          </w:tcPr>
          <w:p>
            <w:r/>
            <w:r>
              <w:rPr>
                <w:sz w:val="17"/>
              </w:rPr>
              <w:t>850,00</w:t>
            </w:r>
          </w:p>
        </w:tc>
        <w:tc>
          <w:tcPr>
            <w:tcW w:type="dxa" w:w="2268"/>
          </w:tcPr>
          <w:p>
            <w:r/>
            <w:r>
              <w:rPr>
                <w:sz w:val="17"/>
              </w:rPr>
              <w:t>11,76</w:t>
            </w:r>
          </w:p>
        </w:tc>
        <w:tc>
          <w:tcPr>
            <w:tcW w:type="dxa" w:w="2268"/>
          </w:tcPr>
          <w:p>
            <w:r/>
            <w:r>
              <w:rPr>
                <w:sz w:val="17"/>
              </w:rPr>
              <w:t>13.836</w:t>
            </w:r>
          </w:p>
        </w:tc>
        <w:tc>
          <w:tcPr>
            <w:tcW w:type="dxa" w:w="2268"/>
          </w:tcPr>
          <w:p>
            <w:r/>
            <w:r>
              <w:rPr>
                <w:sz w:val="17"/>
              </w:rPr>
              <w:t>Nexum recibe</w:t>
            </w:r>
          </w:p>
        </w:tc>
      </w:tr>
      <w:tr>
        <w:tc>
          <w:tcPr>
            <w:tcW w:type="dxa" w:w="2268"/>
            <w:shd w:val="clear" w:color="auto" w:fill="F2F5F9"/>
          </w:tcPr>
          <w:p>
            <w:r/>
            <w:r>
              <w:rPr>
                <w:sz w:val="17"/>
              </w:rPr>
              <w:t>900,00</w:t>
            </w:r>
          </w:p>
        </w:tc>
        <w:tc>
          <w:tcPr>
            <w:tcW w:type="dxa" w:w="2268"/>
            <w:shd w:val="clear" w:color="auto" w:fill="F2F5F9"/>
          </w:tcPr>
          <w:p>
            <w:r/>
            <w:r>
              <w:rPr>
                <w:sz w:val="17"/>
              </w:rPr>
              <w:t>6,56</w:t>
            </w:r>
          </w:p>
        </w:tc>
        <w:tc>
          <w:tcPr>
            <w:tcW w:type="dxa" w:w="2268"/>
            <w:shd w:val="clear" w:color="auto" w:fill="F2F5F9"/>
          </w:tcPr>
          <w:p>
            <w:r/>
            <w:r>
              <w:rPr>
                <w:sz w:val="17"/>
              </w:rPr>
              <w:t>7.289</w:t>
            </w:r>
          </w:p>
        </w:tc>
        <w:tc>
          <w:tcPr>
            <w:tcW w:type="dxa" w:w="2268"/>
            <w:shd w:val="clear" w:color="auto" w:fill="F2F5F9"/>
          </w:tcPr>
          <w:p>
            <w:r/>
            <w:r>
              <w:rPr>
                <w:sz w:val="17"/>
              </w:rPr>
              <w:t>Nexum recibe</w:t>
            </w:r>
          </w:p>
        </w:tc>
      </w:tr>
      <w:tr>
        <w:tc>
          <w:tcPr>
            <w:tcW w:type="dxa" w:w="2268"/>
          </w:tcPr>
          <w:p>
            <w:r/>
            <w:r>
              <w:rPr>
                <w:sz w:val="17"/>
              </w:rPr>
              <w:t>950,00</w:t>
            </w:r>
          </w:p>
        </w:tc>
        <w:tc>
          <w:tcPr>
            <w:tcW w:type="dxa" w:w="2268"/>
          </w:tcPr>
          <w:p>
            <w:r/>
            <w:r>
              <w:rPr>
                <w:sz w:val="17"/>
              </w:rPr>
              <w:t>1,36</w:t>
            </w:r>
          </w:p>
        </w:tc>
        <w:tc>
          <w:tcPr>
            <w:tcW w:type="dxa" w:w="2268"/>
          </w:tcPr>
          <w:p>
            <w:r/>
            <w:r>
              <w:rPr>
                <w:sz w:val="17"/>
              </w:rPr>
              <w:t>1.432</w:t>
            </w:r>
          </w:p>
        </w:tc>
        <w:tc>
          <w:tcPr>
            <w:tcW w:type="dxa" w:w="2268"/>
          </w:tcPr>
          <w:p>
            <w:r/>
            <w:r>
              <w:rPr>
                <w:sz w:val="17"/>
              </w:rPr>
              <w:t>Nexum recibe</w:t>
            </w:r>
          </w:p>
        </w:tc>
      </w:tr>
      <w:tr>
        <w:tc>
          <w:tcPr>
            <w:tcW w:type="dxa" w:w="2268"/>
            <w:shd w:val="clear" w:color="auto" w:fill="F2F5F9"/>
          </w:tcPr>
          <w:p>
            <w:r/>
            <w:r>
              <w:rPr>
                <w:sz w:val="17"/>
              </w:rPr>
              <w:t>963,08</w:t>
            </w:r>
          </w:p>
        </w:tc>
        <w:tc>
          <w:tcPr>
            <w:tcW w:type="dxa" w:w="2268"/>
            <w:shd w:val="clear" w:color="auto" w:fill="F2F5F9"/>
          </w:tcPr>
          <w:p>
            <w:r/>
            <w:r>
              <w:rPr>
                <w:sz w:val="17"/>
              </w:rPr>
              <w:t>0,00</w:t>
            </w:r>
          </w:p>
        </w:tc>
        <w:tc>
          <w:tcPr>
            <w:tcW w:type="dxa" w:w="2268"/>
            <w:shd w:val="clear" w:color="auto" w:fill="F2F5F9"/>
          </w:tcPr>
          <w:p>
            <w:r/>
            <w:r>
              <w:rPr>
                <w:sz w:val="17"/>
              </w:rPr>
              <w:t>0</w:t>
            </w:r>
          </w:p>
        </w:tc>
        <w:tc>
          <w:tcPr>
            <w:tcW w:type="dxa" w:w="2268"/>
            <w:shd w:val="clear" w:color="auto" w:fill="F2F5F9"/>
          </w:tcPr>
          <w:p>
            <w:r/>
            <w:r>
              <w:rPr>
                <w:sz w:val="17"/>
              </w:rPr>
              <w:t>—</w:t>
            </w:r>
          </w:p>
        </w:tc>
      </w:tr>
      <w:tr>
        <w:tc>
          <w:tcPr>
            <w:tcW w:type="dxa" w:w="2268"/>
          </w:tcPr>
          <w:p>
            <w:r/>
            <w:r>
              <w:rPr>
                <w:sz w:val="17"/>
              </w:rPr>
              <w:t>1.000,00</w:t>
            </w:r>
          </w:p>
        </w:tc>
        <w:tc>
          <w:tcPr>
            <w:tcW w:type="dxa" w:w="2268"/>
          </w:tcPr>
          <w:p>
            <w:r/>
            <w:r>
              <w:rPr>
                <w:sz w:val="17"/>
              </w:rPr>
              <w:t>-3,84</w:t>
            </w:r>
          </w:p>
        </w:tc>
        <w:tc>
          <w:tcPr>
            <w:tcW w:type="dxa" w:w="2268"/>
          </w:tcPr>
          <w:p>
            <w:r/>
            <w:r>
              <w:rPr>
                <w:sz w:val="17"/>
              </w:rPr>
              <w:t>-3.840</w:t>
            </w:r>
          </w:p>
        </w:tc>
        <w:tc>
          <w:tcPr>
            <w:tcW w:type="dxa" w:w="2268"/>
          </w:tcPr>
          <w:p>
            <w:r/>
            <w:r>
              <w:rPr>
                <w:sz w:val="17"/>
              </w:rPr>
              <w:t>Nexum paga</w:t>
            </w:r>
          </w:p>
        </w:tc>
      </w:tr>
      <w:tr>
        <w:tc>
          <w:tcPr>
            <w:tcW w:type="dxa" w:w="2268"/>
            <w:shd w:val="clear" w:color="auto" w:fill="F2F5F9"/>
          </w:tcPr>
          <w:p>
            <w:r/>
            <w:r>
              <w:rPr>
                <w:sz w:val="17"/>
              </w:rPr>
              <w:t>1.050,00</w:t>
            </w:r>
          </w:p>
        </w:tc>
        <w:tc>
          <w:tcPr>
            <w:tcW w:type="dxa" w:w="2268"/>
            <w:shd w:val="clear" w:color="auto" w:fill="F2F5F9"/>
          </w:tcPr>
          <w:p>
            <w:r/>
            <w:r>
              <w:rPr>
                <w:sz w:val="17"/>
              </w:rPr>
              <w:t>-9,04</w:t>
            </w:r>
          </w:p>
        </w:tc>
        <w:tc>
          <w:tcPr>
            <w:tcW w:type="dxa" w:w="2268"/>
            <w:shd w:val="clear" w:color="auto" w:fill="F2F5F9"/>
          </w:tcPr>
          <w:p>
            <w:r/>
            <w:r>
              <w:rPr>
                <w:sz w:val="17"/>
              </w:rPr>
              <w:t>-8.609</w:t>
            </w:r>
          </w:p>
        </w:tc>
        <w:tc>
          <w:tcPr>
            <w:tcW w:type="dxa" w:w="2268"/>
            <w:shd w:val="clear" w:color="auto" w:fill="F2F5F9"/>
          </w:tcPr>
          <w:p>
            <w:r/>
            <w:r>
              <w:rPr>
                <w:sz w:val="17"/>
              </w:rPr>
              <w:t>Nexum paga</w:t>
            </w:r>
          </w:p>
        </w:tc>
      </w:tr>
      <w:tr>
        <w:tc>
          <w:tcPr>
            <w:tcW w:type="dxa" w:w="2268"/>
          </w:tcPr>
          <w:p>
            <w:r/>
            <w:r>
              <w:rPr>
                <w:sz w:val="17"/>
              </w:rPr>
              <w:t>1.100,00</w:t>
            </w:r>
          </w:p>
        </w:tc>
        <w:tc>
          <w:tcPr>
            <w:tcW w:type="dxa" w:w="2268"/>
          </w:tcPr>
          <w:p>
            <w:r/>
            <w:r>
              <w:rPr>
                <w:sz w:val="17"/>
              </w:rPr>
              <w:t>-14,24</w:t>
            </w:r>
          </w:p>
        </w:tc>
        <w:tc>
          <w:tcPr>
            <w:tcW w:type="dxa" w:w="2268"/>
          </w:tcPr>
          <w:p>
            <w:r/>
            <w:r>
              <w:rPr>
                <w:sz w:val="17"/>
              </w:rPr>
              <w:t>-12.945</w:t>
            </w:r>
          </w:p>
        </w:tc>
        <w:tc>
          <w:tcPr>
            <w:tcW w:type="dxa" w:w="2268"/>
          </w:tcPr>
          <w:p>
            <w:r/>
            <w:r>
              <w:rPr>
                <w:sz w:val="17"/>
              </w:rPr>
              <w:t>Nexum paga</w:t>
            </w:r>
          </w:p>
        </w:tc>
      </w:tr>
    </w:tbl>
    <w:p>
      <w:r>
        <w:rPr>
          <w:i/>
          <w:sz w:val="16"/>
        </w:rPr>
        <w:t>Compensación = USD 104.000 × (precio forward − dólar al vencimiento). Si el dólar sube, Nexum paga la diferencia, pero la cartera en USD vale más en pesos; si baja, Nexum recibe la diferencia y compensa la pérdida de valor en pesos.</w:t>
      </w:r>
    </w:p>
    <w:p>
      <w:r>
        <w:rPr>
          <w:i w:val="0"/>
        </w:rPr>
        <w:t>Por qué ese monto. USD 104.000 cubren 69% del mandato (70% del valor de la cartera ese día). Como el peso se deprecia cuando caen los mercados (cobertura natural, correlación -0,39), cubrir el 100% no minimiza el riesgo en pesos: en la simulación, la volatilidad en pesos es mínima con una cobertura de ~75%, muy cerca del 70% contratado.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7"/>
              </w:rPr>
              <w:t>Medido en</w:t>
            </w:r>
          </w:p>
        </w:tc>
        <w:tc>
          <w:tcPr>
            <w:tcW w:type="dxa" w:w="1587"/>
            <w:shd w:val="clear" w:color="auto" w:fill="1F3A5F"/>
          </w:tcPr>
          <w:p>
            <w:r/>
            <w:r>
              <w:rPr>
                <w:b/>
                <w:color w:val="FFFFFF"/>
                <w:sz w:val="17"/>
              </w:rPr>
              <w:t>Cartera</w:t>
            </w:r>
          </w:p>
        </w:tc>
        <w:tc>
          <w:tcPr>
            <w:tcW w:type="dxa" w:w="1474"/>
            <w:shd w:val="clear" w:color="auto" w:fill="1F3A5F"/>
          </w:tcPr>
          <w:p>
            <w:r/>
            <w:r>
              <w:rPr>
                <w:b/>
                <w:color w:val="FFFFFF"/>
                <w:sz w:val="17"/>
              </w:rPr>
              <w:t>Retorno medio 12 meses</w:t>
            </w:r>
          </w:p>
        </w:tc>
        <w:tc>
          <w:tcPr>
            <w:tcW w:type="dxa" w:w="1247"/>
            <w:shd w:val="clear" w:color="auto" w:fill="1F3A5F"/>
          </w:tcPr>
          <w:p>
            <w:r/>
            <w:r>
              <w:rPr>
                <w:b/>
                <w:color w:val="FFFFFF"/>
                <w:sz w:val="17"/>
              </w:rPr>
              <w:t>Volatilidad</w:t>
            </w:r>
          </w:p>
        </w:tc>
        <w:tc>
          <w:tcPr>
            <w:tcW w:type="dxa" w:w="1134"/>
            <w:shd w:val="clear" w:color="auto" w:fill="1F3A5F"/>
          </w:tcPr>
          <w:p>
            <w:r/>
            <w:r>
              <w:rPr>
                <w:b/>
                <w:color w:val="FFFFFF"/>
                <w:sz w:val="17"/>
              </w:rPr>
              <w:t>Peor 5%</w:t>
            </w:r>
          </w:p>
        </w:tc>
        <w:tc>
          <w:tcPr>
            <w:tcW w:type="dxa" w:w="1361"/>
            <w:shd w:val="clear" w:color="auto" w:fill="1F3A5F"/>
          </w:tcPr>
          <w:p>
            <w:r/>
            <w:r>
              <w:rPr>
                <w:b/>
                <w:color w:val="FFFFFF"/>
                <w:sz w:val="17"/>
              </w:rPr>
              <w:t>P(pérdida &gt; 10%)</w:t>
            </w:r>
          </w:p>
        </w:tc>
      </w:tr>
      <w:tr>
        <w:tc>
          <w:tcPr>
            <w:tcW w:type="dxa" w:w="2381"/>
          </w:tcPr>
          <w:p>
            <w:r/>
            <w:r>
              <w:rPr>
                <w:sz w:val="17"/>
              </w:rPr>
              <w:t>CLP (moneda de las metas)</w:t>
            </w:r>
          </w:p>
        </w:tc>
        <w:tc>
          <w:tcPr>
            <w:tcW w:type="dxa" w:w="1587"/>
          </w:tcPr>
          <w:p>
            <w:r/>
            <w:r>
              <w:rPr>
                <w:sz w:val="17"/>
              </w:rPr>
              <w:t>Sin cobertura</w:t>
            </w:r>
          </w:p>
        </w:tc>
        <w:tc>
          <w:tcPr>
            <w:tcW w:type="dxa" w:w="1474"/>
          </w:tcPr>
          <w:p>
            <w:r/>
            <w:r>
              <w:rPr>
                <w:sz w:val="17"/>
              </w:rPr>
              <w:t>10,9%</w:t>
            </w:r>
          </w:p>
        </w:tc>
        <w:tc>
          <w:tcPr>
            <w:tcW w:type="dxa" w:w="1247"/>
          </w:tcPr>
          <w:p>
            <w:r/>
            <w:r>
              <w:rPr>
                <w:sz w:val="17"/>
              </w:rPr>
              <w:t>13,9%</w:t>
            </w:r>
          </w:p>
        </w:tc>
        <w:tc>
          <w:tcPr>
            <w:tcW w:type="dxa" w:w="1134"/>
          </w:tcPr>
          <w:p>
            <w:r/>
            <w:r>
              <w:rPr>
                <w:sz w:val="17"/>
              </w:rPr>
              <w:t>-10,6%</w:t>
            </w:r>
          </w:p>
        </w:tc>
        <w:tc>
          <w:tcPr>
            <w:tcW w:type="dxa" w:w="1361"/>
          </w:tcPr>
          <w:p>
            <w:r/>
            <w:r>
              <w:rPr>
                <w:sz w:val="17"/>
              </w:rPr>
              <w:t>5,6%</w:t>
            </w:r>
          </w:p>
        </w:tc>
      </w:tr>
      <w:tr>
        <w:tc>
          <w:tcPr>
            <w:tcW w:type="dxa" w:w="2381"/>
            <w:shd w:val="clear" w:color="auto" w:fill="F2F5F9"/>
          </w:tcPr>
          <w:p>
            <w:r/>
            <w:r>
              <w:rPr>
                <w:sz w:val="17"/>
              </w:rPr>
              <w:t>CLP (moneda de las metas)</w:t>
            </w:r>
          </w:p>
        </w:tc>
        <w:tc>
          <w:tcPr>
            <w:tcW w:type="dxa" w:w="1587"/>
            <w:shd w:val="clear" w:color="auto" w:fill="F2F5F9"/>
          </w:tcPr>
          <w:p>
            <w:r/>
            <w:r>
              <w:rPr>
                <w:sz w:val="17"/>
              </w:rPr>
              <w:t>Con el forward</w:t>
            </w:r>
          </w:p>
        </w:tc>
        <w:tc>
          <w:tcPr>
            <w:tcW w:type="dxa" w:w="1474"/>
            <w:shd w:val="clear" w:color="auto" w:fill="F2F5F9"/>
          </w:tcPr>
          <w:p>
            <w:r/>
            <w:r>
              <w:rPr>
                <w:sz w:val="17"/>
              </w:rPr>
              <w:t>10,0%</w:t>
            </w:r>
          </w:p>
        </w:tc>
        <w:tc>
          <w:tcPr>
            <w:tcW w:type="dxa" w:w="1247"/>
            <w:shd w:val="clear" w:color="auto" w:fill="F2F5F9"/>
          </w:tcPr>
          <w:p>
            <w:r/>
            <w:r>
              <w:rPr>
                <w:sz w:val="17"/>
              </w:rPr>
              <w:t>10,3%</w:t>
            </w:r>
          </w:p>
        </w:tc>
        <w:tc>
          <w:tcPr>
            <w:tcW w:type="dxa" w:w="1134"/>
            <w:shd w:val="clear" w:color="auto" w:fill="F2F5F9"/>
          </w:tcPr>
          <w:p>
            <w:r/>
            <w:r>
              <w:rPr>
                <w:sz w:val="17"/>
              </w:rPr>
              <w:t>-6,4%</w:t>
            </w:r>
          </w:p>
        </w:tc>
        <w:tc>
          <w:tcPr>
            <w:tcW w:type="dxa" w:w="1361"/>
            <w:shd w:val="clear" w:color="auto" w:fill="F2F5F9"/>
          </w:tcPr>
          <w:p>
            <w:r/>
            <w:r>
              <w:rPr>
                <w:sz w:val="17"/>
              </w:rPr>
              <w:t>2,1%</w:t>
            </w:r>
          </w:p>
        </w:tc>
      </w:tr>
      <w:tr>
        <w:tc>
          <w:tcPr>
            <w:tcW w:type="dxa" w:w="2381"/>
          </w:tcPr>
          <w:p>
            <w:r/>
            <w:r>
              <w:rPr>
                <w:sz w:val="17"/>
              </w:rPr>
              <w:t>USD (moneda funcional)</w:t>
            </w:r>
          </w:p>
        </w:tc>
        <w:tc>
          <w:tcPr>
            <w:tcW w:type="dxa" w:w="1587"/>
          </w:tcPr>
          <w:p>
            <w:r/>
            <w:r>
              <w:rPr>
                <w:sz w:val="17"/>
              </w:rPr>
              <w:t>Sin cobertura</w:t>
            </w:r>
          </w:p>
        </w:tc>
        <w:tc>
          <w:tcPr>
            <w:tcW w:type="dxa" w:w="1474"/>
          </w:tcPr>
          <w:p>
            <w:r/>
            <w:r>
              <w:rPr>
                <w:sz w:val="17"/>
              </w:rPr>
              <w:t>10,6%</w:t>
            </w:r>
          </w:p>
        </w:tc>
        <w:tc>
          <w:tcPr>
            <w:tcW w:type="dxa" w:w="1247"/>
          </w:tcPr>
          <w:p>
            <w:r/>
            <w:r>
              <w:rPr>
                <w:sz w:val="17"/>
              </w:rPr>
              <w:t>11,0%</w:t>
            </w:r>
          </w:p>
        </w:tc>
        <w:tc>
          <w:tcPr>
            <w:tcW w:type="dxa" w:w="1134"/>
          </w:tcPr>
          <w:p>
            <w:r/>
            <w:r>
              <w:rPr>
                <w:sz w:val="17"/>
              </w:rPr>
              <w:t>-7,2%</w:t>
            </w:r>
          </w:p>
        </w:tc>
        <w:tc>
          <w:tcPr>
            <w:tcW w:type="dxa" w:w="1361"/>
          </w:tcPr>
          <w:p>
            <w:r/>
            <w:r>
              <w:rPr>
                <w:sz w:val="17"/>
              </w:rPr>
              <w:t>2,8%</w:t>
            </w:r>
          </w:p>
        </w:tc>
      </w:tr>
      <w:tr>
        <w:tc>
          <w:tcPr>
            <w:tcW w:type="dxa" w:w="2381"/>
            <w:shd w:val="clear" w:color="auto" w:fill="F2F5F9"/>
          </w:tcPr>
          <w:p>
            <w:r/>
            <w:r>
              <w:rPr>
                <w:sz w:val="17"/>
              </w:rPr>
              <w:t>USD (moneda funcional)</w:t>
            </w:r>
          </w:p>
        </w:tc>
        <w:tc>
          <w:tcPr>
            <w:tcW w:type="dxa" w:w="1587"/>
            <w:shd w:val="clear" w:color="auto" w:fill="F2F5F9"/>
          </w:tcPr>
          <w:p>
            <w:r/>
            <w:r>
              <w:rPr>
                <w:sz w:val="17"/>
              </w:rPr>
              <w:t>Con el forward</w:t>
            </w:r>
          </w:p>
        </w:tc>
        <w:tc>
          <w:tcPr>
            <w:tcW w:type="dxa" w:w="1474"/>
            <w:shd w:val="clear" w:color="auto" w:fill="F2F5F9"/>
          </w:tcPr>
          <w:p>
            <w:r/>
            <w:r>
              <w:rPr>
                <w:sz w:val="17"/>
              </w:rPr>
              <w:t>10,8%</w:t>
            </w:r>
          </w:p>
        </w:tc>
        <w:tc>
          <w:tcPr>
            <w:tcW w:type="dxa" w:w="1247"/>
            <w:shd w:val="clear" w:color="auto" w:fill="F2F5F9"/>
          </w:tcPr>
          <w:p>
            <w:r/>
            <w:r>
              <w:rPr>
                <w:sz w:val="17"/>
              </w:rPr>
              <w:t>16,4%</w:t>
            </w:r>
          </w:p>
        </w:tc>
        <w:tc>
          <w:tcPr>
            <w:tcW w:type="dxa" w:w="1134"/>
            <w:shd w:val="clear" w:color="auto" w:fill="F2F5F9"/>
          </w:tcPr>
          <w:p>
            <w:r/>
            <w:r>
              <w:rPr>
                <w:sz w:val="17"/>
              </w:rPr>
              <w:t>-15,7%</w:t>
            </w:r>
          </w:p>
        </w:tc>
        <w:tc>
          <w:tcPr>
            <w:tcW w:type="dxa" w:w="1361"/>
            <w:shd w:val="clear" w:color="auto" w:fill="F2F5F9"/>
          </w:tcPr>
          <w:p>
            <w:r/>
            <w:r>
              <w:rPr>
                <w:sz w:val="17"/>
              </w:rPr>
              <w:t>10,1%</w:t>
            </w:r>
          </w:p>
        </w:tc>
      </w:tr>
    </w:tbl>
    <w:p>
      <w:r>
        <w:rPr>
          <w:i/>
          <w:sz w:val="16"/>
        </w:rPr>
        <w:t>20.000 escenarios de 12 meses por bootstrap de los retornos mensuales conjuntos de la cartera y del USD/CLP (2013-2026), con el dólar sin tendencia. Fuente: codigo/analisis_adicional.py.</w:t>
      </w:r>
    </w:p>
    <w:p>
      <w:r>
        <w:rPr>
          <w:i w:val="0"/>
        </w:rPr>
        <w:t>Lectura. Medido en pesos, la moneda de las metas, el forward baja la volatilidad de 13,9% a 10,3% y el peor 5% de -10,6% a -6,4%. Medido en dólares, la aumenta (11,0% → 16,4%): en los peores años de la cartera el peso se deprecia y el forward se paga (en promedio USD 8.660 en el 10% de peores años). Es el costo de medir el riesgo en la moneda de las metas, que es la que importa para la familia.</w:t>
      </w:r>
    </w:p>
    <w:p>
      <w:r>
        <w:rPr>
          <w:i w:val="0"/>
        </w:rPr>
        <w:t>Liquidez. En 42% de los escenarios la compensación supera la reserva cambiaria de 2% (USD 3.000, que alcanza hasta un dólar de CLP 992); en el 5% más adverso Nexum paga ~USD 19.498. Ese pago se financia con SGOV y venta de activos en USD, que en ese mismo escenario valen más en pesos. El valor de mercado del forward se informa mensualmente y la renovación se decide al vencimiento.</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Mezcla igual ponderada GLD/USO/DBA/SLV/CPER</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3"/>
      </w:pPr>
      <w:r>
        <w:t>Benchmark por clase de activo</w:t>
      </w:r>
    </w:p>
    <w:p>
      <w:r>
        <w:rPr>
          <w:i w:val="0"/>
        </w:rPr>
        <w:t>El benchmark por sleeve mide si cada estrategia cumple su regla. El benchmark por clase de activo responde otra pregunta: si las decisiones dentro de cada clase (factores en renta variable, duración en renta fija, señal en commodities) agregan valor frente al índice amplio de esa clase. Cada clase se compara con un índice invertible del mismo universo: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701"/>
            <w:shd w:val="clear" w:color="auto" w:fill="1F3A5F"/>
          </w:tcPr>
          <w:p>
            <w:r/>
            <w:r>
              <w:rPr>
                <w:b/>
                <w:color w:val="FFFFFF"/>
                <w:sz w:val="15"/>
              </w:rPr>
              <w:t>Clase (peso)</w:t>
            </w:r>
          </w:p>
        </w:tc>
        <w:tc>
          <w:tcPr>
            <w:tcW w:type="dxa" w:w="1871"/>
            <w:shd w:val="clear" w:color="auto" w:fill="1F3A5F"/>
          </w:tcPr>
          <w:p>
            <w:r/>
            <w:r>
              <w:rPr>
                <w:b/>
                <w:color w:val="FFFFFF"/>
                <w:sz w:val="15"/>
              </w:rPr>
              <w:t>Benchmark</w:t>
            </w:r>
          </w:p>
        </w:tc>
        <w:tc>
          <w:tcPr>
            <w:tcW w:type="dxa" w:w="850"/>
            <w:shd w:val="clear" w:color="auto" w:fill="1F3A5F"/>
          </w:tcPr>
          <w:p>
            <w:r/>
            <w:r>
              <w:rPr>
                <w:b/>
                <w:color w:val="FFFFFF"/>
                <w:sz w:val="15"/>
              </w:rPr>
              <w:t>Retorno Nexum</w:t>
            </w:r>
          </w:p>
        </w:tc>
        <w:tc>
          <w:tcPr>
            <w:tcW w:type="dxa" w:w="907"/>
            <w:shd w:val="clear" w:color="auto" w:fill="1F3A5F"/>
          </w:tcPr>
          <w:p>
            <w:r/>
            <w:r>
              <w:rPr>
                <w:b/>
                <w:color w:val="FFFFFF"/>
                <w:sz w:val="15"/>
              </w:rPr>
              <w:t>Retorno benchmark</w:t>
            </w:r>
          </w:p>
        </w:tc>
        <w:tc>
          <w:tcPr>
            <w:tcW w:type="dxa" w:w="1134"/>
            <w:shd w:val="clear" w:color="auto" w:fill="1F3A5F"/>
          </w:tcPr>
          <w:p>
            <w:r/>
            <w:r>
              <w:rPr>
                <w:b/>
                <w:color w:val="FFFFFF"/>
                <w:sz w:val="15"/>
              </w:rPr>
              <w:t>Vol. Nexum / benchmark</w:t>
            </w:r>
          </w:p>
        </w:tc>
        <w:tc>
          <w:tcPr>
            <w:tcW w:type="dxa" w:w="1247"/>
            <w:shd w:val="clear" w:color="auto" w:fill="1F3A5F"/>
          </w:tcPr>
          <w:p>
            <w:r/>
            <w:r>
              <w:rPr>
                <w:b/>
                <w:color w:val="FFFFFF"/>
                <w:sz w:val="15"/>
              </w:rPr>
              <w:t>Máx. caída Nexum / benchmark</w:t>
            </w:r>
          </w:p>
        </w:tc>
        <w:tc>
          <w:tcPr>
            <w:tcW w:type="dxa" w:w="624"/>
            <w:shd w:val="clear" w:color="auto" w:fill="1F3A5F"/>
          </w:tcPr>
          <w:p>
            <w:r/>
            <w:r>
              <w:rPr>
                <w:b/>
                <w:color w:val="FFFFFF"/>
                <w:sz w:val="15"/>
              </w:rPr>
              <w:t>TE</w:t>
            </w:r>
          </w:p>
        </w:tc>
        <w:tc>
          <w:tcPr>
            <w:tcW w:type="dxa" w:w="907"/>
            <w:shd w:val="clear" w:color="auto" w:fill="1F3A5F"/>
          </w:tcPr>
          <w:p>
            <w:r/>
            <w:r>
              <w:rPr>
                <w:b/>
                <w:color w:val="FFFFFF"/>
                <w:sz w:val="15"/>
              </w:rPr>
              <w:t>Aporte al retorno activo</w:t>
            </w:r>
          </w:p>
        </w:tc>
      </w:tr>
      <w:tr>
        <w:tc>
          <w:tcPr>
            <w:tcW w:type="dxa" w:w="1701"/>
          </w:tcPr>
          <w:p>
            <w:r/>
            <w:r>
              <w:rPr>
                <w:sz w:val="15"/>
              </w:rPr>
              <w:t>Renta variable EE.UU. (62,4%)</w:t>
            </w:r>
          </w:p>
        </w:tc>
        <w:tc>
          <w:tcPr>
            <w:tcW w:type="dxa" w:w="1871"/>
          </w:tcPr>
          <w:p>
            <w:r/>
            <w:r>
              <w:rPr>
                <w:sz w:val="15"/>
              </w:rPr>
              <w:t>S&amp;P 500 (SPY)</w:t>
            </w:r>
          </w:p>
        </w:tc>
        <w:tc>
          <w:tcPr>
            <w:tcW w:type="dxa" w:w="850"/>
          </w:tcPr>
          <w:p>
            <w:r/>
            <w:r>
              <w:rPr>
                <w:sz w:val="15"/>
              </w:rPr>
              <w:t>13,9%</w:t>
            </w:r>
          </w:p>
        </w:tc>
        <w:tc>
          <w:tcPr>
            <w:tcW w:type="dxa" w:w="907"/>
          </w:tcPr>
          <w:p>
            <w:r/>
            <w:r>
              <w:rPr>
                <w:sz w:val="15"/>
              </w:rPr>
              <w:t>15,1%</w:t>
            </w:r>
          </w:p>
        </w:tc>
        <w:tc>
          <w:tcPr>
            <w:tcW w:type="dxa" w:w="1134"/>
          </w:tcPr>
          <w:p>
            <w:r/>
            <w:r>
              <w:rPr>
                <w:sz w:val="15"/>
              </w:rPr>
              <w:t>13,7% / 15,1%</w:t>
            </w:r>
          </w:p>
        </w:tc>
        <w:tc>
          <w:tcPr>
            <w:tcW w:type="dxa" w:w="1247"/>
          </w:tcPr>
          <w:p>
            <w:r/>
            <w:r>
              <w:rPr>
                <w:sz w:val="15"/>
              </w:rPr>
              <w:t>-19,5% / -23,9%</w:t>
            </w:r>
          </w:p>
        </w:tc>
        <w:tc>
          <w:tcPr>
            <w:tcW w:type="dxa" w:w="624"/>
          </w:tcPr>
          <w:p>
            <w:r/>
            <w:r>
              <w:rPr>
                <w:sz w:val="15"/>
              </w:rPr>
              <w:t>4,0%</w:t>
            </w:r>
          </w:p>
        </w:tc>
        <w:tc>
          <w:tcPr>
            <w:tcW w:type="dxa" w:w="907"/>
          </w:tcPr>
          <w:p>
            <w:r/>
            <w:r>
              <w:rPr>
                <w:sz w:val="15"/>
              </w:rPr>
              <w:t>-0,79 pp</w:t>
            </w:r>
          </w:p>
        </w:tc>
      </w:tr>
      <w:tr>
        <w:tc>
          <w:tcPr>
            <w:tcW w:type="dxa" w:w="1701"/>
            <w:shd w:val="clear" w:color="auto" w:fill="F2F5F9"/>
          </w:tcPr>
          <w:p>
            <w:r/>
            <w:r>
              <w:rPr>
                <w:sz w:val="15"/>
              </w:rPr>
              <w:t>Renta fija larga EE.UU. (31,5%)</w:t>
            </w:r>
          </w:p>
        </w:tc>
        <w:tc>
          <w:tcPr>
            <w:tcW w:type="dxa" w:w="1871"/>
            <w:shd w:val="clear" w:color="auto" w:fill="F2F5F9"/>
          </w:tcPr>
          <w:p>
            <w:r/>
            <w:r>
              <w:rPr>
                <w:sz w:val="15"/>
              </w:rPr>
              <w:t>Tesoro y corporativos largos 50/50 (TLH/VCLT)</w:t>
            </w:r>
          </w:p>
        </w:tc>
        <w:tc>
          <w:tcPr>
            <w:tcW w:type="dxa" w:w="850"/>
            <w:shd w:val="clear" w:color="auto" w:fill="F2F5F9"/>
          </w:tcPr>
          <w:p>
            <w:r/>
            <w:r>
              <w:rPr>
                <w:sz w:val="15"/>
              </w:rPr>
              <w:t>1,3%</w:t>
            </w:r>
          </w:p>
        </w:tc>
        <w:tc>
          <w:tcPr>
            <w:tcW w:type="dxa" w:w="907"/>
            <w:shd w:val="clear" w:color="auto" w:fill="F2F5F9"/>
          </w:tcPr>
          <w:p>
            <w:r/>
            <w:r>
              <w:rPr>
                <w:sz w:val="15"/>
              </w:rPr>
              <w:t>1,4%</w:t>
            </w:r>
          </w:p>
        </w:tc>
        <w:tc>
          <w:tcPr>
            <w:tcW w:type="dxa" w:w="1134"/>
            <w:shd w:val="clear" w:color="auto" w:fill="F2F5F9"/>
          </w:tcPr>
          <w:p>
            <w:r/>
            <w:r>
              <w:rPr>
                <w:sz w:val="15"/>
              </w:rPr>
              <w:t>10,5% / 10,6%</w:t>
            </w:r>
          </w:p>
        </w:tc>
        <w:tc>
          <w:tcPr>
            <w:tcW w:type="dxa" w:w="1247"/>
            <w:shd w:val="clear" w:color="auto" w:fill="F2F5F9"/>
          </w:tcPr>
          <w:p>
            <w:r/>
            <w:r>
              <w:rPr>
                <w:sz w:val="15"/>
              </w:rPr>
              <w:t>-36,0% / -35,7%</w:t>
            </w:r>
          </w:p>
        </w:tc>
        <w:tc>
          <w:tcPr>
            <w:tcW w:type="dxa" w:w="624"/>
            <w:shd w:val="clear" w:color="auto" w:fill="F2F5F9"/>
          </w:tcPr>
          <w:p>
            <w:r/>
            <w:r>
              <w:rPr>
                <w:sz w:val="15"/>
              </w:rPr>
              <w:t>0,3%</w:t>
            </w:r>
          </w:p>
        </w:tc>
        <w:tc>
          <w:tcPr>
            <w:tcW w:type="dxa" w:w="907"/>
            <w:shd w:val="clear" w:color="auto" w:fill="F2F5F9"/>
          </w:tcPr>
          <w:p>
            <w:r/>
            <w:r>
              <w:rPr>
                <w:sz w:val="15"/>
              </w:rPr>
              <w:t>-0,04 pp</w:t>
            </w:r>
          </w:p>
        </w:tc>
      </w:tr>
      <w:tr>
        <w:tc>
          <w:tcPr>
            <w:tcW w:type="dxa" w:w="1701"/>
          </w:tcPr>
          <w:p>
            <w:r/>
            <w:r>
              <w:rPr>
                <w:sz w:val="15"/>
              </w:rPr>
              <w:t>Commodities (6,1%)</w:t>
            </w:r>
          </w:p>
        </w:tc>
        <w:tc>
          <w:tcPr>
            <w:tcW w:type="dxa" w:w="1871"/>
          </w:tcPr>
          <w:p>
            <w:r/>
            <w:r>
              <w:rPr>
                <w:sz w:val="15"/>
              </w:rPr>
              <w:t>Mezcla igual ponderada GLD/USO/DBA/SLV/CPER</w:t>
            </w:r>
          </w:p>
        </w:tc>
        <w:tc>
          <w:tcPr>
            <w:tcW w:type="dxa" w:w="850"/>
          </w:tcPr>
          <w:p>
            <w:r/>
            <w:r>
              <w:rPr>
                <w:sz w:val="15"/>
              </w:rPr>
              <w:t>10,6%</w:t>
            </w:r>
          </w:p>
        </w:tc>
        <w:tc>
          <w:tcPr>
            <w:tcW w:type="dxa" w:w="907"/>
          </w:tcPr>
          <w:p>
            <w:r/>
            <w:r>
              <w:rPr>
                <w:sz w:val="15"/>
              </w:rPr>
              <w:t>12,1%</w:t>
            </w:r>
          </w:p>
        </w:tc>
        <w:tc>
          <w:tcPr>
            <w:tcW w:type="dxa" w:w="1134"/>
          </w:tcPr>
          <w:p>
            <w:r/>
            <w:r>
              <w:rPr>
                <w:sz w:val="15"/>
              </w:rPr>
              <w:t>19,2% / 15,3%</w:t>
            </w:r>
          </w:p>
        </w:tc>
        <w:tc>
          <w:tcPr>
            <w:tcW w:type="dxa" w:w="1247"/>
          </w:tcPr>
          <w:p>
            <w:r/>
            <w:r>
              <w:rPr>
                <w:sz w:val="15"/>
              </w:rPr>
              <w:t>-31,4% / -29,8%</w:t>
            </w:r>
          </w:p>
        </w:tc>
        <w:tc>
          <w:tcPr>
            <w:tcW w:type="dxa" w:w="624"/>
          </w:tcPr>
          <w:p>
            <w:r/>
            <w:r>
              <w:rPr>
                <w:sz w:val="15"/>
              </w:rPr>
              <w:t>17,5%</w:t>
            </w:r>
          </w:p>
        </w:tc>
        <w:tc>
          <w:tcPr>
            <w:tcW w:type="dxa" w:w="907"/>
          </w:tcPr>
          <w:p>
            <w:r/>
            <w:r>
              <w:rPr>
                <w:sz w:val="15"/>
              </w:rPr>
              <w:t>-0,04 pp</w:t>
            </w:r>
          </w:p>
        </w:tc>
      </w:tr>
      <w:tr>
        <w:tc>
          <w:tcPr>
            <w:tcW w:type="dxa" w:w="1701"/>
            <w:shd w:val="clear" w:color="auto" w:fill="F2F5F9"/>
          </w:tcPr>
          <w:p>
            <w:r/>
            <w:r>
              <w:rPr>
                <w:sz w:val="15"/>
              </w:rPr>
              <w:t>Liquidez (reserva 4%)</w:t>
            </w:r>
          </w:p>
        </w:tc>
        <w:tc>
          <w:tcPr>
            <w:tcW w:type="dxa" w:w="1871"/>
            <w:shd w:val="clear" w:color="auto" w:fill="F2F5F9"/>
          </w:tcPr>
          <w:p>
            <w:r/>
            <w:r>
              <w:rPr>
                <w:sz w:val="15"/>
              </w:rPr>
              <w:t>T-Bills 0-3 meses (BIL/SGOV)</w:t>
            </w:r>
          </w:p>
        </w:tc>
        <w:tc>
          <w:tcPr>
            <w:tcW w:type="dxa" w:w="850"/>
            <w:shd w:val="clear" w:color="auto" w:fill="F2F5F9"/>
          </w:tcPr>
          <w:p>
            <w:r/>
            <w:r>
              <w:rPr>
                <w:sz w:val="15"/>
              </w:rPr>
              <w:t>—</w:t>
            </w:r>
          </w:p>
        </w:tc>
        <w:tc>
          <w:tcPr>
            <w:tcW w:type="dxa" w:w="907"/>
            <w:shd w:val="clear" w:color="auto" w:fill="F2F5F9"/>
          </w:tcPr>
          <w:p>
            <w:r/>
            <w:r>
              <w:rPr>
                <w:sz w:val="15"/>
              </w:rPr>
              <w:t>—</w:t>
            </w:r>
          </w:p>
        </w:tc>
        <w:tc>
          <w:tcPr>
            <w:tcW w:type="dxa" w:w="1134"/>
            <w:shd w:val="clear" w:color="auto" w:fill="F2F5F9"/>
          </w:tcPr>
          <w:p>
            <w:r/>
            <w:r>
              <w:rPr>
                <w:sz w:val="15"/>
              </w:rPr>
              <w:t>—</w:t>
            </w:r>
          </w:p>
        </w:tc>
        <w:tc>
          <w:tcPr>
            <w:tcW w:type="dxa" w:w="1247"/>
            <w:shd w:val="clear" w:color="auto" w:fill="F2F5F9"/>
          </w:tcPr>
          <w:p>
            <w:r/>
            <w:r>
              <w:rPr>
                <w:sz w:val="15"/>
              </w:rPr>
              <w:t>—</w:t>
            </w:r>
          </w:p>
        </w:tc>
        <w:tc>
          <w:tcPr>
            <w:tcW w:type="dxa" w:w="624"/>
            <w:shd w:val="clear" w:color="auto" w:fill="F2F5F9"/>
          </w:tcPr>
          <w:p>
            <w:r/>
            <w:r>
              <w:rPr>
                <w:sz w:val="15"/>
              </w:rPr>
              <w:t>—</w:t>
            </w:r>
          </w:p>
        </w:tc>
        <w:tc>
          <w:tcPr>
            <w:tcW w:type="dxa" w:w="907"/>
            <w:shd w:val="clear" w:color="auto" w:fill="F2F5F9"/>
          </w:tcPr>
          <w:p>
            <w:r/>
            <w:r>
              <w:rPr>
                <w:sz w:val="15"/>
              </w:rPr>
              <w:t>fuera de la asignación</w:t>
            </w:r>
          </w:p>
        </w:tc>
      </w:tr>
    </w:tbl>
    <w:p>
      <w:r>
        <w:rPr>
          <w:i/>
          <w:sz w:val="16"/>
        </w:rPr>
        <w:t>2016-2026, USD. Renta fija: 50% TLH + 50% VCLT como proxy invertible del Bloomberg U.S. Long Government/Credit (BLV no está en la base de datos). Commodities: el Bloomberg Commodity Index sería el índice amplio, pero no está en la base; se usa la mezcla igual ponderada de los 5 ETF. Fuente: codigo/analisis_adicional.py.</w:t>
      </w:r>
    </w:p>
    <w:p>
      <w:r>
        <w:rPr>
          <w:i w:val="0"/>
        </w:rPr>
        <w:t>Lectura. El benchmark por clase rindió 10,7% anual frente a 9,9% de Nexum (tracking error 2,9%, dentro del objetivo de 3%). Casi toda la diferencia viene de la renta variable: Low-Volatility y Momentum rindieron 1,26 puntos menos al año que el S&amp;P 500 en una década excepcional para el índice, pero con menos volatilidad (13,7% vs 15,1%), una caída máxima menor (-19,5% vs -23,9%) y el mismo Sharpe (0,87 vs 0,87). Es decir, el satélite de renta variable cumplió su función de bajar el riesgo, no de superar al índice. La renta fija es pasiva y replica su benchmark (TE 0,3%). En 2013-2026 el resultado es similar (10,0% vs 10,3%), con un aporte positivo de commodities.</w:t>
      </w:r>
    </w:p>
    <w:p>
      <w:r>
        <w:rPr>
          <w:i w:val="0"/>
        </w:rPr>
        <w:t>Decisión de duración. Frente a los bonos amplios de EE.UU. (AGG, duración ~6), la renta fija larga de Nexum rindió casi lo mismo en 2013-2026 (1,4% vs 1,7%) con el doble de volatilidad, protegió más en la crisis de 2020 (2,3% vs 1,0%) y cayó más en el alza de tasas de 2022 (-25,3% vs -13,0%). La duración larga es una decisión estratégica coherente con metas a 14-50 años, y por eso el benchmark de la clase es de largo plazo y no el AGG.</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2,0% (2016-2026) y 2,4% en los últimos 36 meses, dentro del objetivo; el information ratio realizado es 0,18.</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6" name="Picture 6"/>
            <wp:cNvGraphicFramePr>
              <a:graphicFrameLocks noChangeAspect="1"/>
            </wp:cNvGraphicFramePr>
            <a:graphic>
              <a:graphicData uri="http://schemas.openxmlformats.org/drawingml/2006/picture">
                <pic:pic>
                  <pic:nvPicPr>
                    <pic:cNvPr id="0" name="f4_montecarlo.png"/>
                    <pic:cNvPicPr/>
                  </pic:nvPicPr>
                  <pic:blipFill>
                    <a:blip r:embed="rId14"/>
                    <a:stretch>
                      <a:fillRect/>
                    </a:stretch>
                  </pic:blipFill>
                  <pic:spPr>
                    <a:xfrm>
                      <a:off x="0" y="0"/>
                      <a:ext cx="5760000" cy="2560000"/>
                    </a:xfrm>
                    <a:prstGeom prst="rect"/>
                  </pic:spPr>
                </pic:pic>
              </a:graphicData>
            </a:graphic>
          </wp:inline>
        </w:drawing>
      </w:r>
    </w:p>
    <w:p>
      <w:pPr>
        <w:jc w:val="center"/>
      </w:pPr>
      <w:r>
        <w:rPr>
          <w:i/>
          <w:sz w:val="16"/>
        </w:rPr>
        <w:t>Figura 6.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que apenas iguala al requerido. Esta es la conclusión que se presenta a los clientes, junto con las palancas de ajuste:</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jc w:val="center"/>
      </w:pPr>
      <w:r>
        <w:drawing>
          <wp:inline xmlns:a="http://schemas.openxmlformats.org/drawingml/2006/main" xmlns:pic="http://schemas.openxmlformats.org/drawingml/2006/picture">
            <wp:extent cx="5760000" cy="2568649"/>
            <wp:docPr id="7" name="Picture 7"/>
            <wp:cNvGraphicFramePr>
              <a:graphicFrameLocks noChangeAspect="1"/>
            </wp:cNvGraphicFramePr>
            <a:graphic>
              <a:graphicData uri="http://schemas.openxmlformats.org/drawingml/2006/picture">
                <pic:pic>
                  <pic:nvPicPr>
                    <pic:cNvPr id="0" name="f7_abanico.png"/>
                    <pic:cNvPicPr/>
                  </pic:nvPicPr>
                  <pic:blipFill>
                    <a:blip r:embed="rId15"/>
                    <a:stretch>
                      <a:fillRect/>
                    </a:stretch>
                  </pic:blipFill>
                  <pic:spPr>
                    <a:xfrm>
                      <a:off x="0" y="0"/>
                      <a:ext cx="5760000" cy="2568649"/>
                    </a:xfrm>
                    <a:prstGeom prst="rect"/>
                  </pic:spPr>
                </pic:pic>
              </a:graphicData>
            </a:graphic>
          </wp:inline>
        </w:drawing>
      </w:r>
    </w:p>
    <w:p>
      <w:pPr>
        <w:jc w:val="center"/>
      </w:pPr>
      <w:r>
        <w:rPr>
          <w:i/>
          <w:sz w:val="16"/>
        </w:rPr>
        <w:t>Figura 7. Abanico del patrimonio real (percentiles 10-90). Escalas distintas en cada panel. La caída del año 25 es la compra de Villarrica.</w:t>
      </w:r>
    </w:p>
    <w:p>
      <w:r>
        <w:rPr>
          <w:i w:val="0"/>
        </w:rPr>
        <w:t>Distribución del patrimonio (prospectivo, USD de hoy): al iniciar Educación (año 14) la mediana es USD 436.784 y el 10% peor USD 293.358, muy por sobre los ~USD 143.000 que cuesta Educación completa; antes de Villarrica (año 25) la mediana es USD 617.754 frente a un desembolso de ~USD 470.000; al año 50 la mediana es USD 414.318, bajo la meta de herencia de USD 500.000. Es la misma conclusión de la TIR: Educación está holgada, Villarrica es ajustada y la herencia es la variable de ajuste.</w:t>
      </w:r>
    </w:p>
    <w:p>
      <w:pPr>
        <w:pStyle w:val="Heading3"/>
      </w:pPr>
      <w:r>
        <w:t>Capital humano: desempleo de Tomás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742"/>
            <w:shd w:val="clear" w:color="auto" w:fill="1F3A5F"/>
          </w:tcPr>
          <w:p>
            <w:r/>
            <w:r>
              <w:rPr>
                <w:b/>
                <w:color w:val="FFFFFF"/>
                <w:sz w:val="15"/>
              </w:rPr>
              <w:t>Escenario de empleo</w:t>
            </w:r>
          </w:p>
        </w:tc>
        <w:tc>
          <w:tcPr>
            <w:tcW w:type="dxa" w:w="1134"/>
            <w:shd w:val="clear" w:color="auto" w:fill="1F3A5F"/>
          </w:tcPr>
          <w:p>
            <w:r/>
            <w:r>
              <w:rPr>
                <w:b/>
                <w:color w:val="FFFFFF"/>
                <w:sz w:val="15"/>
              </w:rPr>
              <w:t>Mercado</w:t>
            </w:r>
          </w:p>
        </w:tc>
        <w:tc>
          <w:tcPr>
            <w:tcW w:type="dxa" w:w="1020"/>
            <w:shd w:val="clear" w:color="auto" w:fill="1F3A5F"/>
          </w:tcPr>
          <w:p>
            <w:r/>
            <w:r>
              <w:rPr>
                <w:b/>
                <w:color w:val="FFFFFF"/>
                <w:sz w:val="15"/>
              </w:rPr>
              <w:t>P(Educación)</w:t>
            </w:r>
          </w:p>
        </w:tc>
        <w:tc>
          <w:tcPr>
            <w:tcW w:type="dxa" w:w="1077"/>
            <w:shd w:val="clear" w:color="auto" w:fill="1F3A5F"/>
          </w:tcPr>
          <w:p>
            <w:r/>
            <w:r>
              <w:rPr>
                <w:b/>
                <w:color w:val="FFFFFF"/>
                <w:sz w:val="15"/>
              </w:rPr>
              <w:t>P(Villarrica)</w:t>
            </w:r>
          </w:p>
        </w:tc>
        <w:tc>
          <w:tcPr>
            <w:tcW w:type="dxa" w:w="1020"/>
            <w:shd w:val="clear" w:color="auto" w:fill="1F3A5F"/>
          </w:tcPr>
          <w:p>
            <w:r/>
            <w:r>
              <w:rPr>
                <w:b/>
                <w:color w:val="FFFFFF"/>
                <w:sz w:val="15"/>
              </w:rPr>
              <w:t>P(Herencia)</w:t>
            </w:r>
          </w:p>
        </w:tc>
        <w:tc>
          <w:tcPr>
            <w:tcW w:type="dxa" w:w="1077"/>
            <w:shd w:val="clear" w:color="auto" w:fill="1F3A5F"/>
          </w:tcPr>
          <w:p>
            <w:r/>
            <w:r>
              <w:rPr>
                <w:b/>
                <w:color w:val="FFFFFF"/>
                <w:sz w:val="15"/>
              </w:rPr>
              <w:t>P(3 objetivos)</w:t>
            </w:r>
          </w:p>
        </w:tc>
      </w:tr>
      <w:tr>
        <w:tc>
          <w:tcPr>
            <w:tcW w:type="dxa" w:w="3742"/>
          </w:tcPr>
          <w:p>
            <w:r/>
            <w:r>
              <w:rPr>
                <w:sz w:val="15"/>
              </w:rPr>
              <w:t>Sin desempleo (base)</w:t>
            </w:r>
          </w:p>
        </w:tc>
        <w:tc>
          <w:tcPr>
            <w:tcW w:type="dxa" w:w="1134"/>
          </w:tcPr>
          <w:p>
            <w:r/>
            <w:r>
              <w:rPr>
                <w:sz w:val="15"/>
              </w:rPr>
              <w:t>Histórico</w:t>
            </w:r>
          </w:p>
        </w:tc>
        <w:tc>
          <w:tcPr>
            <w:tcW w:type="dxa" w:w="1020"/>
          </w:tcPr>
          <w:p>
            <w:r/>
            <w:r>
              <w:rPr>
                <w:sz w:val="15"/>
              </w:rPr>
              <w:t>100,0%</w:t>
            </w:r>
          </w:p>
        </w:tc>
        <w:tc>
          <w:tcPr>
            <w:tcW w:type="dxa" w:w="1077"/>
          </w:tcPr>
          <w:p>
            <w:r/>
            <w:r>
              <w:rPr>
                <w:sz w:val="15"/>
              </w:rPr>
              <w:t>98,1%</w:t>
            </w:r>
          </w:p>
        </w:tc>
        <w:tc>
          <w:tcPr>
            <w:tcW w:type="dxa" w:w="1020"/>
          </w:tcPr>
          <w:p>
            <w:r/>
            <w:r>
              <w:rPr>
                <w:sz w:val="15"/>
              </w:rPr>
              <w:t>96,0%</w:t>
            </w:r>
          </w:p>
        </w:tc>
        <w:tc>
          <w:tcPr>
            <w:tcW w:type="dxa" w:w="1077"/>
          </w:tcPr>
          <w:p>
            <w:r/>
            <w:r>
              <w:rPr>
                <w:sz w:val="15"/>
              </w:rPr>
              <w:t>96,0%</w:t>
            </w:r>
          </w:p>
        </w:tc>
      </w:tr>
      <w:tr>
        <w:tc>
          <w:tcPr>
            <w:tcW w:type="dxa" w:w="3742"/>
            <w:shd w:val="clear" w:color="auto" w:fill="F2F5F9"/>
          </w:tcPr>
          <w:p>
            <w:r/>
            <w:r>
              <w:rPr>
                <w:sz w:val="15"/>
              </w:rPr>
              <w:t>Sin desempleo (base)</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71,3%</w:t>
            </w:r>
          </w:p>
        </w:tc>
        <w:tc>
          <w:tcPr>
            <w:tcW w:type="dxa" w:w="1020"/>
            <w:shd w:val="clear" w:color="auto" w:fill="F2F5F9"/>
          </w:tcPr>
          <w:p>
            <w:r/>
            <w:r>
              <w:rPr>
                <w:sz w:val="15"/>
              </w:rPr>
              <w:t>46,5%</w:t>
            </w:r>
          </w:p>
        </w:tc>
        <w:tc>
          <w:tcPr>
            <w:tcW w:type="dxa" w:w="1077"/>
            <w:shd w:val="clear" w:color="auto" w:fill="F2F5F9"/>
          </w:tcPr>
          <w:p>
            <w:r/>
            <w:r>
              <w:rPr>
                <w:sz w:val="15"/>
              </w:rPr>
              <w:t>46,5%</w:t>
            </w:r>
          </w:p>
        </w:tc>
      </w:tr>
      <w:tr>
        <w:tc>
          <w:tcPr>
            <w:tcW w:type="dxa" w:w="3742"/>
          </w:tcPr>
          <w:p>
            <w:r/>
            <w:r>
              <w:rPr>
                <w:sz w:val="15"/>
              </w:rPr>
              <w:t>5% anual, independiente del mercado; reempleo en ~2 años</w:t>
            </w:r>
          </w:p>
        </w:tc>
        <w:tc>
          <w:tcPr>
            <w:tcW w:type="dxa" w:w="1134"/>
          </w:tcPr>
          <w:p>
            <w:r/>
            <w:r>
              <w:rPr>
                <w:sz w:val="15"/>
              </w:rPr>
              <w:t>Histórico</w:t>
            </w:r>
          </w:p>
        </w:tc>
        <w:tc>
          <w:tcPr>
            <w:tcW w:type="dxa" w:w="1020"/>
          </w:tcPr>
          <w:p>
            <w:r/>
            <w:r>
              <w:rPr>
                <w:sz w:val="15"/>
              </w:rPr>
              <w:t>100,0%</w:t>
            </w:r>
          </w:p>
        </w:tc>
        <w:tc>
          <w:tcPr>
            <w:tcW w:type="dxa" w:w="1077"/>
          </w:tcPr>
          <w:p>
            <w:r/>
            <w:r>
              <w:rPr>
                <w:sz w:val="15"/>
              </w:rPr>
              <w:t>97,4%</w:t>
            </w:r>
          </w:p>
        </w:tc>
        <w:tc>
          <w:tcPr>
            <w:tcW w:type="dxa" w:w="1020"/>
          </w:tcPr>
          <w:p>
            <w:r/>
            <w:r>
              <w:rPr>
                <w:sz w:val="15"/>
              </w:rPr>
              <w:t>94,8%</w:t>
            </w:r>
          </w:p>
        </w:tc>
        <w:tc>
          <w:tcPr>
            <w:tcW w:type="dxa" w:w="1077"/>
          </w:tcPr>
          <w:p>
            <w:r/>
            <w:r>
              <w:rPr>
                <w:sz w:val="15"/>
              </w:rPr>
              <w:t>94,8%</w:t>
            </w:r>
          </w:p>
        </w:tc>
      </w:tr>
      <w:tr>
        <w:tc>
          <w:tcPr>
            <w:tcW w:type="dxa" w:w="3742"/>
            <w:shd w:val="clear" w:color="auto" w:fill="F2F5F9"/>
          </w:tcPr>
          <w:p>
            <w:r/>
            <w:r>
              <w:rPr>
                <w:sz w:val="15"/>
              </w:rPr>
              <w:t>5% anual, independiente del mercado; reempleo en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66,8%</w:t>
            </w:r>
          </w:p>
        </w:tc>
        <w:tc>
          <w:tcPr>
            <w:tcW w:type="dxa" w:w="1020"/>
            <w:shd w:val="clear" w:color="auto" w:fill="F2F5F9"/>
          </w:tcPr>
          <w:p>
            <w:r/>
            <w:r>
              <w:rPr>
                <w:sz w:val="15"/>
              </w:rPr>
              <w:t>42,4%</w:t>
            </w:r>
          </w:p>
        </w:tc>
        <w:tc>
          <w:tcPr>
            <w:tcW w:type="dxa" w:w="1077"/>
            <w:shd w:val="clear" w:color="auto" w:fill="F2F5F9"/>
          </w:tcPr>
          <w:p>
            <w:r/>
            <w:r>
              <w:rPr>
                <w:sz w:val="15"/>
              </w:rPr>
              <w:t>42,4%</w:t>
            </w:r>
          </w:p>
        </w:tc>
      </w:tr>
      <w:tr>
        <w:tc>
          <w:tcPr>
            <w:tcW w:type="dxa" w:w="3742"/>
          </w:tcPr>
          <w:p>
            <w:r/>
            <w:r>
              <w:rPr>
                <w:sz w:val="15"/>
              </w:rPr>
              <w:t>5% normal y 25% si la cartera cayó &gt;10% en 12 meses; reempleo ~2 años</w:t>
            </w:r>
          </w:p>
        </w:tc>
        <w:tc>
          <w:tcPr>
            <w:tcW w:type="dxa" w:w="1134"/>
          </w:tcPr>
          <w:p>
            <w:r/>
            <w:r>
              <w:rPr>
                <w:sz w:val="15"/>
              </w:rPr>
              <w:t>Histórico</w:t>
            </w:r>
          </w:p>
        </w:tc>
        <w:tc>
          <w:tcPr>
            <w:tcW w:type="dxa" w:w="1020"/>
          </w:tcPr>
          <w:p>
            <w:r/>
            <w:r>
              <w:rPr>
                <w:sz w:val="15"/>
              </w:rPr>
              <w:t>100,0%</w:t>
            </w:r>
          </w:p>
        </w:tc>
        <w:tc>
          <w:tcPr>
            <w:tcW w:type="dxa" w:w="1077"/>
          </w:tcPr>
          <w:p>
            <w:r/>
            <w:r>
              <w:rPr>
                <w:sz w:val="15"/>
              </w:rPr>
              <w:t>97,1%</w:t>
            </w:r>
          </w:p>
        </w:tc>
        <w:tc>
          <w:tcPr>
            <w:tcW w:type="dxa" w:w="1020"/>
          </w:tcPr>
          <w:p>
            <w:r/>
            <w:r>
              <w:rPr>
                <w:sz w:val="15"/>
              </w:rPr>
              <w:t>94,4%</w:t>
            </w:r>
          </w:p>
        </w:tc>
        <w:tc>
          <w:tcPr>
            <w:tcW w:type="dxa" w:w="1077"/>
          </w:tcPr>
          <w:p>
            <w:r/>
            <w:r>
              <w:rPr>
                <w:sz w:val="15"/>
              </w:rPr>
              <w:t>94,4%</w:t>
            </w:r>
          </w:p>
        </w:tc>
      </w:tr>
      <w:tr>
        <w:tc>
          <w:tcPr>
            <w:tcW w:type="dxa" w:w="3742"/>
            <w:shd w:val="clear" w:color="auto" w:fill="F2F5F9"/>
          </w:tcPr>
          <w:p>
            <w:r/>
            <w:r>
              <w:rPr>
                <w:sz w:val="15"/>
              </w:rPr>
              <w:t>5% normal y 25% si la cartera cayó &gt;10% en 12 meses;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65,4%</w:t>
            </w:r>
          </w:p>
        </w:tc>
        <w:tc>
          <w:tcPr>
            <w:tcW w:type="dxa" w:w="1020"/>
            <w:shd w:val="clear" w:color="auto" w:fill="F2F5F9"/>
          </w:tcPr>
          <w:p>
            <w:r/>
            <w:r>
              <w:rPr>
                <w:sz w:val="15"/>
              </w:rPr>
              <w:t>41,4%</w:t>
            </w:r>
          </w:p>
        </w:tc>
        <w:tc>
          <w:tcPr>
            <w:tcW w:type="dxa" w:w="1077"/>
            <w:shd w:val="clear" w:color="auto" w:fill="F2F5F9"/>
          </w:tcPr>
          <w:p>
            <w:r/>
            <w:r>
              <w:rPr>
                <w:sz w:val="15"/>
              </w:rPr>
              <w:t>41,4%</w:t>
            </w:r>
          </w:p>
        </w:tc>
      </w:tr>
      <w:tr>
        <w:tc>
          <w:tcPr>
            <w:tcW w:type="dxa" w:w="3742"/>
          </w:tcPr>
          <w:p>
            <w:r/>
            <w:r>
              <w:rPr>
                <w:sz w:val="15"/>
              </w:rPr>
              <w:t>10% normal y 40% si la cartera cayó &gt;10%; reempleo ~2 años</w:t>
            </w:r>
          </w:p>
        </w:tc>
        <w:tc>
          <w:tcPr>
            <w:tcW w:type="dxa" w:w="1134"/>
          </w:tcPr>
          <w:p>
            <w:r/>
            <w:r>
              <w:rPr>
                <w:sz w:val="15"/>
              </w:rPr>
              <w:t>Histórico</w:t>
            </w:r>
          </w:p>
        </w:tc>
        <w:tc>
          <w:tcPr>
            <w:tcW w:type="dxa" w:w="1020"/>
          </w:tcPr>
          <w:p>
            <w:r/>
            <w:r>
              <w:rPr>
                <w:sz w:val="15"/>
              </w:rPr>
              <w:t>100,0%</w:t>
            </w:r>
          </w:p>
        </w:tc>
        <w:tc>
          <w:tcPr>
            <w:tcW w:type="dxa" w:w="1077"/>
          </w:tcPr>
          <w:p>
            <w:r/>
            <w:r>
              <w:rPr>
                <w:sz w:val="15"/>
              </w:rPr>
              <w:t>96,4%</w:t>
            </w:r>
          </w:p>
        </w:tc>
        <w:tc>
          <w:tcPr>
            <w:tcW w:type="dxa" w:w="1020"/>
          </w:tcPr>
          <w:p>
            <w:r/>
            <w:r>
              <w:rPr>
                <w:sz w:val="15"/>
              </w:rPr>
              <w:t>93,0%</w:t>
            </w:r>
          </w:p>
        </w:tc>
        <w:tc>
          <w:tcPr>
            <w:tcW w:type="dxa" w:w="1077"/>
          </w:tcPr>
          <w:p>
            <w:r/>
            <w:r>
              <w:rPr>
                <w:sz w:val="15"/>
              </w:rPr>
              <w:t>93,0%</w:t>
            </w:r>
          </w:p>
        </w:tc>
      </w:tr>
      <w:tr>
        <w:tc>
          <w:tcPr>
            <w:tcW w:type="dxa" w:w="3742"/>
            <w:shd w:val="clear" w:color="auto" w:fill="F2F5F9"/>
          </w:tcPr>
          <w:p>
            <w:r/>
            <w:r>
              <w:rPr>
                <w:sz w:val="15"/>
              </w:rPr>
              <w:t>10% normal y 40% si la cartera cayó &gt;10%;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61,1%</w:t>
            </w:r>
          </w:p>
        </w:tc>
        <w:tc>
          <w:tcPr>
            <w:tcW w:type="dxa" w:w="1020"/>
            <w:shd w:val="clear" w:color="auto" w:fill="F2F5F9"/>
          </w:tcPr>
          <w:p>
            <w:r/>
            <w:r>
              <w:rPr>
                <w:sz w:val="15"/>
              </w:rPr>
              <w:t>37,7%</w:t>
            </w:r>
          </w:p>
        </w:tc>
        <w:tc>
          <w:tcPr>
            <w:tcW w:type="dxa" w:w="1077"/>
            <w:shd w:val="clear" w:color="auto" w:fill="F2F5F9"/>
          </w:tcPr>
          <w:p>
            <w:r/>
            <w:r>
              <w:rPr>
                <w:sz w:val="15"/>
              </w:rPr>
              <w:t>37,7%</w:t>
            </w:r>
          </w:p>
        </w:tc>
      </w:tr>
      <w:tr>
        <w:tc>
          <w:tcPr>
            <w:tcW w:type="dxa" w:w="3742"/>
          </w:tcPr>
          <w:p>
            <w:r/>
            <w:r>
              <w:rPr>
                <w:sz w:val="15"/>
              </w:rPr>
              <w:t>Estrés: 6% anual y pérdida PERMANENTE (sin reempleo)</w:t>
            </w:r>
          </w:p>
        </w:tc>
        <w:tc>
          <w:tcPr>
            <w:tcW w:type="dxa" w:w="1134"/>
          </w:tcPr>
          <w:p>
            <w:r/>
            <w:r>
              <w:rPr>
                <w:sz w:val="15"/>
              </w:rPr>
              <w:t>Histórico</w:t>
            </w:r>
          </w:p>
        </w:tc>
        <w:tc>
          <w:tcPr>
            <w:tcW w:type="dxa" w:w="1020"/>
          </w:tcPr>
          <w:p>
            <w:r/>
            <w:r>
              <w:rPr>
                <w:sz w:val="15"/>
              </w:rPr>
              <w:t>100,0%</w:t>
            </w:r>
          </w:p>
        </w:tc>
        <w:tc>
          <w:tcPr>
            <w:tcW w:type="dxa" w:w="1077"/>
          </w:tcPr>
          <w:p>
            <w:r/>
            <w:r>
              <w:rPr>
                <w:sz w:val="15"/>
              </w:rPr>
              <w:t>91,2%</w:t>
            </w:r>
          </w:p>
        </w:tc>
        <w:tc>
          <w:tcPr>
            <w:tcW w:type="dxa" w:w="1020"/>
          </w:tcPr>
          <w:p>
            <w:r/>
            <w:r>
              <w:rPr>
                <w:sz w:val="15"/>
              </w:rPr>
              <w:t>86,6%</w:t>
            </w:r>
          </w:p>
        </w:tc>
        <w:tc>
          <w:tcPr>
            <w:tcW w:type="dxa" w:w="1077"/>
          </w:tcPr>
          <w:p>
            <w:r/>
            <w:r>
              <w:rPr>
                <w:sz w:val="15"/>
              </w:rPr>
              <w:t>86,6%</w:t>
            </w:r>
          </w:p>
        </w:tc>
      </w:tr>
      <w:tr>
        <w:tc>
          <w:tcPr>
            <w:tcW w:type="dxa" w:w="3742"/>
            <w:shd w:val="clear" w:color="auto" w:fill="F2F5F9"/>
          </w:tcPr>
          <w:p>
            <w:r/>
            <w:r>
              <w:rPr>
                <w:sz w:val="15"/>
              </w:rPr>
              <w:t>Estrés: 6% anual y pérdida PERMANENTE (sin reempleo)</w:t>
            </w:r>
          </w:p>
        </w:tc>
        <w:tc>
          <w:tcPr>
            <w:tcW w:type="dxa" w:w="1134"/>
            <w:shd w:val="clear" w:color="auto" w:fill="F2F5F9"/>
          </w:tcPr>
          <w:p>
            <w:r/>
            <w:r>
              <w:rPr>
                <w:sz w:val="15"/>
              </w:rPr>
              <w:t>Prospectivo</w:t>
            </w:r>
          </w:p>
        </w:tc>
        <w:tc>
          <w:tcPr>
            <w:tcW w:type="dxa" w:w="1020"/>
            <w:shd w:val="clear" w:color="auto" w:fill="F2F5F9"/>
          </w:tcPr>
          <w:p>
            <w:r/>
            <w:r>
              <w:rPr>
                <w:sz w:val="15"/>
              </w:rPr>
              <w:t>99,6%</w:t>
            </w:r>
          </w:p>
        </w:tc>
        <w:tc>
          <w:tcPr>
            <w:tcW w:type="dxa" w:w="1077"/>
            <w:shd w:val="clear" w:color="auto" w:fill="F2F5F9"/>
          </w:tcPr>
          <w:p>
            <w:r/>
            <w:r>
              <w:rPr>
                <w:sz w:val="15"/>
              </w:rPr>
              <w:t>50,0%</w:t>
            </w:r>
          </w:p>
        </w:tc>
        <w:tc>
          <w:tcPr>
            <w:tcW w:type="dxa" w:w="1020"/>
            <w:shd w:val="clear" w:color="auto" w:fill="F2F5F9"/>
          </w:tcPr>
          <w:p>
            <w:r/>
            <w:r>
              <w:rPr>
                <w:sz w:val="15"/>
              </w:rPr>
              <w:t>30,2%</w:t>
            </w:r>
          </w:p>
        </w:tc>
        <w:tc>
          <w:tcPr>
            <w:tcW w:type="dxa" w:w="1077"/>
            <w:shd w:val="clear" w:color="auto" w:fill="F2F5F9"/>
          </w:tcPr>
          <w:p>
            <w:r/>
            <w:r>
              <w:rPr>
                <w:sz w:val="15"/>
              </w:rPr>
              <w:t>30,2%</w:t>
            </w:r>
          </w:p>
        </w:tc>
      </w:tr>
    </w:tbl>
    <w:p>
      <w:r>
        <w:rPr>
          <w:i/>
          <w:sz w:val="16"/>
        </w:rPr>
        <w:t>El empleo de Tomás (software) se comporta como una acción tecnológica: la probabilidad de perderlo sube cuando la cartera cae. Mientras está desempleado no aporta; se reemplea con 50% anual (~2 años en promedio). El escenario de estrés supone pérdida permanente.</w:t>
      </w:r>
    </w:p>
    <w:p>
      <w:r>
        <w:rPr>
          <w:i w:val="0"/>
        </w:rPr>
        <w:t>Lectura: Educación resiste incluso la pérdida permanente del empleo (99,6% en el escenario prospectivo). El riesgo de capital humano recae sobre Villarrica y la herencia: con desempleo correlacionado con el mercado, la probabilidad conjunta histórica baja de 96,0% a 93,0%. Mitigantes: fondo de emergencia fuera del mandato, seguro de vida e invalidez, y el límite a tecnología en la cartera para no duplicar la exposición del ingreso de Tomás.</w:t>
      </w:r>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f6_robustez.png"/>
                    <pic:cNvPicPr/>
                  </pic:nvPicPr>
                  <pic:blipFill>
                    <a:blip r:embed="rId16"/>
                    <a:stretch>
                      <a:fillRect/>
                    </a:stretch>
                  </pic:blipFill>
                  <pic:spPr>
                    <a:xfrm>
                      <a:off x="0" y="0"/>
                      <a:ext cx="5760000" cy="2400000"/>
                    </a:xfrm>
                    <a:prstGeom prst="rect"/>
                  </pic:spPr>
                </pic:pic>
              </a:graphicData>
            </a:graphic>
          </wp:inline>
        </w:drawing>
      </w:r>
    </w:p>
    <w:p>
      <w:pPr>
        <w:jc w:val="center"/>
      </w:pPr>
      <w:r>
        <w:rPr>
          <w:i/>
          <w:sz w:val="16"/>
        </w:rPr>
        <w:t>Figura 8.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5-oct-2026)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Cobertura cambiaria: </w:t>
      </w:r>
      <w:r>
        <w:t>el 28-sep se contrató fuera de StockTrak un forward de venta de USD 104.000 a CLP 963,08 con vencimiento el 30-sep-2027 (sección 3.4).</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928"/>
            <w:shd w:val="clear" w:color="auto" w:fill="1F3A5F"/>
          </w:tcPr>
          <w:p>
            <w:r/>
            <w:r>
              <w:rPr>
                <w:b/>
                <w:color w:val="FFFFFF"/>
                <w:sz w:val="15"/>
              </w:rPr>
              <w:t>Clase</w:t>
            </w:r>
          </w:p>
        </w:tc>
        <w:tc>
          <w:tcPr>
            <w:tcW w:type="dxa" w:w="1361"/>
            <w:shd w:val="clear" w:color="auto" w:fill="1F3A5F"/>
          </w:tcPr>
          <w:p>
            <w:r/>
            <w:r>
              <w:rPr>
                <w:b/>
                <w:color w:val="FFFFFF"/>
                <w:sz w:val="15"/>
              </w:rPr>
              <w:t>Invertido el 14-sep</w:t>
            </w:r>
          </w:p>
        </w:tc>
        <w:tc>
          <w:tcPr>
            <w:tcW w:type="dxa" w:w="1134"/>
            <w:shd w:val="clear" w:color="auto" w:fill="1F3A5F"/>
          </w:tcPr>
          <w:p>
            <w:r/>
            <w:r>
              <w:rPr>
                <w:b/>
                <w:color w:val="FFFFFF"/>
                <w:sz w:val="15"/>
              </w:rPr>
              <w:t>Resultado (USD)</w:t>
            </w:r>
          </w:p>
        </w:tc>
        <w:tc>
          <w:tcPr>
            <w:tcW w:type="dxa" w:w="1020"/>
            <w:shd w:val="clear" w:color="auto" w:fill="1F3A5F"/>
          </w:tcPr>
          <w:p>
            <w:r/>
            <w:r>
              <w:rPr>
                <w:b/>
                <w:color w:val="FFFFFF"/>
                <w:sz w:val="15"/>
              </w:rPr>
              <w:t>Retorno Nexum</w:t>
            </w:r>
          </w:p>
        </w:tc>
        <w:tc>
          <w:tcPr>
            <w:tcW w:type="dxa" w:w="1814"/>
            <w:shd w:val="clear" w:color="auto" w:fill="1F3A5F"/>
          </w:tcPr>
          <w:p>
            <w:r/>
            <w:r>
              <w:rPr>
                <w:b/>
                <w:color w:val="FFFFFF"/>
                <w:sz w:val="15"/>
              </w:rPr>
              <w:t>Benchmark</w:t>
            </w:r>
          </w:p>
        </w:tc>
        <w:tc>
          <w:tcPr>
            <w:tcW w:type="dxa" w:w="1020"/>
            <w:shd w:val="clear" w:color="auto" w:fill="1F3A5F"/>
          </w:tcPr>
          <w:p>
            <w:r/>
            <w:r>
              <w:rPr>
                <w:b/>
                <w:color w:val="FFFFFF"/>
                <w:sz w:val="15"/>
              </w:rPr>
              <w:t>Retorno benchmark</w:t>
            </w:r>
          </w:p>
        </w:tc>
        <w:tc>
          <w:tcPr>
            <w:tcW w:type="dxa" w:w="907"/>
            <w:shd w:val="clear" w:color="auto" w:fill="1F3A5F"/>
          </w:tcPr>
          <w:p>
            <w:r/>
            <w:r>
              <w:rPr>
                <w:b/>
                <w:color w:val="FFFFFF"/>
                <w:sz w:val="15"/>
              </w:rPr>
              <w:t>Diferencia</w:t>
            </w:r>
          </w:p>
        </w:tc>
      </w:tr>
      <w:tr>
        <w:tc>
          <w:tcPr>
            <w:tcW w:type="dxa" w:w="1928"/>
          </w:tcPr>
          <w:p>
            <w:r/>
            <w:r>
              <w:rPr>
                <w:sz w:val="15"/>
              </w:rPr>
              <w:t>Renta variable EE.UU.</w:t>
            </w:r>
          </w:p>
        </w:tc>
        <w:tc>
          <w:tcPr>
            <w:tcW w:type="dxa" w:w="1361"/>
          </w:tcPr>
          <w:p>
            <w:r/>
            <w:r>
              <w:rPr>
                <w:sz w:val="15"/>
              </w:rPr>
              <w:t>USD 86.857</w:t>
            </w:r>
          </w:p>
        </w:tc>
        <w:tc>
          <w:tcPr>
            <w:tcW w:type="dxa" w:w="1134"/>
          </w:tcPr>
          <w:p>
            <w:r/>
            <w:r>
              <w:rPr>
                <w:sz w:val="15"/>
              </w:rPr>
              <w:t>488</w:t>
            </w:r>
          </w:p>
        </w:tc>
        <w:tc>
          <w:tcPr>
            <w:tcW w:type="dxa" w:w="1020"/>
          </w:tcPr>
          <w:p>
            <w:r/>
            <w:r>
              <w:rPr>
                <w:sz w:val="15"/>
              </w:rPr>
              <w:t>0,56%</w:t>
            </w:r>
          </w:p>
        </w:tc>
        <w:tc>
          <w:tcPr>
            <w:tcW w:type="dxa" w:w="1814"/>
          </w:tcPr>
          <w:p>
            <w:r/>
            <w:r>
              <w:rPr>
                <w:sz w:val="15"/>
              </w:rPr>
              <w:t>S&amp;P 500 (SPY)</w:t>
            </w:r>
          </w:p>
        </w:tc>
        <w:tc>
          <w:tcPr>
            <w:tcW w:type="dxa" w:w="1020"/>
          </w:tcPr>
          <w:p>
            <w:r/>
            <w:r>
              <w:rPr>
                <w:sz w:val="15"/>
              </w:rPr>
              <w:t>2,49%</w:t>
            </w:r>
          </w:p>
        </w:tc>
        <w:tc>
          <w:tcPr>
            <w:tcW w:type="dxa" w:w="907"/>
          </w:tcPr>
          <w:p>
            <w:r/>
            <w:r>
              <w:rPr>
                <w:sz w:val="15"/>
              </w:rPr>
              <w:t>-1,93 pp</w:t>
            </w:r>
          </w:p>
        </w:tc>
      </w:tr>
      <w:tr>
        <w:tc>
          <w:tcPr>
            <w:tcW w:type="dxa" w:w="1928"/>
            <w:shd w:val="clear" w:color="auto" w:fill="F2F5F9"/>
          </w:tcPr>
          <w:p>
            <w:r/>
            <w:r>
              <w:rPr>
                <w:sz w:val="15"/>
              </w:rPr>
              <w:t>Renta fija larga EE.UU.</w:t>
            </w:r>
          </w:p>
        </w:tc>
        <w:tc>
          <w:tcPr>
            <w:tcW w:type="dxa" w:w="1361"/>
            <w:shd w:val="clear" w:color="auto" w:fill="F2F5F9"/>
          </w:tcPr>
          <w:p>
            <w:r/>
            <w:r>
              <w:rPr>
                <w:sz w:val="15"/>
              </w:rPr>
              <w:t>USD 45.179</w:t>
            </w:r>
          </w:p>
        </w:tc>
        <w:tc>
          <w:tcPr>
            <w:tcW w:type="dxa" w:w="1134"/>
            <w:shd w:val="clear" w:color="auto" w:fill="F2F5F9"/>
          </w:tcPr>
          <w:p>
            <w:r/>
            <w:r>
              <w:rPr>
                <w:sz w:val="15"/>
              </w:rPr>
              <w:t>-1.505</w:t>
            </w:r>
          </w:p>
        </w:tc>
        <w:tc>
          <w:tcPr>
            <w:tcW w:type="dxa" w:w="1020"/>
            <w:shd w:val="clear" w:color="auto" w:fill="F2F5F9"/>
          </w:tcPr>
          <w:p>
            <w:r/>
            <w:r>
              <w:rPr>
                <w:sz w:val="15"/>
              </w:rPr>
              <w:t>-3,33%</w:t>
            </w:r>
          </w:p>
        </w:tc>
        <w:tc>
          <w:tcPr>
            <w:tcW w:type="dxa" w:w="1814"/>
            <w:shd w:val="clear" w:color="auto" w:fill="F2F5F9"/>
          </w:tcPr>
          <w:p>
            <w:r/>
            <w:r>
              <w:rPr>
                <w:sz w:val="15"/>
              </w:rPr>
              <w:t>TLH/VCLT 50/50</w:t>
            </w:r>
          </w:p>
        </w:tc>
        <w:tc>
          <w:tcPr>
            <w:tcW w:type="dxa" w:w="1020"/>
            <w:shd w:val="clear" w:color="auto" w:fill="F2F5F9"/>
          </w:tcPr>
          <w:p>
            <w:r/>
            <w:r>
              <w:rPr>
                <w:sz w:val="15"/>
              </w:rPr>
              <w:t>-3,27%</w:t>
            </w:r>
          </w:p>
        </w:tc>
        <w:tc>
          <w:tcPr>
            <w:tcW w:type="dxa" w:w="907"/>
            <w:shd w:val="clear" w:color="auto" w:fill="F2F5F9"/>
          </w:tcPr>
          <w:p>
            <w:r/>
            <w:r>
              <w:rPr>
                <w:sz w:val="15"/>
              </w:rPr>
              <w:t>-0,06 pp</w:t>
            </w:r>
          </w:p>
        </w:tc>
      </w:tr>
      <w:tr>
        <w:tc>
          <w:tcPr>
            <w:tcW w:type="dxa" w:w="1928"/>
          </w:tcPr>
          <w:p>
            <w:r/>
            <w:r>
              <w:rPr>
                <w:sz w:val="15"/>
              </w:rPr>
              <w:t>Commodities</w:t>
            </w:r>
          </w:p>
        </w:tc>
        <w:tc>
          <w:tcPr>
            <w:tcW w:type="dxa" w:w="1361"/>
          </w:tcPr>
          <w:p>
            <w:r/>
            <w:r>
              <w:rPr>
                <w:sz w:val="15"/>
              </w:rPr>
              <w:t>USD 8.706</w:t>
            </w:r>
          </w:p>
        </w:tc>
        <w:tc>
          <w:tcPr>
            <w:tcW w:type="dxa" w:w="1134"/>
          </w:tcPr>
          <w:p>
            <w:r/>
            <w:r>
              <w:rPr>
                <w:sz w:val="15"/>
              </w:rPr>
              <w:t>-707</w:t>
            </w:r>
          </w:p>
        </w:tc>
        <w:tc>
          <w:tcPr>
            <w:tcW w:type="dxa" w:w="1020"/>
          </w:tcPr>
          <w:p>
            <w:r/>
            <w:r>
              <w:rPr>
                <w:sz w:val="15"/>
              </w:rPr>
              <w:t>-8,12%</w:t>
            </w:r>
          </w:p>
        </w:tc>
        <w:tc>
          <w:tcPr>
            <w:tcW w:type="dxa" w:w="1814"/>
          </w:tcPr>
          <w:p>
            <w:r/>
            <w:r>
              <w:rPr>
                <w:sz w:val="15"/>
              </w:rPr>
              <w:t>Mezcla de 5 ETF</w:t>
            </w:r>
          </w:p>
        </w:tc>
        <w:tc>
          <w:tcPr>
            <w:tcW w:type="dxa" w:w="1020"/>
          </w:tcPr>
          <w:p>
            <w:r/>
            <w:r>
              <w:rPr>
                <w:sz w:val="15"/>
              </w:rPr>
              <w:t>-1,54%</w:t>
            </w:r>
          </w:p>
        </w:tc>
        <w:tc>
          <w:tcPr>
            <w:tcW w:type="dxa" w:w="907"/>
          </w:tcPr>
          <w:p>
            <w:r/>
            <w:r>
              <w:rPr>
                <w:sz w:val="15"/>
              </w:rPr>
              <w:t>-6,58 pp</w:t>
            </w:r>
          </w:p>
        </w:tc>
      </w:tr>
      <w:tr>
        <w:tc>
          <w:tcPr>
            <w:tcW w:type="dxa" w:w="1928"/>
            <w:shd w:val="clear" w:color="auto" w:fill="F2F5F9"/>
          </w:tcPr>
          <w:p>
            <w:r/>
            <w:r>
              <w:rPr>
                <w:sz w:val="15"/>
              </w:rPr>
              <w:t>Liquidez (reserva)</w:t>
            </w:r>
          </w:p>
        </w:tc>
        <w:tc>
          <w:tcPr>
            <w:tcW w:type="dxa" w:w="1361"/>
            <w:shd w:val="clear" w:color="auto" w:fill="F2F5F9"/>
          </w:tcPr>
          <w:p>
            <w:r/>
            <w:r>
              <w:rPr>
                <w:sz w:val="15"/>
              </w:rPr>
              <w:t>USD 6.937</w:t>
            </w:r>
          </w:p>
        </w:tc>
        <w:tc>
          <w:tcPr>
            <w:tcW w:type="dxa" w:w="1134"/>
            <w:shd w:val="clear" w:color="auto" w:fill="F2F5F9"/>
          </w:tcPr>
          <w:p>
            <w:r/>
            <w:r>
              <w:rPr>
                <w:sz w:val="15"/>
              </w:rPr>
              <w:t>6</w:t>
            </w:r>
          </w:p>
        </w:tc>
        <w:tc>
          <w:tcPr>
            <w:tcW w:type="dxa" w:w="1020"/>
            <w:shd w:val="clear" w:color="auto" w:fill="F2F5F9"/>
          </w:tcPr>
          <w:p>
            <w:r/>
            <w:r>
              <w:rPr>
                <w:sz w:val="15"/>
              </w:rPr>
              <w:t>0,09%</w:t>
            </w:r>
          </w:p>
        </w:tc>
        <w:tc>
          <w:tcPr>
            <w:tcW w:type="dxa" w:w="1814"/>
            <w:shd w:val="clear" w:color="auto" w:fill="F2F5F9"/>
          </w:tcPr>
          <w:p>
            <w:r/>
            <w:r>
              <w:rPr>
                <w:sz w:val="15"/>
              </w:rPr>
              <w:t>T-Bills 0-3 meses (SGOV)</w:t>
            </w:r>
          </w:p>
        </w:tc>
        <w:tc>
          <w:tcPr>
            <w:tcW w:type="dxa" w:w="1020"/>
            <w:shd w:val="clear" w:color="auto" w:fill="F2F5F9"/>
          </w:tcPr>
          <w:p>
            <w:r/>
            <w:r>
              <w:rPr>
                <w:sz w:val="15"/>
              </w:rPr>
              <w:t>0,23%</w:t>
            </w:r>
          </w:p>
        </w:tc>
        <w:tc>
          <w:tcPr>
            <w:tcW w:type="dxa" w:w="907"/>
            <w:shd w:val="clear" w:color="auto" w:fill="F2F5F9"/>
          </w:tcPr>
          <w:p>
            <w:r/>
            <w:r>
              <w:rPr>
                <w:sz w:val="15"/>
              </w:rPr>
              <w:t>-0,14 pp</w:t>
            </w:r>
          </w:p>
        </w:tc>
      </w:tr>
    </w:tbl>
    <w:p>
      <w:r>
        <w:rPr>
          <w:i/>
          <w:sz w:val="16"/>
        </w:rPr>
        <w:t>Desde el 14-sep hasta el 6-oct (exports de StockTrak). El resultado incluye dividendos y comisiones de USD 10; los benchmarks parten de nuestro precio de entrada (o del cierre del 14-sep) con dividendos reinvertidos. La suma de los resultados cuadra con la pérdida total de la cuenta. Fuente: codigo/analisis_adicional.py.</w:t>
      </w:r>
    </w:p>
    <w:p>
      <w:r>
        <w:rPr>
          <w:i w:val="0"/>
        </w:rPr>
        <w:t>Por clase de activo: la renta fija replica su benchmark, como corresponde a un núcleo pasivo; la renta variable queda 1,9 puntos bajo el S&amp;P 500, en parte por las comisiones (48 operaciones, USD 480) y en parte por el sesgo defensivo de Low-Volatility en un mercado al alza; commodities queda 6,6 puntos bajo su benchmark por la pérdida en USO, ya liquidado.</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Forward de venta de USD 104.000 a un año (~70%, cerca de la cobertura de mínimo riesgo en pesos); cobertura natural; simulaciones en UF; reserva cambiaria de 2%</w:t>
            </w:r>
          </w:p>
        </w:tc>
      </w:tr>
      <w:tr>
        <w:tc>
          <w:tcPr>
            <w:tcW w:type="dxa" w:w="2041"/>
            <w:shd w:val="clear" w:color="auto" w:fill="F2F5F9"/>
          </w:tcPr>
          <w:p>
            <w:r/>
            <w:r>
              <w:rPr>
                <w:sz w:val="17"/>
              </w:rPr>
              <w:t>Liquidez del forward</w:t>
            </w:r>
          </w:p>
        </w:tc>
        <w:tc>
          <w:tcPr>
            <w:tcW w:type="dxa" w:w="3175"/>
            <w:shd w:val="clear" w:color="auto" w:fill="F2F5F9"/>
          </w:tcPr>
          <w:p>
            <w:r/>
            <w:r>
              <w:rPr>
                <w:sz w:val="17"/>
              </w:rPr>
              <w:t>Si el dólar sube, Nexum paga la compensación al vencimiento (sept-2027)</w:t>
            </w:r>
          </w:p>
        </w:tc>
        <w:tc>
          <w:tcPr>
            <w:tcW w:type="dxa" w:w="3855"/>
            <w:shd w:val="clear" w:color="auto" w:fill="F2F5F9"/>
          </w:tcPr>
          <w:p>
            <w:r/>
            <w:r>
              <w:rPr>
                <w:sz w:val="17"/>
              </w:rPr>
              <w:t>Se paga con SGOV y venta de activos en USD, que en ese escenario valen más en pesos; supera la reserva de 2% en 42% de los escenarios; valor de mercado informado mensualmente</w:t>
            </w:r>
          </w:p>
        </w:tc>
      </w:tr>
      <w:tr>
        <w:tc>
          <w:tcPr>
            <w:tcW w:type="dxa" w:w="2041"/>
          </w:tcPr>
          <w:p>
            <w:r/>
            <w:r>
              <w:rPr>
                <w:sz w:val="17"/>
              </w:rPr>
              <w:t>Empleo de Tomás</w:t>
            </w:r>
          </w:p>
        </w:tc>
        <w:tc>
          <w:tcPr>
            <w:tcW w:type="dxa" w:w="3175"/>
          </w:tcPr>
          <w:p>
            <w:r/>
            <w:r>
              <w:rPr>
                <w:sz w:val="17"/>
              </w:rPr>
              <w:t>Aportes condicionados a seguir empleado</w:t>
            </w:r>
          </w:p>
        </w:tc>
        <w:tc>
          <w:tcPr>
            <w:tcW w:type="dxa" w:w="3855"/>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Villarrica y la herencia dependen del retorno que entregue el mercado: se cumplen holgadamente con retornos como los de 2013-2026 y con 47% de probabilidad conjunta bajo supuestos prudentes. Frente a la cartera actual de la AGF, Nexum reduce la concentración en EE.UU. y en tecnología, baja las caídas esperadas y mejora la probabilidad de éxito hacia adelante. La recomendación es mantener la asignación, revisar anualmente el Montecarlo con los gatillos de la sección 2.9 y acordar desde ya el orden de ajuste con la familia.</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apenas iguala al requerido (4,56%).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El peso se deprecia cuando caen los mercados (cobertura natural) y el ahorro en USD diversifica el riesgo país de una familia cuyo capital humano y vivienda están en Chile. Las simulaciones se presentan también en UF, y el riesgo cambiario de corto plazo se cubre parcialmente con un forward.</w:t>
      </w:r>
    </w:p>
    <w:p>
      <w:r>
        <w:rPr>
          <w:b/>
        </w:rPr>
        <w:t xml:space="preserve">Si el perfil excluye derivados, ¿por qué firmaron un forward? </w:t>
      </w:r>
      <w:r>
        <w:rPr>
          <w:i w:val="0"/>
        </w:rPr>
        <w:t>El perfil excluye derivados complejos, apalancamiento y especulación. Un forward de monedas es el derivado más simple, se usa solo para cubrir y el monto es menor que la cartera, así que no apalanca. Cubre 70% de la cartera: más cobertura no reduce el riesgo en pesos, porque el peso ya se deprecia cuando caen los mercados. Su costo es bajo (0,44% del monto) y su riesgo es de liquidez: si el dólar sube hay que pagar la compensación, pero en ese escenario la cartera vale más en pesos.</w:t>
      </w:r>
    </w:p>
    <w:p>
      <w:r>
        <w:rPr>
          <w:b/>
        </w:rPr>
        <w:t xml:space="preserve">¿Contra qué se evalúa cada clase de activo? </w:t>
      </w:r>
      <w:r>
        <w:rPr>
          <w:i w:val="0"/>
        </w:rPr>
        <w:t>Renta variable contra el S&amp;P 500, renta fija larga contra un índice de bonos largos de gobierno y corporativos, commodities contra la mezcla de sus 5 ETF y la reserva contra T-Bills. Frente a ese benchmark, Nexum rindió 9,9% vs 10,7% en 2016-2026, con menos volatilidad y caídas más bajas: el satélite de renta variable baja el riesgo, no busca superar al índice en un mercado alcista.</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codigo/analisis_adicional.py: benchmark por clase de activo, resultado en vivo por clase, forward USD/CLP, bandas de rebalanceo y activos adicionales (resultados/analisis_adicional.xlsx).</w:t>
      </w:r>
    </w:p>
    <w:p>
      <w:pPr>
        <w:pStyle w:val="ListBullet"/>
      </w:pPr>
      <w:r>
        <w:t>La versión portada de los backtests reproduce exactamente los resultados del modelo anterior (diferencia máxima 10⁻¹⁶) antes de aplicar las correcciones.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