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los USD 144.000 invertidos (USD 150.000 menos la reserva de 4%, que no financia metas) y 19 aportes de USD 10.000, la cartera debe rendir 4,65% real anual (TIR de los flujos del enunciado). Con supuestos más exigentes y fieles al caso —aportes en USD nominales, arancel creciendo 2% real, 14 años efectivos de aportes— el requerimiento sube a 5,7%.</w:t>
      </w:r>
    </w:p>
    <w:p>
      <w:pPr>
        <w:pStyle w:val="ListBullet"/>
      </w:pPr>
      <w:r>
        <w:rPr>
          <w:b/>
        </w:rPr>
        <w:t xml:space="preserve">Factibilidad. </w:t>
      </w:r>
      <w:r>
        <w:t>A la tasa real libre de riesgo (2,5%), los objetivos valen USD 492.981 y los recursos USD 293.789: cobertura de 0,60x.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levemente bajo el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2,1% (objetivo 3%, máximo 4%) e information ratio 0,27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separa lo que pueden asumir (capacidad) de lo que quieren asumir (disposición) y considera además su capital humano y la aversión al riesgo implícita:</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Cuestionario de Grable y Lytton (1999): 30 de 47 puntos. Aceptan riesgo después de informarse y asocian riesgo con oportunidad, pero prefieren una ganancia segura frente a una apuesta y se declaran solo algo cómodos invirtiendo en acciones. Hoy tienen 85% en activos de riesgo en la AGF y piden commodities y alternativos</w:t>
            </w:r>
          </w:p>
        </w:tc>
        <w:tc>
          <w:tcPr>
            <w:tcW w:type="dxa" w:w="2835"/>
            <w:shd w:val="clear" w:color="auto" w:fill="F2F5F9"/>
          </w:tcPr>
          <w:p>
            <w:r/>
            <w:r>
              <w:rPr>
                <w:sz w:val="17"/>
              </w:rPr>
              <w:t>Moderada: toman riesgo para crecer, sin especular;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La cartera pide algo más de riesgo que el promedio del mercado; lo acotan los límites de volatilidad (10-12%) y de caída (25%)</w:t>
            </w:r>
          </w:p>
        </w:tc>
      </w:tr>
    </w:tbl>
    <w:p/>
    <w:p>
      <w:r>
        <w:rPr>
          <w:i w:val="0"/>
        </w:rPr>
        <w:t>Conclusión: perfil moderado, el mismo del IPS de la Parte I. La capacidad es alta en el largo plazo, pero la acota Educación, un objetivo rígido que empieza en el año 14; la disposición es moderada. El perfil se traduce en 60-65% de renta variable, cerca de 30% de renta fija larga, volatilidad anual de 10-12% y una caída máxima tolerada de 25%.</w:t>
      </w:r>
    </w:p>
    <w:p>
      <w:r>
        <w:rPr>
          <w:i/>
          <w:sz w:val="18"/>
        </w:rPr>
        <w:t>El cuestionario de Grable y Lytton (13 preguntas, de 13 a 47 puntos) se respondió con inteligencia artificial a partir del perfil del enunciado, con autorización del profesor, porque los clientes son ficticios. El resultado se contrastó con el simulador de perfil de Banchile Inversiones, que también entrega perfil moderado y recomienda hasta 60% en renta variable; la cartera tiene 62%, en el borde de ese rango. Con 30 puntos, el puntaje queda en el límite superior de la tolerancia media; como Educación limita la capacidad y los clientes no tienen experiencia en derivados, el perfil final es moderado. Las respuestas están en el Anexo D.</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0,60 veces los objetivos: el plan es factible solo si la cartera captura prima por riesgo. Valorizados a la TIR, Villarrica representa 56% de la exigencia, Educación 25% y la herencia 19%.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9,3%</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10,9%</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0,68</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0,58</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-20,3%</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4,5%</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2,1%</w:t>
            </w:r>
          </w:p>
        </w:tc>
        <w:tc>
          <w:tcPr>
            <w:tcW w:type="dxa" w:w="1531"/>
          </w:tcPr>
          <w:p>
            <w:r/>
            <w:r>
              <w:rPr>
                <w:sz w:val="17"/>
              </w:rPr>
              <w:t>0,0%</w:t>
            </w:r>
          </w:p>
        </w:tc>
        <w:tc>
          <w:tcPr>
            <w:tcW w:type="dxa" w:w="1531"/>
          </w:tcPr>
          <w:p>
            <w:r/>
            <w:r>
              <w:rPr>
                <w:sz w:val="17"/>
              </w:rPr>
              <w:t>4,1%</w:t>
            </w:r>
          </w:p>
        </w:tc>
        <w:tc>
          <w:tcPr>
            <w:tcW w:type="dxa" w:w="1531"/>
          </w:tcPr>
          <w:p>
            <w:r/>
            <w:r>
              <w:rPr>
                <w:sz w:val="17"/>
              </w:rPr>
              <w:t>6,1%</w:t>
            </w:r>
          </w:p>
        </w:tc>
      </w:tr>
      <w:tr>
        <w:tc>
          <w:tcPr>
            <w:tcW w:type="dxa" w:w="2835"/>
            <w:shd w:val="clear" w:color="auto" w:fill="F2F5F9"/>
          </w:tcPr>
          <w:p>
            <w:r/>
            <w:r>
              <w:rPr>
                <w:sz w:val="17"/>
              </w:rPr>
              <w:t>Information ratio</w:t>
            </w:r>
          </w:p>
        </w:tc>
        <w:tc>
          <w:tcPr>
            <w:tcW w:type="dxa" w:w="1531"/>
            <w:shd w:val="clear" w:color="auto" w:fill="F2F5F9"/>
          </w:tcPr>
          <w:p>
            <w:r/>
            <w:r>
              <w:rPr>
                <w:sz w:val="17"/>
              </w:rPr>
              <w:t>0,27</w:t>
            </w:r>
          </w:p>
        </w:tc>
        <w:tc>
          <w:tcPr>
            <w:tcW w:type="dxa" w:w="1531"/>
            <w:shd w:val="clear" w:color="auto" w:fill="F2F5F9"/>
          </w:tcPr>
          <w:p>
            <w:r/>
            <w:r>
              <w:rPr>
                <w:sz w:val="17"/>
              </w:rPr>
              <w:t>—</w:t>
            </w:r>
          </w:p>
        </w:tc>
        <w:tc>
          <w:tcPr>
            <w:tcW w:type="dxa" w:w="1531"/>
            <w:shd w:val="clear" w:color="auto" w:fill="F2F5F9"/>
          </w:tcPr>
          <w:p>
            <w:r/>
            <w:r>
              <w:rPr>
                <w:sz w:val="17"/>
              </w:rPr>
              <w:t>0,81</w:t>
            </w:r>
          </w:p>
        </w:tc>
        <w:tc>
          <w:tcPr>
            <w:tcW w:type="dxa" w:w="1531"/>
            <w:shd w:val="clear" w:color="auto" w:fill="F2F5F9"/>
          </w:tcPr>
          <w:p>
            <w:r/>
            <w:r>
              <w:rPr>
                <w:sz w:val="17"/>
              </w:rPr>
              <w:t>0,94</w:t>
            </w:r>
          </w:p>
        </w:tc>
      </w:tr>
    </w:tbl>
    <w:p/>
    <w:p>
      <w:r>
        <w:rPr>
          <w:i w:val="0"/>
        </w:rPr>
        <w:t>Retorno esperado vs requerido: el retorno histórico real 2013-2026 fue 7,8%, muy sobre el requerido. Con supuestos prospectivos (tasa real ~2,5% más primas moderadas; sección 4.3) el retorno real esperado es 4,6%, levemente bajo el requerido de 4,65%: el plan es exigente y depende de las palancas.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 de horizonte largo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 ficha en Quantpedia (s. f.-b)</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 ficha en Quantpedia (s. f.-a)</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DJP</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19,6%</w:t>
            </w:r>
          </w:p>
        </w:tc>
        <w:tc>
          <w:tcPr>
            <w:tcW w:type="dxa" w:w="737"/>
          </w:tcPr>
          <w:p>
            <w:r/>
            <w:r>
              <w:rPr>
                <w:sz w:val="16"/>
              </w:rPr>
              <w:t>0,12</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2,0%</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2,1%</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587"/>
            <w:shd w:val="clear" w:color="auto" w:fill="1F3A5F"/>
          </w:tcPr>
          <w:p>
            <w:r/>
            <w:r>
              <w:rPr>
                <w:b/>
                <w:color w:val="FFFFFF"/>
                <w:sz w:val="17"/>
              </w:rPr>
              <w:t>Banco</w:t>
            </w:r>
          </w:p>
        </w:tc>
        <w:tc>
          <w:tcPr>
            <w:tcW w:type="dxa" w:w="1247"/>
            <w:shd w:val="clear" w:color="auto" w:fill="1F3A5F"/>
          </w:tcPr>
          <w:p>
            <w:r/>
            <w:r>
              <w:rPr>
                <w:b/>
                <w:color w:val="FFFFFF"/>
                <w:sz w:val="17"/>
              </w:rPr>
              <w:t>Fecha de cotización</w:t>
            </w:r>
          </w:p>
        </w:tc>
        <w:tc>
          <w:tcPr>
            <w:tcW w:type="dxa" w:w="1587"/>
            <w:shd w:val="clear" w:color="auto" w:fill="1F3A5F"/>
          </w:tcPr>
          <w:p>
            <w:r/>
            <w:r>
              <w:rPr>
                <w:b/>
                <w:color w:val="FFFFFF"/>
                <w:sz w:val="17"/>
              </w:rPr>
              <w:t>Plazo</w:t>
            </w:r>
          </w:p>
        </w:tc>
        <w:tc>
          <w:tcPr>
            <w:tcW w:type="dxa" w:w="1020"/>
            <w:shd w:val="clear" w:color="auto" w:fill="1F3A5F"/>
          </w:tcPr>
          <w:p>
            <w:r/>
            <w:r>
              <w:rPr>
                <w:b/>
                <w:color w:val="FFFFFF"/>
                <w:sz w:val="17"/>
              </w:rPr>
              <w:t>Spot (CLP)</w:t>
            </w:r>
          </w:p>
        </w:tc>
        <w:tc>
          <w:tcPr>
            <w:tcW w:type="dxa" w:w="1474"/>
            <w:shd w:val="clear" w:color="auto" w:fill="1F3A5F"/>
          </w:tcPr>
          <w:p>
            <w:r/>
            <w:r>
              <w:rPr>
                <w:b/>
                <w:color w:val="FFFFFF"/>
                <w:sz w:val="17"/>
              </w:rPr>
              <w:t>Puntos forward (venta USD)</w:t>
            </w:r>
          </w:p>
        </w:tc>
        <w:tc>
          <w:tcPr>
            <w:tcW w:type="dxa" w:w="1361"/>
            <w:shd w:val="clear" w:color="auto" w:fill="1F3A5F"/>
          </w:tcPr>
          <w:p>
            <w:r/>
            <w:r>
              <w:rPr>
                <w:b/>
                <w:color w:val="FFFFFF"/>
                <w:sz w:val="17"/>
              </w:rPr>
              <w:t>Forward (CLP por USD)</w:t>
            </w:r>
          </w:p>
        </w:tc>
        <w:tc>
          <w:tcPr>
            <w:tcW w:type="dxa" w:w="907"/>
            <w:shd w:val="clear" w:color="auto" w:fill="1F3A5F"/>
          </w:tcPr>
          <w:p>
            <w:r/>
            <w:r>
              <w:rPr>
                <w:b/>
                <w:color w:val="FFFFFF"/>
                <w:sz w:val="17"/>
              </w:rPr>
              <w:t>Uso</w:t>
            </w:r>
          </w:p>
        </w:tc>
      </w:tr>
      <w:tr>
        <w:tc>
          <w:tcPr>
            <w:tcW w:type="dxa" w:w="1587"/>
          </w:tcPr>
          <w:p>
            <w:r/>
            <w:r>
              <w:rPr>
                <w:sz w:val="17"/>
              </w:rPr>
              <w:t>Banco de Chile (BDCH)</w:t>
            </w:r>
          </w:p>
        </w:tc>
        <w:tc>
          <w:tcPr>
            <w:tcW w:type="dxa" w:w="1247"/>
          </w:tcPr>
          <w:p>
            <w:r/>
            <w:r>
              <w:rPr>
                <w:sz w:val="17"/>
              </w:rPr>
              <w:t>28-sep-2026</w:t>
            </w:r>
          </w:p>
        </w:tc>
        <w:tc>
          <w:tcPr>
            <w:tcW w:type="dxa" w:w="1587"/>
          </w:tcPr>
          <w:p>
            <w:r/>
            <w:r>
              <w:rPr>
                <w:sz w:val="17"/>
              </w:rPr>
              <w:t>1 año (vence 30-sep-2027)</w:t>
            </w:r>
          </w:p>
        </w:tc>
        <w:tc>
          <w:tcPr>
            <w:tcW w:type="dxa" w:w="1020"/>
          </w:tcPr>
          <w:p>
            <w:r/>
            <w:r>
              <w:rPr>
                <w:sz w:val="17"/>
              </w:rPr>
              <w:t>967,32</w:t>
            </w:r>
          </w:p>
        </w:tc>
        <w:tc>
          <w:tcPr>
            <w:tcW w:type="dxa" w:w="1474"/>
          </w:tcPr>
          <w:p>
            <w:r/>
            <w:r>
              <w:rPr>
                <w:sz w:val="17"/>
              </w:rPr>
              <w:t>−4,24</w:t>
            </w:r>
          </w:p>
        </w:tc>
        <w:tc>
          <w:tcPr>
            <w:tcW w:type="dxa" w:w="1361"/>
          </w:tcPr>
          <w:p>
            <w:r/>
            <w:r>
              <w:rPr>
                <w:sz w:val="17"/>
              </w:rPr>
              <w:t>963,08</w:t>
            </w:r>
          </w:p>
        </w:tc>
        <w:tc>
          <w:tcPr>
            <w:tcW w:type="dxa" w:w="907"/>
          </w:tcPr>
          <w:p>
            <w:r/>
            <w:r>
              <w:rPr>
                <w:sz w:val="17"/>
              </w:rPr>
              <w:t>Contratado</w:t>
            </w:r>
          </w:p>
        </w:tc>
      </w:tr>
      <w:tr>
        <w:tc>
          <w:tcPr>
            <w:tcW w:type="dxa" w:w="1587"/>
            <w:shd w:val="clear" w:color="auto" w:fill="F2F5F9"/>
          </w:tcPr>
          <w:p>
            <w:r/>
            <w:r>
              <w:rPr>
                <w:sz w:val="17"/>
              </w:rPr>
              <w:t>BCI</w:t>
            </w:r>
          </w:p>
        </w:tc>
        <w:tc>
          <w:tcPr>
            <w:tcW w:type="dxa" w:w="1247"/>
            <w:shd w:val="clear" w:color="auto" w:fill="F2F5F9"/>
          </w:tcPr>
          <w:p>
            <w:r/>
            <w:r>
              <w:rPr>
                <w:sz w:val="17"/>
              </w:rPr>
              <w:t>28-sep-2026</w:t>
            </w:r>
          </w:p>
        </w:tc>
        <w:tc>
          <w:tcPr>
            <w:tcW w:type="dxa" w:w="1587"/>
            <w:shd w:val="clear" w:color="auto" w:fill="F2F5F9"/>
          </w:tcPr>
          <w:p>
            <w:r/>
            <w:r>
              <w:rPr>
                <w:sz w:val="17"/>
              </w:rPr>
              <w:t>1 año (vence 30-sep-2027)</w:t>
            </w:r>
          </w:p>
        </w:tc>
        <w:tc>
          <w:tcPr>
            <w:tcW w:type="dxa" w:w="1020"/>
            <w:shd w:val="clear" w:color="auto" w:fill="F2F5F9"/>
          </w:tcPr>
          <w:p>
            <w:r/>
            <w:r>
              <w:rPr>
                <w:sz w:val="17"/>
              </w:rPr>
              <w:t>967,33 (bid)</w:t>
            </w:r>
          </w:p>
        </w:tc>
        <w:tc>
          <w:tcPr>
            <w:tcW w:type="dxa" w:w="1474"/>
            <w:shd w:val="clear" w:color="auto" w:fill="F2F5F9"/>
          </w:tcPr>
          <w:p>
            <w:r/>
            <w:r>
              <w:rPr>
                <w:sz w:val="17"/>
              </w:rPr>
              <w:t>−0,30 / +0,30 (bid/ask)</w:t>
            </w:r>
          </w:p>
        </w:tc>
        <w:tc>
          <w:tcPr>
            <w:tcW w:type="dxa" w:w="1361"/>
            <w:shd w:val="clear" w:color="auto" w:fill="F2F5F9"/>
          </w:tcPr>
          <w:p>
            <w:r/>
            <w:r>
              <w:rPr>
                <w:sz w:val="17"/>
              </w:rPr>
              <w:t>967,03 / 968,45</w:t>
            </w:r>
          </w:p>
        </w:tc>
        <w:tc>
          <w:tcPr>
            <w:tcW w:type="dxa" w:w="907"/>
            <w:shd w:val="clear" w:color="auto" w:fill="F2F5F9"/>
          </w:tcPr>
          <w:p>
            <w:r/>
            <w:r>
              <w:rPr>
                <w:sz w:val="17"/>
              </w:rPr>
              <w:t>Referencia</w:t>
            </w:r>
          </w:p>
        </w:tc>
      </w:tr>
    </w:tbl>
    <w:p>
      <w:r>
        <w:rPr>
          <w:i/>
          <w:sz w:val="16"/>
        </w:rPr>
        <w:t>Fuente: Bloomberg, FX Forward Calculator (USD/CLP NDF, fuente forward BCI; spot REGN). Se contrató con Banco de Chile porque sus puntos son coherentes con la paridad cubierta de tasas (tasa en pesos menor que en dólares implica puntos negativos de ~0,4% anual). La curva de BCI mostró puntos simétricos y redondos (±0,30 a 1 año, ±1,00 a 2 años, ±3,00 a 5 años), propios de una cotización indicativa, por lo que no se usó para contratar.</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3"/>
      </w:pPr>
      <w:r>
        <w:t>Política de cobertura por meta</w:t>
      </w:r>
    </w:p>
    <w:p>
      <w:r>
        <w:rPr>
          <w:i w:val="0"/>
        </w:rPr>
        <w:t>La cobertura se define por meta, siguiendo la lógica de calce de activos y obligaciones (Sharpe y Tint, 1990): cuánto se cubre depende de la moneda y de la cercanía de cada pago. Como toda la gestión se hace en StockTrak, que solo opera instrumentos en USD, la herramienta es el forward USD/CLP renovado al vencer cada contrato (roll-over). Lo que se paga en el contrato cuando el dólar sube no es una pérdida neta, porque los activos en USD valen más en pesos. El riesgo cambiario está incluido en la simulación: medido en UF, la probabilidad prospectiva de cumplir los tres objetivos es 45,3%, frente a 46,5% en USD.</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928"/>
            <w:shd w:val="clear" w:color="auto" w:fill="1F3A5F"/>
          </w:tcPr>
          <w:p>
            <w:r/>
            <w:r>
              <w:rPr>
                <w:b/>
                <w:color w:val="FFFFFF"/>
                <w:sz w:val="17"/>
              </w:rPr>
              <w:t>Meta</w:t>
            </w:r>
          </w:p>
        </w:tc>
        <w:tc>
          <w:tcPr>
            <w:tcW w:type="dxa" w:w="1134"/>
            <w:shd w:val="clear" w:color="auto" w:fill="1F3A5F"/>
          </w:tcPr>
          <w:p>
            <w:r/>
            <w:r>
              <w:rPr>
                <w:b/>
                <w:color w:val="FFFFFF"/>
                <w:sz w:val="17"/>
              </w:rPr>
              <w:t>Horizonte</w:t>
            </w:r>
          </w:p>
        </w:tc>
        <w:tc>
          <w:tcPr>
            <w:tcW w:type="dxa" w:w="2608"/>
            <w:shd w:val="clear" w:color="auto" w:fill="1F3A5F"/>
          </w:tcPr>
          <w:p>
            <w:r/>
            <w:r>
              <w:rPr>
                <w:b/>
                <w:color w:val="FFFFFF"/>
                <w:sz w:val="17"/>
              </w:rPr>
              <w:t>Cobertura con forward USD/CLP renovado</w:t>
            </w:r>
          </w:p>
        </w:tc>
        <w:tc>
          <w:tcPr>
            <w:tcW w:type="dxa" w:w="3402"/>
            <w:shd w:val="clear" w:color="auto" w:fill="1F3A5F"/>
          </w:tcPr>
          <w:p>
            <w:r/>
            <w:r>
              <w:rPr>
                <w:b/>
                <w:color w:val="FFFFFF"/>
                <w:sz w:val="17"/>
              </w:rPr>
              <w:t>Fundamento</w:t>
            </w:r>
          </w:p>
        </w:tc>
      </w:tr>
      <w:tr>
        <w:tc>
          <w:tcPr>
            <w:tcW w:type="dxa" w:w="1928"/>
          </w:tcPr>
          <w:p>
            <w:r/>
            <w:r>
              <w:rPr>
                <w:sz w:val="17"/>
              </w:rPr>
              <w:t>Valor total de la cartera (hoy)</w:t>
            </w:r>
          </w:p>
        </w:tc>
        <w:tc>
          <w:tcPr>
            <w:tcW w:type="dxa" w:w="1134"/>
          </w:tcPr>
          <w:p>
            <w:r/>
            <w:r>
              <w:rPr>
                <w:sz w:val="17"/>
              </w:rPr>
              <w:t>Años 1-10</w:t>
            </w:r>
          </w:p>
        </w:tc>
        <w:tc>
          <w:tcPr>
            <w:tcW w:type="dxa" w:w="2608"/>
          </w:tcPr>
          <w:p>
            <w:r/>
            <w:r>
              <w:rPr>
                <w:sz w:val="17"/>
              </w:rPr>
              <w:t>~70% (rango 50-75%), renovado cada año</w:t>
            </w:r>
          </w:p>
        </w:tc>
        <w:tc>
          <w:tcPr>
            <w:tcW w:type="dxa" w:w="3402"/>
          </w:tcPr>
          <w:p>
            <w:r/>
            <w:r>
              <w:rPr>
                <w:sz w:val="17"/>
              </w:rPr>
              <w:t>El dólar sube cuando caen las bolsas; la parte no cubierta amortigua las caídas en pesos (Campbell, Serfaty-de Medeiros y Viceira, 2010)</w:t>
            </w:r>
          </w:p>
        </w:tc>
      </w:tr>
      <w:tr>
        <w:tc>
          <w:tcPr>
            <w:tcW w:type="dxa" w:w="1928"/>
            <w:shd w:val="clear" w:color="auto" w:fill="F2F5F9"/>
          </w:tcPr>
          <w:p>
            <w:r/>
            <w:r>
              <w:rPr>
                <w:sz w:val="17"/>
              </w:rPr>
              <w:t>Educación</w:t>
            </w:r>
          </w:p>
        </w:tc>
        <w:tc>
          <w:tcPr>
            <w:tcW w:type="dxa" w:w="1134"/>
            <w:shd w:val="clear" w:color="auto" w:fill="F2F5F9"/>
          </w:tcPr>
          <w:p>
            <w:r/>
            <w:r>
              <w:rPr>
                <w:sz w:val="17"/>
              </w:rPr>
              <w:t>Años 14-20</w:t>
            </w:r>
          </w:p>
        </w:tc>
        <w:tc>
          <w:tcPr>
            <w:tcW w:type="dxa" w:w="2608"/>
            <w:shd w:val="clear" w:color="auto" w:fill="F2F5F9"/>
          </w:tcPr>
          <w:p>
            <w:r/>
            <w:r>
              <w:rPr>
                <w:sz w:val="17"/>
              </w:rPr>
              <w:t>100% del valor presente de cada pago desde 3 años antes</w:t>
            </w:r>
          </w:p>
        </w:tc>
        <w:tc>
          <w:tcPr>
            <w:tcW w:type="dxa" w:w="3402"/>
            <w:shd w:val="clear" w:color="auto" w:fill="F2F5F9"/>
          </w:tcPr>
          <w:p>
            <w:r/>
            <w:r>
              <w:rPr>
                <w:sz w:val="17"/>
              </w:rPr>
              <w:t>Meta rígida en UF: el descalce cambiario cercano al pago no alcanza a corregirse</w:t>
            </w:r>
          </w:p>
        </w:tc>
      </w:tr>
      <w:tr>
        <w:tc>
          <w:tcPr>
            <w:tcW w:type="dxa" w:w="1928"/>
          </w:tcPr>
          <w:p>
            <w:r/>
            <w:r>
              <w:rPr>
                <w:sz w:val="17"/>
              </w:rPr>
              <w:t>Villarrica</w:t>
            </w:r>
          </w:p>
        </w:tc>
        <w:tc>
          <w:tcPr>
            <w:tcW w:type="dxa" w:w="1134"/>
          </w:tcPr>
          <w:p>
            <w:r/>
            <w:r>
              <w:rPr>
                <w:sz w:val="17"/>
              </w:rPr>
              <w:t>Año 25</w:t>
            </w:r>
          </w:p>
        </w:tc>
        <w:tc>
          <w:tcPr>
            <w:tcW w:type="dxa" w:w="2608"/>
          </w:tcPr>
          <w:p>
            <w:r/>
            <w:r>
              <w:rPr>
                <w:sz w:val="17"/>
              </w:rPr>
              <w:t>100% del valor presente del pago desde 3 años antes</w:t>
            </w:r>
          </w:p>
        </w:tc>
        <w:tc>
          <w:tcPr>
            <w:tcW w:type="dxa" w:w="3402"/>
          </w:tcPr>
          <w:p>
            <w:r/>
            <w:r>
              <w:rPr>
                <w:sz w:val="17"/>
              </w:rPr>
              <w:t>Meta en UF con fecha conocida</w:t>
            </w:r>
          </w:p>
        </w:tc>
      </w:tr>
      <w:tr>
        <w:tc>
          <w:tcPr>
            <w:tcW w:type="dxa" w:w="1928"/>
            <w:shd w:val="clear" w:color="auto" w:fill="F2F5F9"/>
          </w:tcPr>
          <w:p>
            <w:r/>
            <w:r>
              <w:rPr>
                <w:sz w:val="17"/>
              </w:rPr>
              <w:t>Herencia</w:t>
            </w:r>
          </w:p>
        </w:tc>
        <w:tc>
          <w:tcPr>
            <w:tcW w:type="dxa" w:w="1134"/>
            <w:shd w:val="clear" w:color="auto" w:fill="F2F5F9"/>
          </w:tcPr>
          <w:p>
            <w:r/>
            <w:r>
              <w:rPr>
                <w:sz w:val="17"/>
              </w:rPr>
              <w:t>Año 50</w:t>
            </w:r>
          </w:p>
        </w:tc>
        <w:tc>
          <w:tcPr>
            <w:tcW w:type="dxa" w:w="2608"/>
            <w:shd w:val="clear" w:color="auto" w:fill="F2F5F9"/>
          </w:tcPr>
          <w:p>
            <w:r/>
            <w:r>
              <w:rPr>
                <w:sz w:val="17"/>
              </w:rPr>
              <w:t>Parcial o nula</w:t>
            </w:r>
          </w:p>
        </w:tc>
        <w:tc>
          <w:tcPr>
            <w:tcW w:type="dxa" w:w="3402"/>
            <w:shd w:val="clear" w:color="auto" w:fill="F2F5F9"/>
          </w:tcPr>
          <w:p>
            <w:r/>
            <w:r>
              <w:rPr>
                <w:sz w:val="17"/>
              </w:rPr>
              <w:t>A plazos largos el peso tiende a ajustarse por la diferencia de inflación (Rogoff, 1996) y el beneficio de cubrir cae (Froot, 1993)</w:t>
            </w:r>
          </w:p>
        </w:tc>
      </w:tr>
    </w:tbl>
    <w:p/>
    <w:p>
      <w:pPr>
        <w:pStyle w:val="ListBullet"/>
      </w:pPr>
      <w:r>
        <w:rPr>
          <w:b/>
        </w:rPr>
        <w:t xml:space="preserve">Costos y riesgos que se aceptan: </w:t>
      </w:r>
      <w:r>
        <w:t>los puntos forward (0,44% del monto hoy) dependen del diferencial de tasas y se revisan en cada renovación; el contrato puede renovarse en peores condiciones; y las compensaciones exigen liquidez, que se cubre con la reserva, SGOV y el rebalanceo, sin vender acciones después de una caída.</w:t>
      </w:r>
    </w:p>
    <w:p>
      <w:pPr>
        <w:pStyle w:val="ListBullet"/>
      </w:pPr>
      <w:r>
        <w:rPr>
          <w:b/>
        </w:rPr>
        <w:t xml:space="preserve">Lo que el forward no cubre: </w:t>
      </w:r>
      <w:r>
        <w:t>la inflación chilena. Es el componente menor del riesgo frente a la UF y en el largo plazo queda recogido porque el modelo trabaja en USD reales.</w:t>
      </w:r>
    </w:p>
    <w:p>
      <w:pPr>
        <w:pStyle w:val="ListBullet"/>
      </w:pPr>
      <w:r>
        <w:rPr>
          <w:b/>
        </w:rPr>
        <w:t xml:space="preserve">Mejora para la próxima revisión del IPS: </w:t>
      </w:r>
      <w:r>
        <w:t>para los pagos fijos de Educación, un swap CLF/USD contra SOFR convertiría flujos en USD en flujos en UF a plazos largos. Se recomienda evaluarlo antes del año 11, porque es una herramienta más precisa que el forward para flujos conocidos.</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Bloomberg Commodity Index Total Return (DJP)</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Bloomberg Commodity Index TR (DJP)</w:t>
            </w:r>
          </w:p>
        </w:tc>
        <w:tc>
          <w:tcPr>
            <w:tcW w:type="dxa" w:w="850"/>
          </w:tcPr>
          <w:p>
            <w:r/>
            <w:r>
              <w:rPr>
                <w:sz w:val="15"/>
              </w:rPr>
              <w:t>10,6%</w:t>
            </w:r>
          </w:p>
        </w:tc>
        <w:tc>
          <w:tcPr>
            <w:tcW w:type="dxa" w:w="907"/>
          </w:tcPr>
          <w:p>
            <w:r/>
            <w:r>
              <w:rPr>
                <w:sz w:val="15"/>
              </w:rPr>
              <w:t>8,5%</w:t>
            </w:r>
          </w:p>
        </w:tc>
        <w:tc>
          <w:tcPr>
            <w:tcW w:type="dxa" w:w="1134"/>
          </w:tcPr>
          <w:p>
            <w:r/>
            <w:r>
              <w:rPr>
                <w:sz w:val="15"/>
              </w:rPr>
              <w:t>19,2% / 16,3%</w:t>
            </w:r>
          </w:p>
        </w:tc>
        <w:tc>
          <w:tcPr>
            <w:tcW w:type="dxa" w:w="1247"/>
          </w:tcPr>
          <w:p>
            <w:r/>
            <w:r>
              <w:rPr>
                <w:sz w:val="15"/>
              </w:rPr>
              <w:t>-31,4% / -36,2%</w:t>
            </w:r>
          </w:p>
        </w:tc>
        <w:tc>
          <w:tcPr>
            <w:tcW w:type="dxa" w:w="624"/>
          </w:tcPr>
          <w:p>
            <w:r/>
            <w:r>
              <w:rPr>
                <w:sz w:val="15"/>
              </w:rPr>
              <w:t>19,6%</w:t>
            </w:r>
          </w:p>
        </w:tc>
        <w:tc>
          <w:tcPr>
            <w:tcW w:type="dxa" w:w="907"/>
          </w:tcPr>
          <w:p>
            <w:r/>
            <w:r>
              <w:rPr>
                <w:sz w:val="15"/>
              </w:rPr>
              <w:t>0,15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Bloomberg Commodity Index Total Return, vía el ETN DJP (24 materias primas en energía, metales y agricultura). Fuente: codigo/analisis_adicional.py.</w:t>
      </w:r>
    </w:p>
    <w:p>
      <w:r>
        <w:rPr>
          <w:i w:val="0"/>
        </w:rPr>
        <w:t>Lectura. El benchmark por clase rindió 10,5%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10,1%),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2,1% (2016-2026) y 2,5% en los últimos 36 meses, dentro del objetivo; el information ratio realizado es 0,27.</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levemente bajo el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14-oct-2026)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r>
        <w:tc>
          <w:tcPr>
            <w:tcW w:type="dxa" w:w="850"/>
          </w:tcPr>
          <w:p>
            <w:r/>
            <w:r>
              <w:rPr>
                <w:sz w:val="15"/>
              </w:rPr>
              <w:t>6-oct</w:t>
            </w:r>
          </w:p>
        </w:tc>
        <w:tc>
          <w:tcPr>
            <w:tcW w:type="dxa" w:w="1474"/>
          </w:tcPr>
          <w:p>
            <w:r/>
            <w:r>
              <w:rPr>
                <w:sz w:val="15"/>
              </w:rPr>
              <w:t>Momentum</w:t>
            </w:r>
          </w:p>
        </w:tc>
        <w:tc>
          <w:tcPr>
            <w:tcW w:type="dxa" w:w="3061"/>
          </w:tcPr>
          <w:p>
            <w:r/>
            <w:r>
              <w:rPr>
                <w:sz w:val="15"/>
              </w:rPr>
              <w:t>Se pasa de 10 a 7 acciones (máximo 2 por sector)</w:t>
            </w:r>
          </w:p>
        </w:tc>
        <w:tc>
          <w:tcPr>
            <w:tcW w:type="dxa" w:w="3685"/>
          </w:tcPr>
          <w:p>
            <w:r/>
            <w:r>
              <w:rPr>
                <w:sz w:val="15"/>
              </w:rPr>
              <w:t>Con ~USD 10.000 en el sleeve, las comisiones costaban ~2,4 puntos; con 7 acciones el backtest rinde 17,4% vs 16,2%. Única regla modificada: desde aquí no se cambian reglas, para validar la estrategia estudiada</w:t>
            </w:r>
          </w:p>
        </w:tc>
      </w:tr>
      <w:tr>
        <w:tc>
          <w:tcPr>
            <w:tcW w:type="dxa" w:w="850"/>
            <w:shd w:val="clear" w:color="auto" w:fill="F2F5F9"/>
          </w:tcPr>
          <w:p>
            <w:r/>
            <w:r>
              <w:rPr>
                <w:sz w:val="15"/>
              </w:rPr>
              <w:t>6-oct</w:t>
            </w:r>
          </w:p>
        </w:tc>
        <w:tc>
          <w:tcPr>
            <w:tcW w:type="dxa" w:w="1474"/>
            <w:shd w:val="clear" w:color="auto" w:fill="F2F5F9"/>
          </w:tcPr>
          <w:p>
            <w:r/>
            <w:r>
              <w:rPr>
                <w:sz w:val="15"/>
              </w:rPr>
              <w:t>Momentum</w:t>
            </w:r>
          </w:p>
        </w:tc>
        <w:tc>
          <w:tcPr>
            <w:tcW w:type="dxa" w:w="3061"/>
            <w:shd w:val="clear" w:color="auto" w:fill="F2F5F9"/>
          </w:tcPr>
          <w:p>
            <w:r/>
            <w:r>
              <w:rPr>
                <w:sz w:val="15"/>
              </w:rPr>
              <w:t>HUM reemplaza a CRL</w:t>
            </w:r>
          </w:p>
        </w:tc>
        <w:tc>
          <w:tcPr>
            <w:tcW w:type="dxa" w:w="3685"/>
            <w:shd w:val="clear" w:color="auto" w:fill="F2F5F9"/>
          </w:tcPr>
          <w:p>
            <w:r/>
            <w:r>
              <w:rPr>
                <w:sz w:val="15"/>
              </w:rPr>
              <w:t>CRL tuvo una reversión intradía de 11%; la regla de ejecución indica postergar la compra, no reemplazarla. Desviación discrecional</w:t>
            </w:r>
          </w:p>
        </w:tc>
      </w:tr>
      <w:tr>
        <w:tc>
          <w:tcPr>
            <w:tcW w:type="dxa" w:w="850"/>
          </w:tcPr>
          <w:p>
            <w:r/>
            <w:r>
              <w:rPr>
                <w:sz w:val="15"/>
              </w:rPr>
              <w:t>8-oct</w:t>
            </w:r>
          </w:p>
        </w:tc>
        <w:tc>
          <w:tcPr>
            <w:tcW w:type="dxa" w:w="1474"/>
          </w:tcPr>
          <w:p>
            <w:r/>
            <w:r>
              <w:rPr>
                <w:sz w:val="15"/>
              </w:rPr>
              <w:t>Commodities</w:t>
            </w:r>
          </w:p>
        </w:tc>
        <w:tc>
          <w:tcPr>
            <w:tcW w:type="dxa" w:w="3061"/>
          </w:tcPr>
          <w:p>
            <w:r/>
            <w:r>
              <w:rPr>
                <w:sz w:val="15"/>
              </w:rPr>
              <w:t>Compra de 76 DJP (USD 3.982) con la caja del sleeve</w:t>
            </w:r>
          </w:p>
        </w:tc>
        <w:tc>
          <w:tcPr>
            <w:tcW w:type="dxa" w:w="3685"/>
          </w:tcPr>
          <w:p>
            <w:r/>
            <w:r>
              <w:rPr>
                <w:sz w:val="15"/>
              </w:rPr>
              <w:t>[Completar motivo] DJP es el benchmark del sleeve, no parte de su universo: equivale a invertir pasivamente la caja. Desviación discrecional</w:t>
            </w:r>
          </w:p>
        </w:tc>
      </w:tr>
      <w:tr>
        <w:tc>
          <w:tcPr>
            <w:tcW w:type="dxa" w:w="850"/>
            <w:shd w:val="clear" w:color="auto" w:fill="F2F5F9"/>
          </w:tcPr>
          <w:p>
            <w:r/>
            <w:r>
              <w:rPr>
                <w:sz w:val="15"/>
              </w:rPr>
              <w:t>8 al 14-oct</w:t>
            </w:r>
          </w:p>
        </w:tc>
        <w:tc>
          <w:tcPr>
            <w:tcW w:type="dxa" w:w="1474"/>
            <w:shd w:val="clear" w:color="auto" w:fill="F2F5F9"/>
          </w:tcPr>
          <w:p>
            <w:r/>
            <w:r>
              <w:rPr>
                <w:sz w:val="15"/>
              </w:rPr>
              <w:t>Momentum</w:t>
            </w:r>
          </w:p>
        </w:tc>
        <w:tc>
          <w:tcPr>
            <w:tcW w:type="dxa" w:w="3061"/>
            <w:shd w:val="clear" w:color="auto" w:fill="F2F5F9"/>
          </w:tcPr>
          <w:p>
            <w:r/>
            <w:r>
              <w:rPr>
                <w:sz w:val="15"/>
              </w:rPr>
              <w:t>Compra de AMD y MU; venta de MU (14-oct) y de CPAY (13-oct)</w:t>
            </w:r>
          </w:p>
        </w:tc>
        <w:tc>
          <w:tcPr>
            <w:tcW w:type="dxa" w:w="3685"/>
            <w:shd w:val="clear" w:color="auto" w:fill="F2F5F9"/>
          </w:tcPr>
          <w:p>
            <w:r/>
            <w:r>
              <w:rPr>
                <w:sz w:val="15"/>
              </w:rPr>
              <w:t>[Completar motivo] CPAY estaba fuera del top 25 (regla de permanencia)</w:t>
            </w:r>
          </w:p>
        </w:tc>
      </w:tr>
      <w:tr>
        <w:tc>
          <w:tcPr>
            <w:tcW w:type="dxa" w:w="850"/>
          </w:tcPr>
          <w:p>
            <w:r/>
            <w:r>
              <w:rPr>
                <w:sz w:val="15"/>
              </w:rPr>
              <w:t>13-oct</w:t>
            </w:r>
          </w:p>
        </w:tc>
        <w:tc>
          <w:tcPr>
            <w:tcW w:type="dxa" w:w="1474"/>
          </w:tcPr>
          <w:p>
            <w:r/>
            <w:r>
              <w:rPr>
                <w:sz w:val="15"/>
              </w:rPr>
              <w:t>Low-Volatility</w:t>
            </w:r>
          </w:p>
        </w:tc>
        <w:tc>
          <w:tcPr>
            <w:tcW w:type="dxa" w:w="3061"/>
          </w:tcPr>
          <w:p>
            <w:r/>
            <w:r>
              <w:rPr>
                <w:sz w:val="15"/>
              </w:rPr>
              <w:t>Venta de AFL y PG sin reemplazo (quedan 9 acciones)</w:t>
            </w:r>
          </w:p>
        </w:tc>
        <w:tc>
          <w:tcPr>
            <w:tcW w:type="dxa" w:w="3685"/>
          </w:tcPr>
          <w:p>
            <w:r/>
            <w:r>
              <w:rPr>
                <w:sz w:val="15"/>
              </w:rPr>
              <w:t>[Completar motivo] AFL era desviación desde el 21-sep; la regla pide 10 acciones a peso igual</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-11</w:t>
            </w:r>
          </w:p>
        </w:tc>
        <w:tc>
          <w:tcPr>
            <w:tcW w:type="dxa" w:w="1020"/>
          </w:tcPr>
          <w:p>
            <w:r/>
            <w:r>
              <w:rPr>
                <w:sz w:val="15"/>
              </w:rPr>
              <w:t>-0,01%</w:t>
            </w:r>
          </w:p>
        </w:tc>
        <w:tc>
          <w:tcPr>
            <w:tcW w:type="dxa" w:w="1814"/>
          </w:tcPr>
          <w:p>
            <w:r/>
            <w:r>
              <w:rPr>
                <w:sz w:val="15"/>
              </w:rPr>
              <w:t>S&amp;P 500 (SPY)</w:t>
            </w:r>
          </w:p>
        </w:tc>
        <w:tc>
          <w:tcPr>
            <w:tcW w:type="dxa" w:w="1020"/>
          </w:tcPr>
          <w:p>
            <w:r/>
            <w:r>
              <w:rPr>
                <w:sz w:val="15"/>
              </w:rPr>
              <w:t>1,16%</w:t>
            </w:r>
          </w:p>
        </w:tc>
        <w:tc>
          <w:tcPr>
            <w:tcW w:type="dxa" w:w="907"/>
          </w:tcPr>
          <w:p>
            <w:r/>
            <w:r>
              <w:rPr>
                <w:sz w:val="15"/>
              </w:rPr>
              <w:t>-1,18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-1.021</w:t>
            </w:r>
          </w:p>
        </w:tc>
        <w:tc>
          <w:tcPr>
            <w:tcW w:type="dxa" w:w="1020"/>
            <w:shd w:val="clear" w:color="auto" w:fill="F2F5F9"/>
          </w:tcPr>
          <w:p>
            <w:r/>
            <w:r>
              <w:rPr>
                <w:sz w:val="15"/>
              </w:rPr>
              <w:t>-2,26%</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-2,21%</w:t>
            </w:r>
          </w:p>
        </w:tc>
        <w:tc>
          <w:tcPr>
            <w:tcW w:type="dxa" w:w="907"/>
            <w:shd w:val="clear" w:color="auto" w:fill="F2F5F9"/>
          </w:tcPr>
          <w:p>
            <w:r/>
            <w:r>
              <w:rPr>
                <w:sz w:val="15"/>
              </w:rPr>
              <w:t>-0,05 pp</w:t>
            </w:r>
          </w:p>
        </w:tc>
      </w:tr>
      <w:tr>
        <w:tc>
          <w:tcPr>
            <w:tcW w:type="dxa" w:w="1928"/>
          </w:tcPr>
          <w:p>
            <w:r/>
            <w:r>
              <w:rPr>
                <w:sz w:val="15"/>
              </w:rPr>
              <w:t>Commodities</w:t>
            </w:r>
          </w:p>
        </w:tc>
        <w:tc>
          <w:tcPr>
            <w:tcW w:type="dxa" w:w="1361"/>
          </w:tcPr>
          <w:p>
            <w:r/>
            <w:r>
              <w:rPr>
                <w:sz w:val="15"/>
              </w:rPr>
              <w:t>USD 8.706</w:t>
            </w:r>
          </w:p>
        </w:tc>
        <w:tc>
          <w:tcPr>
            <w:tcW w:type="dxa" w:w="1134"/>
          </w:tcPr>
          <w:p>
            <w:r/>
            <w:r>
              <w:rPr>
                <w:sz w:val="15"/>
              </w:rPr>
              <w:t>-713</w:t>
            </w:r>
          </w:p>
        </w:tc>
        <w:tc>
          <w:tcPr>
            <w:tcW w:type="dxa" w:w="1020"/>
          </w:tcPr>
          <w:p>
            <w:r/>
            <w:r>
              <w:rPr>
                <w:sz w:val="15"/>
              </w:rPr>
              <w:t>-8,19%</w:t>
            </w:r>
          </w:p>
        </w:tc>
        <w:tc>
          <w:tcPr>
            <w:tcW w:type="dxa" w:w="1814"/>
          </w:tcPr>
          <w:p>
            <w:r/>
            <w:r>
              <w:rPr>
                <w:sz w:val="15"/>
              </w:rPr>
              <w:t>Bloomberg Commodity Index TR (DJP)</w:t>
            </w:r>
          </w:p>
        </w:tc>
        <w:tc>
          <w:tcPr>
            <w:tcW w:type="dxa" w:w="1020"/>
          </w:tcPr>
          <w:p>
            <w:r/>
            <w:r>
              <w:rPr>
                <w:sz w:val="15"/>
              </w:rPr>
              <w:t>-0,59%</w:t>
            </w:r>
          </w:p>
        </w:tc>
        <w:tc>
          <w:tcPr>
            <w:tcW w:type="dxa" w:w="907"/>
          </w:tcPr>
          <w:p>
            <w:r/>
            <w:r>
              <w:rPr>
                <w:sz w:val="15"/>
              </w:rPr>
              <w:t>-7,61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11</w:t>
            </w:r>
          </w:p>
        </w:tc>
        <w:tc>
          <w:tcPr>
            <w:tcW w:type="dxa" w:w="1020"/>
            <w:shd w:val="clear" w:color="auto" w:fill="F2F5F9"/>
          </w:tcPr>
          <w:p>
            <w:r/>
            <w:r>
              <w:rPr>
                <w:sz w:val="15"/>
              </w:rPr>
              <w:t>0,16%</w:t>
            </w:r>
          </w:p>
        </w:tc>
        <w:tc>
          <w:tcPr>
            <w:tcW w:type="dxa" w:w="1814"/>
            <w:shd w:val="clear" w:color="auto" w:fill="F2F5F9"/>
          </w:tcPr>
          <w:p>
            <w:r/>
            <w:r>
              <w:rPr>
                <w:sz w:val="15"/>
              </w:rPr>
              <w:t>T-Bills 0-3 meses (SGOV)</w:t>
            </w:r>
          </w:p>
        </w:tc>
        <w:tc>
          <w:tcPr>
            <w:tcW w:type="dxa" w:w="1020"/>
            <w:shd w:val="clear" w:color="auto" w:fill="F2F5F9"/>
          </w:tcPr>
          <w:p>
            <w:r/>
            <w:r>
              <w:rPr>
                <w:sz w:val="15"/>
              </w:rPr>
              <w:t>0,30%</w:t>
            </w:r>
          </w:p>
        </w:tc>
        <w:tc>
          <w:tcPr>
            <w:tcW w:type="dxa" w:w="907"/>
            <w:shd w:val="clear" w:color="auto" w:fill="F2F5F9"/>
          </w:tcPr>
          <w:p>
            <w:r/>
            <w:r>
              <w:rPr>
                <w:sz w:val="15"/>
              </w:rPr>
              <w:t>-0,14 pp</w:t>
            </w:r>
          </w:p>
        </w:tc>
      </w:tr>
    </w:tbl>
    <w:p>
      <w:r>
        <w:rPr>
          <w:i/>
          <w:sz w:val="16"/>
        </w:rPr>
        <w:t>Desde el 14-sep hasta el 14-oct (exports de StockTrak; benchmarks con el último precio del export).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1,2 puntos bajo el S&amp;P 500, en parte por las comisiones (54 operaciones, USD 540) y en parte por el sesgo defensivo de Low-Volatility en un mercado al alza; commodities queda 7,6 puntos bajo su benchmark por la pérdida en USO, ya liquidado.</w:t>
      </w:r>
    </w:p>
    <w:p>
      <w:pPr>
        <w:pStyle w:val="Heading3"/>
      </w:pPr>
      <w:r>
        <w:t>Por qué la cartera no rindió como esperábamos</w:t>
      </w:r>
    </w:p>
    <w:p>
      <w:r>
        <w:rPr>
          <w:i w:val="0"/>
        </w:rPr>
        <w:t>Entre el 14-sep y el 14-oct la cartera perdió USD 1.734 (-1,16% sobre el capital), mientras el S&amp;P 500 subió 1,2%. La pérdida tiene tres explicaciones, todas medibles:</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6"/>
              </w:rPr>
              <w:t>Bloque</w:t>
            </w:r>
          </w:p>
        </w:tc>
        <w:tc>
          <w:tcPr>
            <w:tcW w:type="dxa" w:w="1361"/>
            <w:shd w:val="clear" w:color="auto" w:fill="1F3A5F"/>
          </w:tcPr>
          <w:p>
            <w:r/>
            <w:r>
              <w:rPr>
                <w:b/>
                <w:color w:val="FFFFFF"/>
                <w:sz w:val="16"/>
              </w:rPr>
              <w:t>Resultado (USD)</w:t>
            </w:r>
          </w:p>
        </w:tc>
        <w:tc>
          <w:tcPr>
            <w:tcW w:type="dxa" w:w="5329"/>
            <w:shd w:val="clear" w:color="auto" w:fill="1F3A5F"/>
          </w:tcPr>
          <w:p>
            <w:r/>
            <w:r>
              <w:rPr>
                <w:b/>
                <w:color w:val="FFFFFF"/>
                <w:sz w:val="16"/>
              </w:rPr>
              <w:t>Qué pasó</w:t>
            </w:r>
          </w:p>
        </w:tc>
      </w:tr>
      <w:tr>
        <w:tc>
          <w:tcPr>
            <w:tcW w:type="dxa" w:w="2381"/>
          </w:tcPr>
          <w:p>
            <w:r/>
            <w:r>
              <w:rPr>
                <w:sz w:val="16"/>
              </w:rPr>
              <w:t>Bonos largos (TLH + VCLT, ~31%)</w:t>
            </w:r>
          </w:p>
        </w:tc>
        <w:tc>
          <w:tcPr>
            <w:tcW w:type="dxa" w:w="1361"/>
          </w:tcPr>
          <w:p>
            <w:r/>
            <w:r>
              <w:rPr>
                <w:sz w:val="16"/>
              </w:rPr>
              <w:t>-1.021</w:t>
            </w:r>
          </w:p>
        </w:tc>
        <w:tc>
          <w:tcPr>
            <w:tcW w:type="dxa" w:w="5329"/>
          </w:tcPr>
          <w:p>
            <w:r/>
            <w:r>
              <w:rPr>
                <w:sz w:val="16"/>
              </w:rPr>
              <w:t>La tasa a 10 años subió hasta 5,3%, su nivel más alto desde 2002, y los bonos cayeron 2,3%, lo mismo que su índice. No fue un error de ejecución: es el riesgo de duración que asumimos</w:t>
            </w:r>
          </w:p>
        </w:tc>
      </w:tr>
      <w:tr>
        <w:tc>
          <w:tcPr>
            <w:tcW w:type="dxa" w:w="2381"/>
            <w:shd w:val="clear" w:color="auto" w:fill="F2F5F9"/>
          </w:tcPr>
          <w:p>
            <w:r/>
            <w:r>
              <w:rPr>
                <w:sz w:val="16"/>
              </w:rPr>
              <w:t>Commodities (~6%)</w:t>
            </w:r>
          </w:p>
        </w:tc>
        <w:tc>
          <w:tcPr>
            <w:tcW w:type="dxa" w:w="1361"/>
            <w:shd w:val="clear" w:color="auto" w:fill="F2F5F9"/>
          </w:tcPr>
          <w:p>
            <w:r/>
            <w:r>
              <w:rPr>
                <w:sz w:val="16"/>
              </w:rPr>
              <w:t>-713</w:t>
            </w:r>
          </w:p>
        </w:tc>
        <w:tc>
          <w:tcPr>
            <w:tcW w:type="dxa" w:w="5329"/>
            <w:shd w:val="clear" w:color="auto" w:fill="F2F5F9"/>
          </w:tcPr>
          <w:p>
            <w:r/>
            <w:r>
              <w:rPr>
                <w:sz w:val="16"/>
              </w:rPr>
              <w:t>USO cayó con el petróleo y se vendió el 2-oct; el sleeve perdió 8,2% frente a 0,6% de DJP</w:t>
            </w:r>
          </w:p>
        </w:tc>
      </w:tr>
      <w:tr>
        <w:tc>
          <w:tcPr>
            <w:tcW w:type="dxa" w:w="2381"/>
          </w:tcPr>
          <w:p>
            <w:r/>
            <w:r>
              <w:rPr>
                <w:sz w:val="16"/>
              </w:rPr>
              <w:t>Acciones (~62%)</w:t>
            </w:r>
          </w:p>
        </w:tc>
        <w:tc>
          <w:tcPr>
            <w:tcW w:type="dxa" w:w="1361"/>
          </w:tcPr>
          <w:p>
            <w:r/>
            <w:r>
              <w:rPr>
                <w:sz w:val="16"/>
              </w:rPr>
              <w:t>-11</w:t>
            </w:r>
          </w:p>
        </w:tc>
        <w:tc>
          <w:tcPr>
            <w:tcW w:type="dxa" w:w="5329"/>
          </w:tcPr>
          <w:p>
            <w:r/>
            <w:r>
              <w:rPr>
                <w:sz w:val="16"/>
              </w:rPr>
              <w:t>Rindieron -0,0%, menos que el S&amp;P 500 (1,2%): Low-Volatility es defensiva en un mercado al alza y las comisiones restan</w:t>
            </w:r>
          </w:p>
        </w:tc>
      </w:tr>
      <w:tr>
        <w:tc>
          <w:tcPr>
            <w:tcW w:type="dxa" w:w="2381"/>
            <w:shd w:val="clear" w:color="auto" w:fill="F2F5F9"/>
          </w:tcPr>
          <w:p>
            <w:r/>
            <w:r>
              <w:rPr>
                <w:sz w:val="16"/>
              </w:rPr>
              <w:t>Liquidez (SGOV)</w:t>
            </w:r>
          </w:p>
        </w:tc>
        <w:tc>
          <w:tcPr>
            <w:tcW w:type="dxa" w:w="1361"/>
            <w:shd w:val="clear" w:color="auto" w:fill="F2F5F9"/>
          </w:tcPr>
          <w:p>
            <w:r/>
            <w:r>
              <w:rPr>
                <w:sz w:val="16"/>
              </w:rPr>
              <w:t>11</w:t>
            </w:r>
          </w:p>
        </w:tc>
        <w:tc>
          <w:tcPr>
            <w:tcW w:type="dxa" w:w="5329"/>
            <w:shd w:val="clear" w:color="auto" w:fill="F2F5F9"/>
          </w:tcPr>
          <w:p>
            <w:r/>
            <w:r>
              <w:rPr>
                <w:sz w:val="16"/>
              </w:rPr>
              <w:t>Rinde como las letras del Tesoro</w:t>
            </w:r>
          </w:p>
        </w:tc>
      </w:tr>
    </w:tbl>
    <w:p>
      <w:r>
        <w:rPr>
          <w:i/>
          <w:sz w:val="16"/>
        </w:rPr>
        <w:t>Los bloques suman USD -1.734, igual que StockTrak. Incluyen dividendos y comisiones (62 operaciones, USD 620); sin comisiones, la cartera iría -0,7%.</w:t>
      </w:r>
    </w:p>
    <w:p>
      <w:r>
        <w:rPr>
          <w:i w:val="0"/>
        </w:rPr>
        <w:t>Lo que esperábamos y lo que pasó. La estrategia se diseñó para metas a 14-50 años, no para ganarle al S&amp;P 500 en cuatro semanas. Los bonos largos se eligieron porque protegen cuando las acciones caen (en febrero y marzo de 2020 subieron 2,3% mientras el S&amp;P 500 caía 19%); su costo es caer cuando suben las tasas, que es exactamente lo que ocurrió en septiembre. La beta realizada de la cartera (0,58) muestra que se movió menos que el mercado, como se diseñó, y el tracking error frente a la política (2,1%) está dentro del objetivo de 3%.</w:t>
      </w:r>
    </w:p>
    <w:p>
      <w:pPr>
        <w:pStyle w:val="ListBullet"/>
      </w:pPr>
      <w:r>
        <w:rPr>
          <w:b/>
        </w:rPr>
        <w:t xml:space="preserve">Diversificar se nota en los días malos: </w:t>
      </w:r>
      <w:r>
        <w:t>el 28-sep el S&amp;P 500 cayó 0,74% y Low-Volatility quedó prácticamente plana (−0,09%).</w:t>
      </w:r>
    </w:p>
    <w:p>
      <w:pPr>
        <w:pStyle w:val="ListBullet"/>
      </w:pPr>
      <w:r>
        <w:rPr>
          <w:b/>
        </w:rPr>
        <w:t xml:space="preserve">Las reglas evitan decisiones por impulso: </w:t>
      </w:r>
      <w:r>
        <w:t>la única venta fuera de la señal (el petróleo, 2-oct) se tomó por riesgo de concentración y quedó documentada con su motivo.</w:t>
      </w:r>
    </w:p>
    <w:p>
      <w:pPr>
        <w:pStyle w:val="ListBullet"/>
      </w:pPr>
      <w:r>
        <w:rPr>
          <w:b/>
        </w:rPr>
        <w:t xml:space="preserve">En una cartera chica las comisiones pesan: </w:t>
      </w:r>
      <w:r>
        <w:t>por eso Momentum pasó de 10 a 7 acciones; fue la única regla modificada.</w:t>
      </w:r>
    </w:p>
    <w:p>
      <w:pPr>
        <w:pStyle w:val="ListBullet"/>
      </w:pPr>
      <w:r>
        <w:rPr>
          <w:b/>
        </w:rPr>
        <w:t xml:space="preserve">Validar antes que ajustar: </w:t>
      </w:r>
      <w:r>
        <w:t>aunque hoy commodities quede invertido solo en cobre, no se cambian las reglas a mitad de la simulación; el objetivo es probar la estrategia que se estudió, no optimizarla mirando el resultado.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(4,6%) levemente bajo el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Campbell, J. Y., Serfaty-de Medeiros, K. y Viceira, L. M. (2010). Global Currency Hedging. Journal of Finance, 65(1), 87-121.</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Froot, K. A. (1993). Currency Hedging over Long Horizons. NBER Working Paper 4355.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pPr>
        <w:ind w:left="340" w:hanging="340"/>
      </w:pPr>
      <w:r>
        <w:rPr>
          <w:sz w:val="17"/>
        </w:rPr>
        <w:t>Quantpedia. (s. f.-a). Momentum Effect in Commodities. https://quantpedia.com/strategies/momentum-effect-in-commodities</w:t>
      </w:r>
    </w:p>
    <w:p>
      <w:pPr>
        <w:ind w:left="340" w:hanging="340"/>
      </w:pPr>
      <w:r>
        <w:rPr>
          <w:sz w:val="17"/>
        </w:rPr>
        <w:t>Quantpedia. (s. f.-b). Momentum Factor Effect in Stocks. https://quantpedia.com/strategies/momentum-factor-effect-in-stocks</w:t>
      </w:r>
    </w:p>
    <w:p>
      <w:pPr>
        <w:ind w:left="340" w:hanging="340"/>
      </w:pPr>
      <w:r>
        <w:rPr>
          <w:sz w:val="17"/>
        </w:rPr>
        <w:t>Rogoff, K. (1996). The Purchasing Power Parity Puzzle. Journal of Economic Literature, 34(2), 647-668.</w:t>
      </w:r>
    </w:p>
    <w:p>
      <w:pPr>
        <w:ind w:left="340" w:hanging="340"/>
      </w:pPr>
      <w:r>
        <w:rPr>
          <w:sz w:val="17"/>
        </w:rPr>
        <w:t>Sharpe, W. F. y Tint, L. G. (1990). Liabilities: A New Approach. Journal of Portfolio Management, 16(2), 5-10.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queda levemente bajo el requerido (4,65%).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¿Por qué solo un forward a un año, si las metas son de largo plazo? </w:t>
      </w:r>
      <w:r>
        <w:rPr>
          <w:i w:val="0"/>
        </w:rPr>
        <w:t>Porque se renueva al vencer cada contrato (roll-over) y la gestión debe hacerse con instrumentos de StockTrak, que están en USD. La cobertura es parcial a propósito: el dólar sube cuando caen las bolsas y la parte no cubierta amortigua las caídas en pesos. El riesgo cambiario está en la simulación (en UF la probabilidad de los tres objetivos es 45,3% frente a 46,5% en USD). A medida que se acerque cada pago en UF, la cobertura sube al 100% de ese monto, y para Educación recomendamos evaluar un swap CLF/USD en la próxima revisión del IPS.</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el Bloomberg Commodity Index (DJP) y la reserva contra T-Bills. Frente a ese benchmark, Nexum rindió 9,9% vs 10,5% en 2016-2026, con menos volatilidad y caídas más bajas: el satélite de renta variable baja el riesgo, no busca superar al índice en un mercado alcista.</w:t>
      </w:r>
    </w:p>
    <w:p>
      <w:r>
        <w:rPr>
          <w:b/>
        </w:rPr>
        <w:t xml:space="preserve">Si el Grable-Lytton da 30 puntos y hoy tienen 85% en riesgo, ¿por qué el perfil es moderado y no agresivo? </w:t>
      </w:r>
      <w:r>
        <w:rPr>
          <w:i w:val="0"/>
        </w:rPr>
        <w:t>Porque el perfil combina disposición y capacidad. El cuestionario muestra disposición a tomar riesgo después de informarse, pero también preferencia por la ganancia segura y poca experiencia en acciones. La capacidad es alta a 50 años, pero Educación es rígida y empieza en el año 14. El 85% de la AGF muestra que soportan volatilidad, pero esa cartera no considera que Educación empieza en el año 14. Por eso recomendamos 60-65% de renta variable, con volatilidad de 10-12%.</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p>
      <w:pPr>
        <w:pStyle w:val="Heading1"/>
      </w:pPr>
      <w:r>
        <w:t>Anexo D. Cuestionario de Grable y Lytton (1999)</w:t>
      </w:r>
    </w:p>
    <w:p>
      <w:r>
        <w:rPr>
          <w:i w:val="0"/>
        </w:rPr>
        <w:t>Respuestas obtenidas con inteligencia artificial a partir del perfil del cliente del enunciado, con autorización del profesor (los clientes son ficticios). Cada pregunta asigna de 1 a 4 puntos; el total va de 13 a 47.</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567"/>
            <w:shd w:val="clear" w:color="auto" w:fill="1F3A5F"/>
          </w:tcPr>
          <w:p>
            <w:r/>
            <w:r>
              <w:rPr>
                <w:b/>
                <w:color w:val="FFFFFF"/>
                <w:sz w:val="17"/>
              </w:rPr>
              <w:t>N°</w:t>
            </w:r>
          </w:p>
        </w:tc>
        <w:tc>
          <w:tcPr>
            <w:tcW w:type="dxa" w:w="3685"/>
            <w:shd w:val="clear" w:color="auto" w:fill="1F3A5F"/>
          </w:tcPr>
          <w:p>
            <w:r/>
            <w:r>
              <w:rPr>
                <w:b/>
                <w:color w:val="FFFFFF"/>
                <w:sz w:val="17"/>
              </w:rPr>
              <w:t>Pregunta (resumen)</w:t>
            </w:r>
          </w:p>
        </w:tc>
        <w:tc>
          <w:tcPr>
            <w:tcW w:type="dxa" w:w="3969"/>
            <w:shd w:val="clear" w:color="auto" w:fill="1F3A5F"/>
          </w:tcPr>
          <w:p>
            <w:r/>
            <w:r>
              <w:rPr>
                <w:b/>
                <w:color w:val="FFFFFF"/>
                <w:sz w:val="17"/>
              </w:rPr>
              <w:t>Respuesta</w:t>
            </w:r>
          </w:p>
        </w:tc>
        <w:tc>
          <w:tcPr>
            <w:tcW w:type="dxa" w:w="850"/>
            <w:shd w:val="clear" w:color="auto" w:fill="1F3A5F"/>
          </w:tcPr>
          <w:p>
            <w:r/>
            <w:r>
              <w:rPr>
                <w:b/>
                <w:color w:val="FFFFFF"/>
                <w:sz w:val="17"/>
              </w:rPr>
              <w:t>Puntos</w:t>
            </w:r>
          </w:p>
        </w:tc>
      </w:tr>
      <w:tr>
        <w:tc>
          <w:tcPr>
            <w:tcW w:type="dxa" w:w="567"/>
          </w:tcPr>
          <w:p>
            <w:r/>
            <w:r>
              <w:rPr>
                <w:sz w:val="17"/>
              </w:rPr>
              <w:t>1</w:t>
            </w:r>
          </w:p>
        </w:tc>
        <w:tc>
          <w:tcPr>
            <w:tcW w:type="dxa" w:w="3685"/>
          </w:tcPr>
          <w:p>
            <w:r/>
            <w:r>
              <w:rPr>
                <w:sz w:val="17"/>
              </w:rPr>
              <w:t>¿Cómo lo describiría su mejor amigo frente al riesgo?</w:t>
            </w:r>
          </w:p>
        </w:tc>
        <w:tc>
          <w:tcPr>
            <w:tcW w:type="dxa" w:w="3969"/>
          </w:tcPr>
          <w:p>
            <w:r/>
            <w:r>
              <w:rPr>
                <w:sz w:val="17"/>
              </w:rPr>
              <w:t>Dispuesto a tomar riesgos después de investigar</w:t>
            </w:r>
          </w:p>
        </w:tc>
        <w:tc>
          <w:tcPr>
            <w:tcW w:type="dxa" w:w="850"/>
          </w:tcPr>
          <w:p>
            <w:r/>
            <w:r>
              <w:rPr>
                <w:sz w:val="17"/>
              </w:rPr>
              <w:t>3</w:t>
            </w:r>
          </w:p>
        </w:tc>
      </w:tr>
      <w:tr>
        <w:tc>
          <w:tcPr>
            <w:tcW w:type="dxa" w:w="567"/>
            <w:shd w:val="clear" w:color="auto" w:fill="F2F5F9"/>
          </w:tcPr>
          <w:p>
            <w:r/>
            <w:r>
              <w:rPr>
                <w:sz w:val="17"/>
              </w:rPr>
              <w:t>2</w:t>
            </w:r>
          </w:p>
        </w:tc>
        <w:tc>
          <w:tcPr>
            <w:tcW w:type="dxa" w:w="3685"/>
            <w:shd w:val="clear" w:color="auto" w:fill="F2F5F9"/>
          </w:tcPr>
          <w:p>
            <w:r/>
            <w:r>
              <w:rPr>
                <w:sz w:val="17"/>
              </w:rPr>
              <w:t>Concurso de televisión: ¿qué premio elige?</w:t>
            </w:r>
          </w:p>
        </w:tc>
        <w:tc>
          <w:tcPr>
            <w:tcW w:type="dxa" w:w="3969"/>
            <w:shd w:val="clear" w:color="auto" w:fill="F2F5F9"/>
          </w:tcPr>
          <w:p>
            <w:r/>
            <w:r>
              <w:rPr>
                <w:sz w:val="17"/>
              </w:rPr>
              <w:t>50% de probabilidad de ganar USD 5.000</w:t>
            </w:r>
          </w:p>
        </w:tc>
        <w:tc>
          <w:tcPr>
            <w:tcW w:type="dxa" w:w="850"/>
            <w:shd w:val="clear" w:color="auto" w:fill="F2F5F9"/>
          </w:tcPr>
          <w:p>
            <w:r/>
            <w:r>
              <w:rPr>
                <w:sz w:val="17"/>
              </w:rPr>
              <w:t>2</w:t>
            </w:r>
          </w:p>
        </w:tc>
      </w:tr>
      <w:tr>
        <w:tc>
          <w:tcPr>
            <w:tcW w:type="dxa" w:w="567"/>
          </w:tcPr>
          <w:p>
            <w:r/>
            <w:r>
              <w:rPr>
                <w:sz w:val="17"/>
              </w:rPr>
              <w:t>3</w:t>
            </w:r>
          </w:p>
        </w:tc>
        <w:tc>
          <w:tcPr>
            <w:tcW w:type="dxa" w:w="3685"/>
          </w:tcPr>
          <w:p>
            <w:r/>
            <w:r>
              <w:rPr>
                <w:sz w:val="17"/>
              </w:rPr>
              <w:t>Pierde el trabajo tres semanas antes de unas vacaciones soñadas</w:t>
            </w:r>
          </w:p>
        </w:tc>
        <w:tc>
          <w:tcPr>
            <w:tcW w:type="dxa" w:w="3969"/>
          </w:tcPr>
          <w:p>
            <w:r/>
            <w:r>
              <w:rPr>
                <w:sz w:val="17"/>
              </w:rPr>
              <w:t>Toma unas vacaciones mucho más modestas</w:t>
            </w:r>
          </w:p>
        </w:tc>
        <w:tc>
          <w:tcPr>
            <w:tcW w:type="dxa" w:w="850"/>
          </w:tcPr>
          <w:p>
            <w:r/>
            <w:r>
              <w:rPr>
                <w:sz w:val="17"/>
              </w:rPr>
              <w:t>2</w:t>
            </w:r>
          </w:p>
        </w:tc>
      </w:tr>
      <w:tr>
        <w:tc>
          <w:tcPr>
            <w:tcW w:type="dxa" w:w="567"/>
            <w:shd w:val="clear" w:color="auto" w:fill="F2F5F9"/>
          </w:tcPr>
          <w:p>
            <w:r/>
            <w:r>
              <w:rPr>
                <w:sz w:val="17"/>
              </w:rPr>
              <w:t>4</w:t>
            </w:r>
          </w:p>
        </w:tc>
        <w:tc>
          <w:tcPr>
            <w:tcW w:type="dxa" w:w="3685"/>
            <w:shd w:val="clear" w:color="auto" w:fill="F2F5F9"/>
          </w:tcPr>
          <w:p>
            <w:r/>
            <w:r>
              <w:rPr>
                <w:sz w:val="17"/>
              </w:rPr>
              <w:t>Recibe USD 20.000 inesperados para invertir</w:t>
            </w:r>
          </w:p>
        </w:tc>
        <w:tc>
          <w:tcPr>
            <w:tcW w:type="dxa" w:w="3969"/>
            <w:shd w:val="clear" w:color="auto" w:fill="F2F5F9"/>
          </w:tcPr>
          <w:p>
            <w:r/>
            <w:r>
              <w:rPr>
                <w:sz w:val="17"/>
              </w:rPr>
              <w:t>Acciones o fondos de acciones</w:t>
            </w:r>
          </w:p>
        </w:tc>
        <w:tc>
          <w:tcPr>
            <w:tcW w:type="dxa" w:w="850"/>
            <w:shd w:val="clear" w:color="auto" w:fill="F2F5F9"/>
          </w:tcPr>
          <w:p>
            <w:r/>
            <w:r>
              <w:rPr>
                <w:sz w:val="17"/>
              </w:rPr>
              <w:t>3</w:t>
            </w:r>
          </w:p>
        </w:tc>
      </w:tr>
      <w:tr>
        <w:tc>
          <w:tcPr>
            <w:tcW w:type="dxa" w:w="567"/>
          </w:tcPr>
          <w:p>
            <w:r/>
            <w:r>
              <w:rPr>
                <w:sz w:val="17"/>
              </w:rPr>
              <w:t>5</w:t>
            </w:r>
          </w:p>
        </w:tc>
        <w:tc>
          <w:tcPr>
            <w:tcW w:type="dxa" w:w="3685"/>
          </w:tcPr>
          <w:p>
            <w:r/>
            <w:r>
              <w:rPr>
                <w:sz w:val="17"/>
              </w:rPr>
              <w:t>¿Qué tan cómodo se siente invirtiendo en acciones?</w:t>
            </w:r>
          </w:p>
        </w:tc>
        <w:tc>
          <w:tcPr>
            <w:tcW w:type="dxa" w:w="3969"/>
          </w:tcPr>
          <w:p>
            <w:r/>
            <w:r>
              <w:rPr>
                <w:sz w:val="17"/>
              </w:rPr>
              <w:t>Algo cómodo</w:t>
            </w:r>
          </w:p>
        </w:tc>
        <w:tc>
          <w:tcPr>
            <w:tcW w:type="dxa" w:w="850"/>
          </w:tcPr>
          <w:p>
            <w:r/>
            <w:r>
              <w:rPr>
                <w:sz w:val="17"/>
              </w:rPr>
              <w:t>2</w:t>
            </w:r>
          </w:p>
        </w:tc>
      </w:tr>
      <w:tr>
        <w:tc>
          <w:tcPr>
            <w:tcW w:type="dxa" w:w="567"/>
            <w:shd w:val="clear" w:color="auto" w:fill="F2F5F9"/>
          </w:tcPr>
          <w:p>
            <w:r/>
            <w:r>
              <w:rPr>
                <w:sz w:val="17"/>
              </w:rPr>
              <w:t>6</w:t>
            </w:r>
          </w:p>
        </w:tc>
        <w:tc>
          <w:tcPr>
            <w:tcW w:type="dxa" w:w="3685"/>
            <w:shd w:val="clear" w:color="auto" w:fill="F2F5F9"/>
          </w:tcPr>
          <w:p>
            <w:r/>
            <w:r>
              <w:rPr>
                <w:sz w:val="17"/>
              </w:rPr>
              <w:t>¿Qué palabra asocia primero con "riesgo"?</w:t>
            </w:r>
          </w:p>
        </w:tc>
        <w:tc>
          <w:tcPr>
            <w:tcW w:type="dxa" w:w="3969"/>
            <w:shd w:val="clear" w:color="auto" w:fill="F2F5F9"/>
          </w:tcPr>
          <w:p>
            <w:r/>
            <w:r>
              <w:rPr>
                <w:sz w:val="17"/>
              </w:rPr>
              <w:t>Oportunidad</w:t>
            </w:r>
          </w:p>
        </w:tc>
        <w:tc>
          <w:tcPr>
            <w:tcW w:type="dxa" w:w="850"/>
            <w:shd w:val="clear" w:color="auto" w:fill="F2F5F9"/>
          </w:tcPr>
          <w:p>
            <w:r/>
            <w:r>
              <w:rPr>
                <w:sz w:val="17"/>
              </w:rPr>
              <w:t>3</w:t>
            </w:r>
          </w:p>
        </w:tc>
      </w:tr>
      <w:tr>
        <w:tc>
          <w:tcPr>
            <w:tcW w:type="dxa" w:w="567"/>
          </w:tcPr>
          <w:p>
            <w:r/>
            <w:r>
              <w:rPr>
                <w:sz w:val="17"/>
              </w:rPr>
              <w:t>7</w:t>
            </w:r>
          </w:p>
        </w:tc>
        <w:tc>
          <w:tcPr>
            <w:tcW w:type="dxa" w:w="3685"/>
          </w:tcPr>
          <w:p>
            <w:r/>
            <w:r>
              <w:rPr>
                <w:sz w:val="17"/>
              </w:rPr>
              <w:t>Se espera que suban los activos reales y caigan los bonos; usted tiene bonos</w:t>
            </w:r>
          </w:p>
        </w:tc>
        <w:tc>
          <w:tcPr>
            <w:tcW w:type="dxa" w:w="3969"/>
          </w:tcPr>
          <w:p>
            <w:r/>
            <w:r>
              <w:rPr>
                <w:sz w:val="17"/>
              </w:rPr>
              <w:t>Vende los bonos: mitad a money market y mitad a activos reales</w:t>
            </w:r>
          </w:p>
        </w:tc>
        <w:tc>
          <w:tcPr>
            <w:tcW w:type="dxa" w:w="850"/>
          </w:tcPr>
          <w:p>
            <w:r/>
            <w:r>
              <w:rPr>
                <w:sz w:val="17"/>
              </w:rPr>
              <w:t>2</w:t>
            </w:r>
          </w:p>
        </w:tc>
      </w:tr>
      <w:tr>
        <w:tc>
          <w:tcPr>
            <w:tcW w:type="dxa" w:w="567"/>
            <w:shd w:val="clear" w:color="auto" w:fill="F2F5F9"/>
          </w:tcPr>
          <w:p>
            <w:r/>
            <w:r>
              <w:rPr>
                <w:sz w:val="17"/>
              </w:rPr>
              <w:t>8</w:t>
            </w:r>
          </w:p>
        </w:tc>
        <w:tc>
          <w:tcPr>
            <w:tcW w:type="dxa" w:w="3685"/>
            <w:shd w:val="clear" w:color="auto" w:fill="F2F5F9"/>
          </w:tcPr>
          <w:p>
            <w:r/>
            <w:r>
              <w:rPr>
                <w:sz w:val="17"/>
              </w:rPr>
              <w:t>Elija entre cuatro inversiones según su mejor y peor resultado</w:t>
            </w:r>
          </w:p>
        </w:tc>
        <w:tc>
          <w:tcPr>
            <w:tcW w:type="dxa" w:w="3969"/>
            <w:shd w:val="clear" w:color="auto" w:fill="F2F5F9"/>
          </w:tcPr>
          <w:p>
            <w:r/>
            <w:r>
              <w:rPr>
                <w:sz w:val="17"/>
              </w:rPr>
              <w:t>Ganancia de USD 2.600 en el mejor caso; pérdida de USD 800 en el peor</w:t>
            </w:r>
          </w:p>
        </w:tc>
        <w:tc>
          <w:tcPr>
            <w:tcW w:type="dxa" w:w="850"/>
            <w:shd w:val="clear" w:color="auto" w:fill="F2F5F9"/>
          </w:tcPr>
          <w:p>
            <w:r/>
            <w:r>
              <w:rPr>
                <w:sz w:val="17"/>
              </w:rPr>
              <w:t>3</w:t>
            </w:r>
          </w:p>
        </w:tc>
      </w:tr>
      <w:tr>
        <w:tc>
          <w:tcPr>
            <w:tcW w:type="dxa" w:w="567"/>
          </w:tcPr>
          <w:p>
            <w:r/>
            <w:r>
              <w:rPr>
                <w:sz w:val="17"/>
              </w:rPr>
              <w:t>9</w:t>
            </w:r>
          </w:p>
        </w:tc>
        <w:tc>
          <w:tcPr>
            <w:tcW w:type="dxa" w:w="3685"/>
          </w:tcPr>
          <w:p>
            <w:r/>
            <w:r>
              <w:rPr>
                <w:sz w:val="17"/>
              </w:rPr>
              <w:t>Le dan USD 1.000: ¿ganancia segura o apuesta?</w:t>
            </w:r>
          </w:p>
        </w:tc>
        <w:tc>
          <w:tcPr>
            <w:tcW w:type="dxa" w:w="3969"/>
          </w:tcPr>
          <w:p>
            <w:r/>
            <w:r>
              <w:rPr>
                <w:sz w:val="17"/>
              </w:rPr>
              <w:t>Ganancia segura de USD 500</w:t>
            </w:r>
          </w:p>
        </w:tc>
        <w:tc>
          <w:tcPr>
            <w:tcW w:type="dxa" w:w="850"/>
          </w:tcPr>
          <w:p>
            <w:r/>
            <w:r>
              <w:rPr>
                <w:sz w:val="17"/>
              </w:rPr>
              <w:t>1</w:t>
            </w:r>
          </w:p>
        </w:tc>
      </w:tr>
      <w:tr>
        <w:tc>
          <w:tcPr>
            <w:tcW w:type="dxa" w:w="567"/>
            <w:shd w:val="clear" w:color="auto" w:fill="F2F5F9"/>
          </w:tcPr>
          <w:p>
            <w:r/>
            <w:r>
              <w:rPr>
                <w:sz w:val="17"/>
              </w:rPr>
              <w:t>10</w:t>
            </w:r>
          </w:p>
        </w:tc>
        <w:tc>
          <w:tcPr>
            <w:tcW w:type="dxa" w:w="3685"/>
            <w:shd w:val="clear" w:color="auto" w:fill="F2F5F9"/>
          </w:tcPr>
          <w:p>
            <w:r/>
            <w:r>
              <w:rPr>
                <w:sz w:val="17"/>
              </w:rPr>
              <w:t>Le dan USD 2.000: ¿pérdida segura o apuesta?</w:t>
            </w:r>
          </w:p>
        </w:tc>
        <w:tc>
          <w:tcPr>
            <w:tcW w:type="dxa" w:w="3969"/>
            <w:shd w:val="clear" w:color="auto" w:fill="F2F5F9"/>
          </w:tcPr>
          <w:p>
            <w:r/>
            <w:r>
              <w:rPr>
                <w:sz w:val="17"/>
              </w:rPr>
              <w:t>50% de perder USD 1.000 y 50% de no perder nada</w:t>
            </w:r>
          </w:p>
        </w:tc>
        <w:tc>
          <w:tcPr>
            <w:tcW w:type="dxa" w:w="850"/>
            <w:shd w:val="clear" w:color="auto" w:fill="F2F5F9"/>
          </w:tcPr>
          <w:p>
            <w:r/>
            <w:r>
              <w:rPr>
                <w:sz w:val="17"/>
              </w:rPr>
              <w:t>3</w:t>
            </w:r>
          </w:p>
        </w:tc>
      </w:tr>
      <w:tr>
        <w:tc>
          <w:tcPr>
            <w:tcW w:type="dxa" w:w="567"/>
          </w:tcPr>
          <w:p>
            <w:r/>
            <w:r>
              <w:rPr>
                <w:sz w:val="17"/>
              </w:rPr>
              <w:t>11</w:t>
            </w:r>
          </w:p>
        </w:tc>
        <w:tc>
          <w:tcPr>
            <w:tcW w:type="dxa" w:w="3685"/>
          </w:tcPr>
          <w:p>
            <w:r/>
            <w:r>
              <w:rPr>
                <w:sz w:val="17"/>
              </w:rPr>
              <w:t>Hereda USD 100.000 y debe ponerlos en una sola alternativa</w:t>
            </w:r>
          </w:p>
        </w:tc>
        <w:tc>
          <w:tcPr>
            <w:tcW w:type="dxa" w:w="3969"/>
          </w:tcPr>
          <w:p>
            <w:r/>
            <w:r>
              <w:rPr>
                <w:sz w:val="17"/>
              </w:rPr>
              <w:t>Fondo mutuo de acciones y bonos</w:t>
            </w:r>
          </w:p>
        </w:tc>
        <w:tc>
          <w:tcPr>
            <w:tcW w:type="dxa" w:w="850"/>
          </w:tcPr>
          <w:p>
            <w:r/>
            <w:r>
              <w:rPr>
                <w:sz w:val="17"/>
              </w:rPr>
              <w:t>2</w:t>
            </w:r>
          </w:p>
        </w:tc>
      </w:tr>
      <w:tr>
        <w:tc>
          <w:tcPr>
            <w:tcW w:type="dxa" w:w="567"/>
            <w:shd w:val="clear" w:color="auto" w:fill="F2F5F9"/>
          </w:tcPr>
          <w:p>
            <w:r/>
            <w:r>
              <w:rPr>
                <w:sz w:val="17"/>
              </w:rPr>
              <w:t>12</w:t>
            </w:r>
          </w:p>
        </w:tc>
        <w:tc>
          <w:tcPr>
            <w:tcW w:type="dxa" w:w="3685"/>
            <w:shd w:val="clear" w:color="auto" w:fill="F2F5F9"/>
          </w:tcPr>
          <w:p>
            <w:r/>
            <w:r>
              <w:rPr>
                <w:sz w:val="17"/>
              </w:rPr>
              <w:t>¿Cómo invertiría USD 20.000?</w:t>
            </w:r>
          </w:p>
        </w:tc>
        <w:tc>
          <w:tcPr>
            <w:tcW w:type="dxa" w:w="3969"/>
            <w:shd w:val="clear" w:color="auto" w:fill="F2F5F9"/>
          </w:tcPr>
          <w:p>
            <w:r/>
            <w:r>
              <w:rPr>
                <w:sz w:val="17"/>
              </w:rPr>
              <w:t>30% bajo riesgo, 40% riesgo medio y 30% alto riesgo</w:t>
            </w:r>
          </w:p>
        </w:tc>
        <w:tc>
          <w:tcPr>
            <w:tcW w:type="dxa" w:w="850"/>
            <w:shd w:val="clear" w:color="auto" w:fill="F2F5F9"/>
          </w:tcPr>
          <w:p>
            <w:r/>
            <w:r>
              <w:rPr>
                <w:sz w:val="17"/>
              </w:rPr>
              <w:t>2</w:t>
            </w:r>
          </w:p>
        </w:tc>
      </w:tr>
      <w:tr>
        <w:tc>
          <w:tcPr>
            <w:tcW w:type="dxa" w:w="567"/>
          </w:tcPr>
          <w:p>
            <w:r/>
            <w:r>
              <w:rPr>
                <w:sz w:val="17"/>
              </w:rPr>
              <w:t>13</w:t>
            </w:r>
          </w:p>
        </w:tc>
        <w:tc>
          <w:tcPr>
            <w:tcW w:type="dxa" w:w="3685"/>
          </w:tcPr>
          <w:p>
            <w:r/>
            <w:r>
              <w:rPr>
                <w:sz w:val="17"/>
              </w:rPr>
              <w:t>Mina de oro con 20% de éxito que paga 50 a 100 veces</w:t>
            </w:r>
          </w:p>
        </w:tc>
        <w:tc>
          <w:tcPr>
            <w:tcW w:type="dxa" w:w="3969"/>
          </w:tcPr>
          <w:p>
            <w:r/>
            <w:r>
              <w:rPr>
                <w:sz w:val="17"/>
              </w:rPr>
              <w:t>Un mes de sueldo</w:t>
            </w:r>
          </w:p>
        </w:tc>
        <w:tc>
          <w:tcPr>
            <w:tcW w:type="dxa" w:w="850"/>
          </w:tcPr>
          <w:p>
            <w:r/>
            <w:r>
              <w:rPr>
                <w:sz w:val="17"/>
              </w:rPr>
              <w:t>2</w:t>
            </w:r>
          </w:p>
        </w:tc>
      </w:tr>
      <w:tr>
        <w:tc>
          <w:tcPr>
            <w:tcW w:type="dxa" w:w="567"/>
            <w:shd w:val="clear" w:color="auto" w:fill="F2F5F9"/>
          </w:tcPr>
          <w:p>
            <w:r/>
            <w:r>
              <w:rPr>
                <w:sz w:val="17"/>
              </w:rPr>
            </w:r>
          </w:p>
        </w:tc>
        <w:tc>
          <w:tcPr>
            <w:tcW w:type="dxa" w:w="3685"/>
            <w:shd w:val="clear" w:color="auto" w:fill="F2F5F9"/>
          </w:tcPr>
          <w:p>
            <w:r/>
            <w:r>
              <w:rPr>
                <w:sz w:val="17"/>
              </w:rPr>
              <w:t>Total</w:t>
            </w:r>
          </w:p>
        </w:tc>
        <w:tc>
          <w:tcPr>
            <w:tcW w:type="dxa" w:w="3969"/>
            <w:shd w:val="clear" w:color="auto" w:fill="F2F5F9"/>
          </w:tcPr>
          <w:p>
            <w:r/>
            <w:r>
              <w:rPr>
                <w:sz w:val="17"/>
              </w:rPr>
            </w:r>
          </w:p>
        </w:tc>
        <w:tc>
          <w:tcPr>
            <w:tcW w:type="dxa" w:w="850"/>
            <w:shd w:val="clear" w:color="auto" w:fill="F2F5F9"/>
          </w:tcPr>
          <w:p>
            <w:r/>
            <w:r>
              <w:rPr>
                <w:sz w:val="17"/>
              </w:rPr>
              <w:t>30</w:t>
            </w:r>
          </w:p>
        </w:tc>
      </w:tr>
    </w:tbl>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